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195AAEA6"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0D68F0">
        <w:rPr>
          <w:rFonts w:ascii="Minion Pro" w:hAnsi="Minion Pro" w:cstheme="minorHAnsi" w:hint="eastAsia"/>
          <w:color w:val="000000" w:themeColor="text1"/>
          <w:sz w:val="14"/>
          <w:szCs w:val="14"/>
        </w:rPr>
        <w:t>icces</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32F67639" w:rsidR="00A17721" w:rsidRDefault="004117AB" w:rsidP="00A57F6B">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4ADC73DB" w:rsidR="00AB64EE" w:rsidRPr="00C81371" w:rsidRDefault="002A4E8F" w:rsidP="00AD31E5">
      <w:pPr>
        <w:widowControl w:val="0"/>
        <w:snapToGrid w:val="0"/>
        <w:ind w:firstLineChars="200" w:firstLine="440"/>
        <w:rPr>
          <w:color w:val="000000" w:themeColor="text1"/>
          <w:szCs w:val="22"/>
        </w:rPr>
      </w:pPr>
      <w:r w:rsidRPr="002A4E8F">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 xml:space="preserve">Special attention: </w:t>
      </w:r>
      <w:r w:rsidRPr="00BE7EA2">
        <w:rPr>
          <w:rFonts w:hint="eastAsia"/>
          <w:color w:val="000000" w:themeColor="text1"/>
          <w:szCs w:val="22"/>
        </w:rPr>
        <w:t xml:space="preserve">(A) </w:t>
      </w:r>
      <w:r w:rsidR="00D22C01" w:rsidRPr="00BE7EA2">
        <w:rPr>
          <w:color w:val="000000" w:themeColor="text1"/>
          <w:szCs w:val="22"/>
        </w:rPr>
        <w:t>Unnecessary marks such as red wavy lines and hard (soft) returns are not allowed</w:t>
      </w:r>
      <w:r w:rsidR="00D22C01" w:rsidRPr="00BE7EA2">
        <w:rPr>
          <w:rFonts w:hint="eastAsia"/>
          <w:color w:val="000000" w:themeColor="text1"/>
          <w:szCs w:val="22"/>
        </w:rPr>
        <w:t xml:space="preserve"> in figu</w:t>
      </w:r>
      <w:r w:rsidR="00564CDB" w:rsidRPr="00BE7EA2">
        <w:rPr>
          <w:rFonts w:hint="eastAsia"/>
          <w:color w:val="000000" w:themeColor="text1"/>
          <w:szCs w:val="22"/>
        </w:rPr>
        <w:t>r</w:t>
      </w:r>
      <w:r w:rsidR="00D22C01" w:rsidRPr="00BE7EA2">
        <w:rPr>
          <w:rFonts w:hint="eastAsia"/>
          <w:color w:val="000000" w:themeColor="text1"/>
          <w:szCs w:val="22"/>
        </w:rPr>
        <w:t>es</w:t>
      </w:r>
      <w:r w:rsidR="00D22C01" w:rsidRPr="00BE7EA2">
        <w:rPr>
          <w:color w:val="000000" w:themeColor="text1"/>
          <w:szCs w:val="22"/>
        </w:rPr>
        <w:t>.</w:t>
      </w:r>
      <w:r w:rsidR="003E6962" w:rsidRPr="00BE7EA2">
        <w:rPr>
          <w:rFonts w:hint="eastAsia"/>
          <w:color w:val="000000" w:themeColor="text1"/>
          <w:szCs w:val="22"/>
        </w:rPr>
        <w:t xml:space="preserve"> </w:t>
      </w:r>
      <w:r w:rsidRPr="00BE7EA2">
        <w:rPr>
          <w:rFonts w:hint="eastAsia"/>
          <w:color w:val="000000" w:themeColor="text1"/>
          <w:szCs w:val="22"/>
        </w:rPr>
        <w:t xml:space="preserve">(B) </w:t>
      </w:r>
      <w:r w:rsidR="003E6962" w:rsidRPr="00BE7EA2">
        <w:rPr>
          <w:color w:val="000000" w:themeColor="text1"/>
          <w:szCs w:val="22"/>
        </w:rPr>
        <w:t>Any special characters or icons in an image (e.g., *, **, #, ...) need to have a corresponding explanation (may be added in the image or caption).</w:t>
      </w:r>
      <w:r w:rsidR="00D75C48" w:rsidRPr="00BE7EA2">
        <w:rPr>
          <w:rFonts w:hint="eastAsia"/>
          <w:color w:val="000000" w:themeColor="text1"/>
          <w:szCs w:val="22"/>
        </w:rPr>
        <w:t xml:space="preserve"> (C)</w:t>
      </w:r>
      <w:r w:rsidR="00D75C48" w:rsidRPr="00BE7EA2">
        <w:t xml:space="preserve"> </w:t>
      </w:r>
      <w:r w:rsidR="00D75C48" w:rsidRPr="00BE7EA2">
        <w:rPr>
          <w:color w:val="000000" w:themeColor="text1"/>
          <w:szCs w:val="22"/>
        </w:rPr>
        <w:t>References</w:t>
      </w:r>
      <w:r w:rsidR="00D75C48" w:rsidRPr="00D75C48">
        <w:rPr>
          <w:color w:val="000000" w:themeColor="text1"/>
          <w:szCs w:val="22"/>
        </w:rPr>
        <w:t xml:space="preserve">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9726C3C" w14:textId="0A27A8B7" w:rsidR="001C5BC6" w:rsidRDefault="001C5BC6" w:rsidP="001C5BC6">
      <w:pPr>
        <w:pStyle w:val="NormalWeb"/>
        <w:widowControl w:val="0"/>
        <w:snapToGrid w:val="0"/>
        <w:spacing w:before="0" w:beforeAutospacing="0" w:after="60" w:afterAutospacing="0"/>
        <w:ind w:firstLine="426"/>
        <w:jc w:val="both"/>
        <w:rPr>
          <w:sz w:val="22"/>
          <w:szCs w:val="22"/>
        </w:rPr>
      </w:pPr>
      <w:r>
        <w:rPr>
          <w:sz w:val="22"/>
          <w:szCs w:val="22"/>
        </w:rPr>
        <w:t xml:space="preserve">All references should be </w:t>
      </w:r>
      <w:r>
        <w:rPr>
          <w:rFonts w:hint="eastAsia"/>
          <w:sz w:val="22"/>
          <w:szCs w:val="22"/>
        </w:rPr>
        <w:t>in</w:t>
      </w:r>
      <w:r>
        <w:rPr>
          <w:sz w:val="22"/>
          <w:szCs w:val="22"/>
        </w:rPr>
        <w:t xml:space="preserve"> font size 10 and listed at the end of the paper. The names of the authors should be the full last name(s), and first name(s) in initial(s), followed by the title of the reference. A full name of journal </w:t>
      </w:r>
      <w:r>
        <w:rPr>
          <w:rFonts w:hint="eastAsia"/>
          <w:sz w:val="22"/>
          <w:szCs w:val="22"/>
        </w:rPr>
        <w:t>c</w:t>
      </w:r>
      <w:r>
        <w:rPr>
          <w:sz w:val="22"/>
          <w:szCs w:val="22"/>
        </w:rPr>
        <w:t xml:space="preserve">ited in reference should be in italic font and followed by the year in which the paper is published. Volume number is followed by a comma with issue number in parentheses. </w:t>
      </w:r>
      <w:r>
        <w:rPr>
          <w:rFonts w:hint="eastAsia"/>
          <w:sz w:val="22"/>
          <w:szCs w:val="22"/>
        </w:rPr>
        <w:t>Use</w:t>
      </w:r>
      <w:r>
        <w:rPr>
          <w:sz w:val="22"/>
          <w:szCs w:val="22"/>
        </w:rPr>
        <w:t xml:space="preserve"> </w:t>
      </w:r>
      <w:r>
        <w:rPr>
          <w:rFonts w:hint="eastAsia"/>
          <w:sz w:val="22"/>
          <w:szCs w:val="22"/>
        </w:rPr>
        <w:t xml:space="preserve">a </w:t>
      </w:r>
      <w:r>
        <w:rPr>
          <w:sz w:val="22"/>
          <w:szCs w:val="22"/>
        </w:rPr>
        <w:t>colon before the page number.</w:t>
      </w:r>
    </w:p>
    <w:p w14:paraId="35AF228C" w14:textId="77777777" w:rsidR="001C5BC6" w:rsidRDefault="001C5BC6" w:rsidP="001C5BC6">
      <w:pPr>
        <w:pStyle w:val="NormalWeb"/>
        <w:widowControl w:val="0"/>
        <w:snapToGrid w:val="0"/>
        <w:spacing w:before="0" w:beforeAutospacing="0" w:after="60" w:afterAutospacing="0"/>
        <w:ind w:firstLine="426"/>
        <w:jc w:val="both"/>
        <w:rPr>
          <w:sz w:val="22"/>
          <w:szCs w:val="22"/>
        </w:rPr>
      </w:pPr>
      <w:r>
        <w:rPr>
          <w:sz w:val="22"/>
          <w:szCs w:val="22"/>
        </w:rPr>
        <w:t>The following are examples of order and style, which should be strictly adhered to:</w:t>
      </w:r>
    </w:p>
    <w:p w14:paraId="1ACD2C4E" w14:textId="77777777" w:rsidR="001C5BC6" w:rsidRPr="00814AA3" w:rsidRDefault="001C5BC6" w:rsidP="001C5BC6">
      <w:pPr>
        <w:widowControl w:val="0"/>
        <w:numPr>
          <w:ilvl w:val="0"/>
          <w:numId w:val="1"/>
        </w:numPr>
        <w:autoSpaceDE w:val="0"/>
        <w:autoSpaceDN w:val="0"/>
        <w:adjustRightInd w:val="0"/>
        <w:snapToGrid w:val="0"/>
        <w:spacing w:line="278" w:lineRule="auto"/>
        <w:ind w:left="426" w:hanging="426"/>
        <w:rPr>
          <w:sz w:val="20"/>
        </w:rPr>
      </w:pPr>
      <w:r w:rsidRPr="00814AA3">
        <w:rPr>
          <w:bCs/>
          <w:sz w:val="20"/>
        </w:rPr>
        <w:t>Atluri, S. N.</w:t>
      </w:r>
      <w:r w:rsidRPr="00814AA3">
        <w:rPr>
          <w:b/>
          <w:bCs/>
          <w:sz w:val="20"/>
        </w:rPr>
        <w:t xml:space="preserve"> </w:t>
      </w:r>
      <w:r w:rsidRPr="00814AA3">
        <w:rPr>
          <w:bCs/>
          <w:sz w:val="20"/>
        </w:rPr>
        <w:t xml:space="preserve">(2004). </w:t>
      </w:r>
      <w:r w:rsidRPr="00814AA3">
        <w:rPr>
          <w:i/>
          <w:iCs/>
          <w:sz w:val="20"/>
        </w:rPr>
        <w:t>A four-node hybrid assumed-strain finite element for laminated composite plates</w:t>
      </w:r>
      <w:r w:rsidRPr="00814AA3">
        <w:rPr>
          <w:sz w:val="20"/>
        </w:rPr>
        <w:t>. Tech Science Press, USA.</w:t>
      </w:r>
    </w:p>
    <w:p w14:paraId="4C295ED6" w14:textId="5B850824" w:rsidR="001C5BC6" w:rsidRPr="00557952" w:rsidRDefault="001C5BC6" w:rsidP="001C5BC6">
      <w:pPr>
        <w:widowControl w:val="0"/>
        <w:numPr>
          <w:ilvl w:val="0"/>
          <w:numId w:val="1"/>
        </w:numPr>
        <w:autoSpaceDE w:val="0"/>
        <w:autoSpaceDN w:val="0"/>
        <w:adjustRightInd w:val="0"/>
        <w:snapToGrid w:val="0"/>
        <w:spacing w:line="278" w:lineRule="auto"/>
        <w:ind w:left="426" w:hanging="426"/>
        <w:rPr>
          <w:spacing w:val="-4"/>
          <w:sz w:val="20"/>
        </w:rPr>
      </w:pPr>
      <w:r w:rsidRPr="00557952">
        <w:rPr>
          <w:bCs/>
          <w:spacing w:val="-4"/>
          <w:sz w:val="20"/>
        </w:rPr>
        <w:t>Atluri, S. N., Han, Z., Shen, S. (2003).</w:t>
      </w:r>
      <w:r w:rsidRPr="00557952">
        <w:rPr>
          <w:b/>
          <w:bCs/>
          <w:spacing w:val="-4"/>
          <w:sz w:val="20"/>
        </w:rPr>
        <w:t xml:space="preserve"> </w:t>
      </w:r>
      <w:r w:rsidRPr="00557952">
        <w:rPr>
          <w:spacing w:val="-4"/>
          <w:sz w:val="20"/>
        </w:rPr>
        <w:t xml:space="preserve">Meshless Local Patrov-Galerkin (MLPG) approaches for weaklysingular traction &amp; displacement boundary integral equations. </w:t>
      </w:r>
      <w:r w:rsidRPr="00557952">
        <w:rPr>
          <w:i/>
          <w:iCs/>
          <w:spacing w:val="-4"/>
          <w:sz w:val="20"/>
        </w:rPr>
        <w:t xml:space="preserve">Computer Modeling in Engineering &amp; Sciences, </w:t>
      </w:r>
      <w:r w:rsidRPr="00557952">
        <w:rPr>
          <w:i/>
          <w:spacing w:val="-4"/>
          <w:sz w:val="20"/>
        </w:rPr>
        <w:t xml:space="preserve">4(5), </w:t>
      </w:r>
      <w:r w:rsidRPr="00557952">
        <w:rPr>
          <w:spacing w:val="-4"/>
          <w:sz w:val="20"/>
        </w:rPr>
        <w:t>507</w:t>
      </w:r>
      <w:r w:rsidR="00DB2DBA" w:rsidRPr="00557952">
        <w:rPr>
          <w:spacing w:val="-4"/>
          <w:sz w:val="20"/>
        </w:rPr>
        <w:t>–</w:t>
      </w:r>
      <w:r w:rsidRPr="00557952">
        <w:rPr>
          <w:spacing w:val="-4"/>
          <w:sz w:val="20"/>
        </w:rPr>
        <w:t>517.</w:t>
      </w:r>
    </w:p>
    <w:p w14:paraId="6A2821EA" w14:textId="7599ABB9" w:rsidR="001C5BC6" w:rsidRPr="00814AA3" w:rsidRDefault="001C5BC6" w:rsidP="001C5BC6">
      <w:pPr>
        <w:widowControl w:val="0"/>
        <w:numPr>
          <w:ilvl w:val="0"/>
          <w:numId w:val="1"/>
        </w:numPr>
        <w:autoSpaceDE w:val="0"/>
        <w:autoSpaceDN w:val="0"/>
        <w:adjustRightInd w:val="0"/>
        <w:snapToGrid w:val="0"/>
        <w:spacing w:line="278" w:lineRule="auto"/>
        <w:ind w:left="426" w:hanging="426"/>
        <w:rPr>
          <w:sz w:val="20"/>
        </w:rPr>
      </w:pPr>
      <w:r w:rsidRPr="00814AA3">
        <w:rPr>
          <w:bCs/>
          <w:sz w:val="20"/>
        </w:rPr>
        <w:t>Atluri, S. N., Zhu, T.</w:t>
      </w:r>
      <w:r w:rsidRPr="00814AA3">
        <w:rPr>
          <w:b/>
          <w:bCs/>
          <w:sz w:val="20"/>
        </w:rPr>
        <w:t xml:space="preserve"> </w:t>
      </w:r>
      <w:r w:rsidRPr="00814AA3">
        <w:rPr>
          <w:bCs/>
          <w:sz w:val="20"/>
        </w:rPr>
        <w:t xml:space="preserve">(1998). </w:t>
      </w:r>
      <w:r w:rsidRPr="00814AA3">
        <w:rPr>
          <w:sz w:val="20"/>
        </w:rPr>
        <w:t xml:space="preserve">A new meshless local Petrov-Galerkin (MLPG) approach in computational mechanics. </w:t>
      </w:r>
      <w:r w:rsidRPr="00814AA3">
        <w:rPr>
          <w:i/>
          <w:iCs/>
          <w:sz w:val="20"/>
        </w:rPr>
        <w:t xml:space="preserve">Computational Mechanics, </w:t>
      </w:r>
      <w:r w:rsidRPr="00814AA3">
        <w:rPr>
          <w:i/>
          <w:sz w:val="20"/>
        </w:rPr>
        <w:t>22,</w:t>
      </w:r>
      <w:r w:rsidRPr="00814AA3">
        <w:rPr>
          <w:sz w:val="20"/>
        </w:rPr>
        <w:t xml:space="preserve"> 117</w:t>
      </w:r>
      <w:r w:rsidR="00AD7BB4" w:rsidRPr="00AD7BB4">
        <w:rPr>
          <w:sz w:val="20"/>
        </w:rPr>
        <w:t>–</w:t>
      </w:r>
      <w:r w:rsidRPr="00814AA3">
        <w:rPr>
          <w:sz w:val="20"/>
        </w:rPr>
        <w:t>127.</w:t>
      </w:r>
    </w:p>
    <w:p w14:paraId="20A9F69C" w14:textId="77777777" w:rsidR="001C5BC6" w:rsidRPr="00814AA3" w:rsidRDefault="001C5BC6" w:rsidP="001C5BC6">
      <w:pPr>
        <w:widowControl w:val="0"/>
        <w:numPr>
          <w:ilvl w:val="0"/>
          <w:numId w:val="1"/>
        </w:numPr>
        <w:autoSpaceDE w:val="0"/>
        <w:autoSpaceDN w:val="0"/>
        <w:adjustRightInd w:val="0"/>
        <w:snapToGrid w:val="0"/>
        <w:spacing w:line="278" w:lineRule="auto"/>
        <w:ind w:left="426" w:hanging="426"/>
        <w:rPr>
          <w:bCs/>
          <w:sz w:val="20"/>
        </w:rPr>
      </w:pPr>
      <w:r w:rsidRPr="00814AA3">
        <w:rPr>
          <w:bCs/>
          <w:sz w:val="20"/>
        </w:rPr>
        <w:t>Atluri, S. N.</w:t>
      </w:r>
      <w:r w:rsidRPr="00814AA3">
        <w:rPr>
          <w:b/>
          <w:bCs/>
          <w:sz w:val="20"/>
        </w:rPr>
        <w:t xml:space="preserve"> </w:t>
      </w:r>
      <w:r w:rsidRPr="00814AA3">
        <w:rPr>
          <w:bCs/>
          <w:sz w:val="20"/>
        </w:rPr>
        <w:t>(2004).</w:t>
      </w:r>
      <w:r w:rsidRPr="00814AA3">
        <w:rPr>
          <w:b/>
          <w:bCs/>
          <w:sz w:val="20"/>
        </w:rPr>
        <w:t xml:space="preserve"> </w:t>
      </w:r>
      <w:r w:rsidRPr="00814AA3">
        <w:rPr>
          <w:bCs/>
          <w:sz w:val="20"/>
        </w:rPr>
        <w:t>The meshless method (MLPG) for domain &amp; BIE</w:t>
      </w:r>
      <w:r w:rsidRPr="00814AA3">
        <w:rPr>
          <w:bCs/>
          <w:i/>
          <w:sz w:val="20"/>
        </w:rPr>
        <w:t xml:space="preserve"> discretizations. </w:t>
      </w:r>
      <w:hyperlink r:id="rId11" w:history="1">
        <w:r w:rsidRPr="00814AA3">
          <w:rPr>
            <w:rStyle w:val="Hyperlink"/>
            <w:bCs/>
            <w:color w:val="auto"/>
            <w:sz w:val="20"/>
          </w:rPr>
          <w:t>http://www.techscience.c</w:t>
        </w:r>
        <w:bookmarkStart w:id="12" w:name="_Hlt532307613"/>
        <w:bookmarkStart w:id="13" w:name="_Hlt532307614"/>
        <w:r w:rsidRPr="00814AA3">
          <w:rPr>
            <w:rStyle w:val="Hyperlink"/>
            <w:bCs/>
            <w:color w:val="auto"/>
            <w:sz w:val="20"/>
          </w:rPr>
          <w:t>o</w:t>
        </w:r>
        <w:bookmarkEnd w:id="12"/>
        <w:bookmarkEnd w:id="13"/>
        <w:r w:rsidRPr="00814AA3">
          <w:rPr>
            <w:rStyle w:val="Hyperlink"/>
            <w:bCs/>
            <w:color w:val="auto"/>
            <w:sz w:val="20"/>
          </w:rPr>
          <w:t>m/books/mlpg_atluri.html</w:t>
        </w:r>
      </w:hyperlink>
      <w:r w:rsidRPr="00814AA3">
        <w:rPr>
          <w:bCs/>
          <w:sz w:val="20"/>
        </w:rPr>
        <w:t>.</w:t>
      </w:r>
    </w:p>
    <w:p w14:paraId="57CD7B94" w14:textId="77777777" w:rsidR="001046C6" w:rsidRPr="00814AA3" w:rsidRDefault="001C5BC6" w:rsidP="00797936">
      <w:pPr>
        <w:widowControl w:val="0"/>
        <w:numPr>
          <w:ilvl w:val="0"/>
          <w:numId w:val="1"/>
        </w:numPr>
        <w:autoSpaceDE w:val="0"/>
        <w:autoSpaceDN w:val="0"/>
        <w:adjustRightInd w:val="0"/>
        <w:snapToGrid w:val="0"/>
        <w:spacing w:line="278" w:lineRule="auto"/>
        <w:ind w:left="426" w:hanging="426"/>
        <w:rPr>
          <w:rFonts w:eastAsiaTheme="minorEastAsia"/>
          <w:color w:val="000000"/>
          <w:sz w:val="20"/>
        </w:rPr>
      </w:pPr>
      <w:r w:rsidRPr="00814AA3">
        <w:rPr>
          <w:bCs/>
          <w:sz w:val="20"/>
        </w:rPr>
        <w:t xml:space="preserve">Darius, H. (2014). </w:t>
      </w:r>
      <w:r w:rsidRPr="00814AA3">
        <w:rPr>
          <w:bCs/>
          <w:i/>
          <w:sz w:val="20"/>
        </w:rPr>
        <w:t>Savant syndrome-theories and empirical findings</w:t>
      </w:r>
      <w:r w:rsidRPr="00814AA3">
        <w:rPr>
          <w:bCs/>
          <w:sz w:val="20"/>
        </w:rPr>
        <w:t xml:space="preserve"> </w:t>
      </w:r>
      <w:r w:rsidRPr="00814AA3">
        <w:rPr>
          <w:bCs/>
          <w:i/>
          <w:sz w:val="20"/>
        </w:rPr>
        <w:t>(Ph.D. Thesis)</w:t>
      </w:r>
      <w:r w:rsidRPr="00814AA3">
        <w:rPr>
          <w:bCs/>
          <w:sz w:val="20"/>
        </w:rPr>
        <w:t>. University of Turku, Finland.</w:t>
      </w:r>
    </w:p>
    <w:p w14:paraId="4B717745" w14:textId="031A0B7D" w:rsidR="00F80E9A" w:rsidRPr="00814AA3" w:rsidRDefault="001C5BC6" w:rsidP="00797936">
      <w:pPr>
        <w:widowControl w:val="0"/>
        <w:numPr>
          <w:ilvl w:val="0"/>
          <w:numId w:val="1"/>
        </w:numPr>
        <w:autoSpaceDE w:val="0"/>
        <w:autoSpaceDN w:val="0"/>
        <w:adjustRightInd w:val="0"/>
        <w:snapToGrid w:val="0"/>
        <w:spacing w:line="278" w:lineRule="auto"/>
        <w:ind w:left="426" w:hanging="426"/>
        <w:rPr>
          <w:rFonts w:eastAsiaTheme="minorEastAsia"/>
          <w:color w:val="000000"/>
          <w:sz w:val="20"/>
        </w:rPr>
      </w:pPr>
      <w:r w:rsidRPr="00814AA3">
        <w:rPr>
          <w:bCs/>
          <w:sz w:val="20"/>
        </w:rPr>
        <w:t xml:space="preserve">Zhao, S., Yang, Z. C., Zhou, X. G., Ling, X. Z., Mora, L. S. </w:t>
      </w:r>
      <w:r w:rsidRPr="00814AA3">
        <w:rPr>
          <w:rFonts w:hint="eastAsia"/>
          <w:bCs/>
          <w:sz w:val="20"/>
        </w:rPr>
        <w:t>e</w:t>
      </w:r>
      <w:r w:rsidRPr="00814AA3">
        <w:rPr>
          <w:bCs/>
          <w:sz w:val="20"/>
        </w:rPr>
        <w:t>t al. (2014).</w:t>
      </w:r>
      <w:r w:rsidRPr="00814AA3">
        <w:rPr>
          <w:sz w:val="20"/>
        </w:rPr>
        <w:t xml:space="preserve"> </w:t>
      </w:r>
      <w:r w:rsidRPr="00814AA3">
        <w:rPr>
          <w:bCs/>
          <w:sz w:val="20"/>
        </w:rPr>
        <w:t xml:space="preserve">Design, fabrication, characterization and simulation of PIP-SiC/SiC composites. </w:t>
      </w:r>
      <w:r w:rsidRPr="00814AA3">
        <w:rPr>
          <w:bCs/>
          <w:i/>
          <w:sz w:val="20"/>
        </w:rPr>
        <w:t>Computers, Materials &amp; Continua, 42(2),</w:t>
      </w:r>
      <w:r w:rsidRPr="00814AA3">
        <w:rPr>
          <w:bCs/>
          <w:sz w:val="20"/>
        </w:rPr>
        <w:t xml:space="preserve"> 103</w:t>
      </w:r>
      <w:r w:rsidR="00034CE8" w:rsidRPr="00AD7BB4">
        <w:rPr>
          <w:sz w:val="20"/>
        </w:rPr>
        <w:t>–</w:t>
      </w:r>
      <w:r w:rsidRPr="00814AA3">
        <w:rPr>
          <w:bCs/>
          <w:sz w:val="20"/>
        </w:rPr>
        <w:t>124</w:t>
      </w:r>
      <w:r w:rsidR="006D0B72" w:rsidRPr="00814AA3">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7A5B9C">
      <w:headerReference w:type="even" r:id="rId12"/>
      <w:headerReference w:type="default" r:id="rId13"/>
      <w:headerReference w:type="first" r:id="rId14"/>
      <w:footerReference w:type="first" r:id="rId15"/>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37A8C" w14:textId="77777777" w:rsidR="000F099D" w:rsidRDefault="000F099D" w:rsidP="004B2475">
      <w:pPr>
        <w:spacing w:after="0"/>
      </w:pPr>
      <w:r>
        <w:separator/>
      </w:r>
    </w:p>
  </w:endnote>
  <w:endnote w:type="continuationSeparator" w:id="0">
    <w:p w14:paraId="1DF523E9" w14:textId="77777777" w:rsidR="000F099D" w:rsidRDefault="000F099D"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0185C" w14:textId="77777777" w:rsidR="000F099D" w:rsidRDefault="000F099D" w:rsidP="004B2475">
      <w:pPr>
        <w:spacing w:after="0"/>
      </w:pPr>
      <w:r>
        <w:separator/>
      </w:r>
    </w:p>
  </w:footnote>
  <w:footnote w:type="continuationSeparator" w:id="0">
    <w:p w14:paraId="00B6FD87" w14:textId="77777777" w:rsidR="000F099D" w:rsidRDefault="000F099D"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233D21AC" w:rsidR="00D02261" w:rsidRPr="00D02261" w:rsidRDefault="00DB021A" w:rsidP="006E3650">
    <w:pPr>
      <w:tabs>
        <w:tab w:val="left" w:pos="8335"/>
      </w:tabs>
      <w:spacing w:after="0"/>
    </w:pPr>
    <w:r>
      <w:rPr>
        <w:sz w:val="20"/>
      </w:rPr>
      <w:t>x</w:t>
    </w:r>
    <w:r w:rsidR="00360213">
      <w:ptab w:relativeTo="margin" w:alignment="right" w:leader="none"/>
    </w:r>
    <w:r w:rsidR="006B76CB">
      <w:rPr>
        <w:rFonts w:hint="eastAsia"/>
        <w:sz w:val="20"/>
      </w:rPr>
      <w:t>ICCES</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34B273E1" w:rsidR="00D02261" w:rsidRPr="00D02261" w:rsidRDefault="006D2E5E" w:rsidP="005549A6">
    <w:pPr>
      <w:tabs>
        <w:tab w:val="left" w:pos="9242"/>
      </w:tabs>
      <w:spacing w:after="0"/>
    </w:pPr>
    <w:r>
      <w:rPr>
        <w:rFonts w:hint="eastAsia"/>
        <w:sz w:val="20"/>
      </w:rPr>
      <w:t>ICCES</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27FAA1AA">
                <wp:extent cx="1712595" cy="409918"/>
                <wp:effectExtent l="0" t="0" r="1905" b="9525"/>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a:blip r:embed="rId1">
                          <a:extLst>
                            <a:ext uri="{28A0092B-C50C-407E-A947-70E740481C1C}">
                              <a14:useLocalDpi xmlns:a14="http://schemas.microsoft.com/office/drawing/2010/main" val="0"/>
                            </a:ext>
                          </a:extLst>
                        </a:blip>
                        <a:srcRect t="2581" b="2581"/>
                        <a:stretch>
                          <a:fillRect/>
                        </a:stretch>
                      </pic:blipFill>
                      <pic:spPr bwMode="auto">
                        <a:xfrm>
                          <a:off x="0" y="0"/>
                          <a:ext cx="1712595"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4CE8"/>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68F0"/>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099D"/>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46C6"/>
    <w:rsid w:val="00105571"/>
    <w:rsid w:val="00106CC6"/>
    <w:rsid w:val="001072A8"/>
    <w:rsid w:val="001077F7"/>
    <w:rsid w:val="00107E5B"/>
    <w:rsid w:val="0011009F"/>
    <w:rsid w:val="0011102B"/>
    <w:rsid w:val="001117BB"/>
    <w:rsid w:val="00113956"/>
    <w:rsid w:val="00113A23"/>
    <w:rsid w:val="00114818"/>
    <w:rsid w:val="00114F0F"/>
    <w:rsid w:val="001151D8"/>
    <w:rsid w:val="0011556C"/>
    <w:rsid w:val="00116258"/>
    <w:rsid w:val="00116BCB"/>
    <w:rsid w:val="00116EC6"/>
    <w:rsid w:val="00117C04"/>
    <w:rsid w:val="00120FC5"/>
    <w:rsid w:val="0012201D"/>
    <w:rsid w:val="00122390"/>
    <w:rsid w:val="00122636"/>
    <w:rsid w:val="001243B3"/>
    <w:rsid w:val="001250C7"/>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5BC6"/>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4E8F"/>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AA"/>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4DD6"/>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57952"/>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6CB"/>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2E5E"/>
    <w:rsid w:val="006D3B2C"/>
    <w:rsid w:val="006D4165"/>
    <w:rsid w:val="006D707E"/>
    <w:rsid w:val="006D7FCC"/>
    <w:rsid w:val="006E012D"/>
    <w:rsid w:val="006E04AB"/>
    <w:rsid w:val="006E1AB7"/>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14C"/>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18"/>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95E3A"/>
    <w:rsid w:val="007A1A07"/>
    <w:rsid w:val="007A1D4B"/>
    <w:rsid w:val="007A26D7"/>
    <w:rsid w:val="007A3058"/>
    <w:rsid w:val="007A31F5"/>
    <w:rsid w:val="007A3F40"/>
    <w:rsid w:val="007A42C9"/>
    <w:rsid w:val="007A46CF"/>
    <w:rsid w:val="007A4765"/>
    <w:rsid w:val="007A5B9C"/>
    <w:rsid w:val="007A610E"/>
    <w:rsid w:val="007A6A21"/>
    <w:rsid w:val="007A72B2"/>
    <w:rsid w:val="007B0112"/>
    <w:rsid w:val="007B1C11"/>
    <w:rsid w:val="007B1F7F"/>
    <w:rsid w:val="007B2001"/>
    <w:rsid w:val="007B2851"/>
    <w:rsid w:val="007B33B0"/>
    <w:rsid w:val="007B4730"/>
    <w:rsid w:val="007B588D"/>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25"/>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AA3"/>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8"/>
    <w:rsid w:val="00A47679"/>
    <w:rsid w:val="00A47A61"/>
    <w:rsid w:val="00A47C1E"/>
    <w:rsid w:val="00A5033A"/>
    <w:rsid w:val="00A5115F"/>
    <w:rsid w:val="00A52A1E"/>
    <w:rsid w:val="00A54493"/>
    <w:rsid w:val="00A55AD1"/>
    <w:rsid w:val="00A55D1F"/>
    <w:rsid w:val="00A57708"/>
    <w:rsid w:val="00A57F6B"/>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D7BB4"/>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2FC2"/>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E7EA2"/>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7AD"/>
    <w:rsid w:val="00C27C3C"/>
    <w:rsid w:val="00C27DE0"/>
    <w:rsid w:val="00C30E31"/>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4D0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9A4"/>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4B0"/>
    <w:rsid w:val="00DB2759"/>
    <w:rsid w:val="00DB2DBA"/>
    <w:rsid w:val="00DB3271"/>
    <w:rsid w:val="00DB3490"/>
    <w:rsid w:val="00DB3864"/>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6D52"/>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3858"/>
    <w:rsid w:val="00F6503D"/>
    <w:rsid w:val="00F65663"/>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C67"/>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D7C"/>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qFormat/>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science.com/books/mlpg_atlur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597</cp:revision>
  <cp:lastPrinted>2024-07-31T04:07:00Z</cp:lastPrinted>
  <dcterms:created xsi:type="dcterms:W3CDTF">2024-07-01T05:10:00Z</dcterms:created>
  <dcterms:modified xsi:type="dcterms:W3CDTF">2024-09-09T03:20:00Z</dcterms:modified>
</cp:coreProperties>
</file>