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D3F2" w14:textId="77777777" w:rsidR="00A42D26" w:rsidRDefault="00A42D26" w:rsidP="00A42D26">
      <w:pPr>
        <w:rPr>
          <w:rFonts w:ascii="Minion Pro" w:hAnsi="Minion Pro" w:cs="Times New Roman"/>
          <w:b/>
          <w:snapToGrid w:val="0"/>
          <w:color w:val="000000"/>
          <w:kern w:val="0"/>
          <w:sz w:val="28"/>
          <w:szCs w:val="20"/>
          <w:lang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 w:val="28"/>
          <w:szCs w:val="20"/>
          <w:lang w:eastAsia="de-DE" w:bidi="en-US"/>
          <w14:ligatures w14:val="none"/>
        </w:rPr>
        <w:t>Supplementary information</w:t>
      </w:r>
    </w:p>
    <w:p w14:paraId="0EF8ECEB" w14:textId="77777777" w:rsidR="00A42D26" w:rsidRDefault="00A42D26" w:rsidP="00A42D26">
      <w:pPr>
        <w:rPr>
          <w:rFonts w:ascii="Minion Pro" w:hAnsi="Minion Pro"/>
        </w:rPr>
      </w:pPr>
    </w:p>
    <w:p w14:paraId="7EA5AC8A" w14:textId="77777777" w:rsidR="00A42D26" w:rsidRDefault="00A42D26" w:rsidP="00A42D26">
      <w:pPr>
        <w:jc w:val="center"/>
        <w:rPr>
          <w:rFonts w:ascii="Minion Pro" w:eastAsia="Times New Roman" w:hAnsi="Minion Pro" w:cs="Times New Roman"/>
          <w:b/>
          <w:snapToGrid w:val="0"/>
          <w:color w:val="000000"/>
          <w:kern w:val="0"/>
          <w:sz w:val="28"/>
          <w:szCs w:val="20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 w:val="28"/>
          <w:szCs w:val="20"/>
          <w:lang w:eastAsia="de-DE" w:bidi="en-US"/>
          <w14:ligatures w14:val="none"/>
        </w:rPr>
        <w:t>Machine Learning for Density Prediction and Process Development of Large Layer Thickness LPBF 304L Stainless Steel and Its Mechanical Impacts</w:t>
      </w:r>
    </w:p>
    <w:p w14:paraId="34D91AAD" w14:textId="77777777" w:rsidR="00A42D26" w:rsidRDefault="00A42D26" w:rsidP="00A42D26">
      <w:pPr>
        <w:pStyle w:val="a9"/>
        <w:numPr>
          <w:ilvl w:val="0"/>
          <w:numId w:val="1"/>
        </w:numPr>
        <w:outlineLvl w:val="0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Data preprocessing and volumetric energy density</w:t>
      </w:r>
    </w:p>
    <w:p w14:paraId="07E13219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t xml:space="preserve">The dataset contains four process variables—layer thickness </w:t>
      </w:r>
      <w:r>
        <w:rPr>
          <w:rFonts w:ascii="Cambria Math" w:hAnsi="Cambria Math" w:cs="Cambria Math"/>
        </w:rPr>
        <w:t>𝐻</w:t>
      </w:r>
      <w:r>
        <w:t xml:space="preserve"> (</w:t>
      </w:r>
      <w:proofErr w:type="spellStart"/>
      <w:r>
        <w:t>μm</w:t>
      </w:r>
      <w:proofErr w:type="spellEnd"/>
      <w:r>
        <w:t xml:space="preserve">), laser power </w:t>
      </w:r>
      <w:r>
        <w:rPr>
          <w:rFonts w:ascii="Cambria Math" w:hAnsi="Cambria Math" w:cs="Cambria Math"/>
        </w:rPr>
        <w:t>𝑃</w:t>
      </w:r>
      <w:r>
        <w:t xml:space="preserve"> (W), scan speed </w:t>
      </w:r>
      <w:r>
        <w:rPr>
          <w:rFonts w:ascii="Cambria Math" w:hAnsi="Cambria Math" w:cs="Cambria Math"/>
        </w:rPr>
        <w:t>𝑉</w:t>
      </w:r>
      <w:r>
        <w:t xml:space="preserve"> (mm/s), and hatch spacing </w:t>
      </w:r>
      <w:r>
        <w:rPr>
          <w:rFonts w:ascii="Cambria Math" w:hAnsi="Cambria Math" w:cs="Cambria Math"/>
        </w:rPr>
        <w:t>𝑆</w:t>
      </w:r>
      <w:r>
        <w:t xml:space="preserve"> (mm)—and the measured relative density </w:t>
      </w:r>
      <w:r>
        <w:rPr>
          <w:rFonts w:ascii="Cambria Math" w:hAnsi="Cambria Math" w:cs="Cambria Math"/>
        </w:rPr>
        <w:t>𝑦</w:t>
      </w:r>
      <w:r>
        <w:t xml:space="preserve"> (%). All required columns were converted to numeric values and samples with missing entries were discarded. Non-physical records (</w:t>
      </w:r>
      <w:r>
        <w:rPr>
          <w:rFonts w:ascii="Cambria Math" w:hAnsi="Cambria Math" w:cs="Cambria Math"/>
        </w:rPr>
        <w:t>𝐻</w:t>
      </w:r>
      <w:r>
        <w:t xml:space="preserve">≤0, </w:t>
      </w:r>
      <w:r>
        <w:rPr>
          <w:rFonts w:ascii="Cambria Math" w:hAnsi="Cambria Math" w:cs="Cambria Math"/>
        </w:rPr>
        <w:t>𝑃</w:t>
      </w:r>
      <w:r>
        <w:t xml:space="preserve">≤0, </w:t>
      </w:r>
      <w:r>
        <w:rPr>
          <w:rFonts w:ascii="Cambria Math" w:hAnsi="Cambria Math" w:cs="Cambria Math"/>
        </w:rPr>
        <w:t>𝑉</w:t>
      </w:r>
      <w:r>
        <w:t xml:space="preserve">≤0, or </w:t>
      </w:r>
      <w:r>
        <w:rPr>
          <w:rFonts w:ascii="Cambria Math" w:hAnsi="Cambria Math" w:cs="Cambria Math"/>
        </w:rPr>
        <w:t>𝑆</w:t>
      </w:r>
      <w:r>
        <w:t>≤0) were removed. Volumetric energy density was computed as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48B14532" w14:textId="77777777" w:rsidTr="00506B51">
        <w:tc>
          <w:tcPr>
            <w:tcW w:w="8497" w:type="dxa"/>
            <w:vAlign w:val="center"/>
          </w:tcPr>
          <w:p w14:paraId="654B94FD" w14:textId="77777777" w:rsidR="00A42D26" w:rsidRDefault="00A42D26" w:rsidP="00506B51">
            <w:pPr>
              <w:spacing w:after="0" w:line="360" w:lineRule="auto"/>
              <w:ind w:firstLine="420"/>
              <w:rPr>
                <w:sz w:val="24"/>
                <w14:ligatures w14:val="non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14:ligatures w14:val="none"/>
                  </w:rPr>
                  <m:t>E=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2"/>
                        <w14:ligatures w14:val="none"/>
                      </w:rPr>
                      <m:t>S(</m:t>
                    </m:r>
                    <m:f>
                      <m:fPr>
                        <m:ctrlPr>
                          <w:rPr>
                            <w:rFonts w:ascii="Cambria Math" w:hAnsi="Cambria Math" w:cs="Cambria Math"/>
                            <w:szCs w:val="22"/>
                            <w14:ligatures w14:val="non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Cs w:val="22"/>
                            <w14:ligatures w14:val="none"/>
                          </w:rPr>
                          <m:t>H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Cs w:val="22"/>
                            <w14:ligatures w14:val="none"/>
                          </w:rPr>
                          <m:t>1000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2"/>
                        <w14:ligatures w14:val="none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22"/>
                    <w14:ligatures w14:val="none"/>
                  </w:rPr>
                  <m:t xml:space="preserve"> </m:t>
                </m:r>
              </m:oMath>
            </m:oMathPara>
          </w:p>
        </w:tc>
        <w:tc>
          <w:tcPr>
            <w:tcW w:w="864" w:type="dxa"/>
            <w:vAlign w:val="center"/>
          </w:tcPr>
          <w:p w14:paraId="1F9F98AF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1</w:t>
            </w:r>
            <w:r>
              <w:rPr>
                <w:sz w:val="20"/>
              </w:rPr>
              <w:t>)</w:t>
            </w:r>
          </w:p>
        </w:tc>
      </w:tr>
    </w:tbl>
    <w:p w14:paraId="53B85DEA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</w:t>
      </w:r>
      <w:r>
        <w:rPr>
          <w:rFonts w:ascii="Cambria Math" w:eastAsiaTheme="minorEastAsia" w:hAnsi="Cambria Math" w:cs="Cambria Math"/>
          <w:lang w:eastAsia="zh-CN"/>
        </w:rPr>
        <w:t>𝐻</w:t>
      </w:r>
      <w:r>
        <w:rPr>
          <w:rFonts w:eastAsiaTheme="minorEastAsia"/>
          <w:lang w:eastAsia="zh-CN"/>
        </w:rPr>
        <w:t xml:space="preserve">/1000 converts thickness from </w:t>
      </w:r>
      <w:proofErr w:type="spellStart"/>
      <w:r>
        <w:rPr>
          <w:rFonts w:eastAsiaTheme="minorEastAsia"/>
          <w:lang w:eastAsia="zh-CN"/>
        </w:rPr>
        <w:t>μm</w:t>
      </w:r>
      <w:proofErr w:type="spellEnd"/>
      <w:r>
        <w:rPr>
          <w:rFonts w:eastAsiaTheme="minorEastAsia"/>
          <w:lang w:eastAsia="zh-CN"/>
        </w:rPr>
        <w:t xml:space="preserve"> to mm. The density target was constrained to physically meaningful bounds. Specifically, if max(</w:t>
      </w:r>
      <w:r>
        <w:rPr>
          <w:rFonts w:ascii="Cambria Math" w:eastAsiaTheme="minorEastAsia" w:hAnsi="Cambria Math" w:cs="Cambria Math"/>
          <w:lang w:eastAsia="zh-CN"/>
        </w:rPr>
        <w:t>𝑦</w:t>
      </w:r>
      <w:r>
        <w:rPr>
          <w:rFonts w:eastAsiaTheme="minorEastAsia"/>
          <w:lang w:eastAsia="zh-CN"/>
        </w:rPr>
        <w:t xml:space="preserve">)≤1.5, the target was treated as a ratio and clipped to [0,1]; </w:t>
      </w:r>
      <w:proofErr w:type="gramStart"/>
      <w:r>
        <w:rPr>
          <w:rFonts w:eastAsiaTheme="minorEastAsia"/>
          <w:lang w:eastAsia="zh-CN"/>
        </w:rPr>
        <w:t>otherwise</w:t>
      </w:r>
      <w:proofErr w:type="gramEnd"/>
      <w:r>
        <w:rPr>
          <w:rFonts w:eastAsiaTheme="minorEastAsia"/>
          <w:lang w:eastAsia="zh-CN"/>
        </w:rPr>
        <w:t xml:space="preserve"> the target was treated as percentage and clipped to [0,100]. In this study, the target density is reported in percent and the mechanistic model uses </w:t>
      </w:r>
      <w:r>
        <w:rPr>
          <w:rFonts w:ascii="Cambria Math" w:eastAsiaTheme="minorEastAsia" w:hAnsi="Cambria Math" w:cs="Cambria Math"/>
          <w:lang w:eastAsia="zh-CN"/>
        </w:rPr>
        <w:t>𝐷</w:t>
      </w:r>
      <w:r>
        <w:rPr>
          <w:rFonts w:eastAsiaTheme="minorEastAsia"/>
          <w:vertAlign w:val="subscript"/>
          <w:lang w:eastAsia="zh-CN"/>
        </w:rPr>
        <w:t>max</w:t>
      </w:r>
      <w:r>
        <w:rPr>
          <w:rFonts w:eastAsiaTheme="minorEastAsia"/>
          <w:lang w:eastAsia="zh-CN"/>
        </w:rPr>
        <w:t>=100%.</w:t>
      </w:r>
    </w:p>
    <w:p w14:paraId="62F7B02C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suppress spurious points, a robust outlier filter based on the interquartile range (IQR) was applied to the density target:</w:t>
      </w:r>
    </w:p>
    <w:tbl>
      <w:tblPr>
        <w:tblStyle w:val="af2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992"/>
      </w:tblGrid>
      <w:tr w:rsidR="00A42D26" w14:paraId="0FC4ECE8" w14:textId="77777777" w:rsidTr="00506B51">
        <w:tc>
          <w:tcPr>
            <w:tcW w:w="8642" w:type="dxa"/>
            <w:vAlign w:val="center"/>
          </w:tcPr>
          <w:p w14:paraId="532E83D7" w14:textId="77777777" w:rsidR="00A42D26" w:rsidRDefault="00A42D26" w:rsidP="00506B51">
            <w:pPr>
              <w:spacing w:after="0" w:line="360" w:lineRule="auto"/>
              <w:ind w:firstLine="420"/>
              <w:rPr>
                <w:rFonts w:cs="Cambria Math"/>
                <w:szCs w:val="22"/>
                <w14:ligatures w14:val="non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14:ligatures w14:val="none"/>
                  </w:rPr>
                  <m:t>[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14:ligatures w14:val="none"/>
                  </w:rPr>
                  <m:t>,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14:ligatures w14:val="none"/>
                  </w:rPr>
                  <m:t>]=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Cs w:val="22"/>
                            <w14:ligatures w14:val="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Cs w:val="22"/>
                            <w14:ligatures w14:val="none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Cs w:val="22"/>
                            <w14:ligatures w14:val="none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-3.0⋅IQR,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Cs w:val="22"/>
                            <w14:ligatures w14:val="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Cs w:val="22"/>
                            <w14:ligatures w14:val="none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Cs w:val="22"/>
                            <w14:ligatures w14:val="none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+3.0⋅IQR</m:t>
                    </m:r>
                  </m:e>
                </m:d>
              </m:oMath>
            </m:oMathPara>
          </w:p>
        </w:tc>
        <w:tc>
          <w:tcPr>
            <w:tcW w:w="992" w:type="dxa"/>
            <w:vAlign w:val="center"/>
          </w:tcPr>
          <w:p w14:paraId="3A84B29C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rFonts w:eastAsia="宋体" w:cs="宋体"/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eastAsia="宋体" w:cs="宋体"/>
                <w:sz w:val="20"/>
              </w:rPr>
              <w:t>）</w:t>
            </w:r>
          </w:p>
        </w:tc>
      </w:tr>
    </w:tbl>
    <w:p w14:paraId="10C138C8" w14:textId="77777777" w:rsidR="00A42D26" w:rsidRDefault="00A42D26" w:rsidP="00A42D26">
      <w:pPr>
        <w:spacing w:after="0" w:line="360" w:lineRule="auto"/>
        <w:ind w:firstLine="420"/>
        <w:jc w:val="both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where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𝑄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1 and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𝑄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3 are the 25th and 75th percentiles, respectively, and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𝐼𝑄𝑅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=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𝑄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3−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𝑄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1. Samples with y outside this range were removed.</w:t>
      </w:r>
    </w:p>
    <w:p w14:paraId="5FAC027B" w14:textId="77777777" w:rsidR="00A42D26" w:rsidRDefault="00A42D26" w:rsidP="00A42D26">
      <w:pPr>
        <w:pStyle w:val="a9"/>
        <w:numPr>
          <w:ilvl w:val="0"/>
          <w:numId w:val="1"/>
        </w:numPr>
        <w:outlineLvl w:val="0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Stratified splitting strategy</w:t>
      </w:r>
    </w:p>
    <w:p w14:paraId="64E820DE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Joint strata: thickness × energy bins</w:t>
      </w:r>
    </w:p>
    <w:p w14:paraId="3841CBFA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mitigate sampling bias across thickness and energy regimes, all dataset splits were stratified using joint strata defined by the discrete layer thickness and within-thickness energy bins. For each thickness group </w:t>
      </w:r>
      <w:r>
        <w:rPr>
          <w:rFonts w:ascii="Cambria Math" w:eastAsiaTheme="minorEastAsia" w:hAnsi="Cambria Math" w:cs="Cambria Math"/>
          <w:lang w:eastAsia="zh-CN"/>
        </w:rPr>
        <w:t>𝐻</w:t>
      </w:r>
      <w:proofErr w:type="gramStart"/>
      <w:r>
        <w:rPr>
          <w:rFonts w:ascii="Cambria Math" w:eastAsiaTheme="minorEastAsia" w:hAnsi="Cambria Math" w:cs="Cambria Math"/>
          <w:lang w:eastAsia="zh-CN"/>
        </w:rPr>
        <w:t>∈</w:t>
      </w:r>
      <w:r>
        <w:rPr>
          <w:rFonts w:eastAsiaTheme="minorEastAsia"/>
          <w:lang w:eastAsia="zh-CN"/>
        </w:rPr>
        <w:t>{</w:t>
      </w:r>
      <w:proofErr w:type="gramEnd"/>
      <w:r>
        <w:rPr>
          <w:rFonts w:eastAsiaTheme="minorEastAsia"/>
          <w:lang w:eastAsia="zh-CN"/>
        </w:rPr>
        <w:t xml:space="preserve">60,90,120}, the computed energy density values </w:t>
      </w:r>
      <w:r>
        <w:rPr>
          <w:rFonts w:ascii="Cambria Math" w:eastAsiaTheme="minorEastAsia" w:hAnsi="Cambria Math" w:cs="Cambria Math"/>
          <w:lang w:eastAsia="zh-CN"/>
        </w:rPr>
        <w:t>𝐸</w:t>
      </w:r>
      <w:r>
        <w:rPr>
          <w:rFonts w:eastAsiaTheme="minorEastAsia"/>
          <w:lang w:eastAsia="zh-CN"/>
        </w:rPr>
        <w:t xml:space="preserve"> were ranked (method = “first”) and discretized into quantile bins using </w:t>
      </w:r>
      <w:proofErr w:type="spellStart"/>
      <w:r>
        <w:rPr>
          <w:rFonts w:eastAsiaTheme="minorEastAsia"/>
          <w:lang w:eastAsia="zh-CN"/>
        </w:rPr>
        <w:t>qcut</w:t>
      </w:r>
      <w:proofErr w:type="spellEnd"/>
      <w:r>
        <w:rPr>
          <w:rFonts w:eastAsiaTheme="minorEastAsia"/>
          <w:lang w:eastAsia="zh-CN"/>
        </w:rPr>
        <w:t xml:space="preserve"> with duplicates="drop". The number of bins per thickness was set to:</w:t>
      </w:r>
    </w:p>
    <w:p w14:paraId="4F3AFBCE" w14:textId="77777777" w:rsidR="00A42D26" w:rsidRDefault="00A42D26" w:rsidP="00A42D26">
      <w:pPr>
        <w:pStyle w:val="TSP31text"/>
        <w:numPr>
          <w:ilvl w:val="0"/>
          <w:numId w:val="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Energy bins per thickness: </w:t>
      </w:r>
      <w:r>
        <w:rPr>
          <w:rFonts w:ascii="Cambria Math" w:eastAsiaTheme="minorEastAsia" w:hAnsi="Cambria Math" w:cs="Cambria Math"/>
          <w:lang w:eastAsia="zh-CN"/>
        </w:rPr>
        <w:t>𝐾</w:t>
      </w:r>
      <w:r>
        <w:rPr>
          <w:rFonts w:eastAsiaTheme="minorEastAsia"/>
          <w:lang w:eastAsia="zh-CN"/>
        </w:rPr>
        <w:t>=3</w:t>
      </w:r>
    </w:p>
    <w:p w14:paraId="24DADA57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a thickness group contained insufficient unique </w:t>
      </w:r>
      <w:r>
        <w:rPr>
          <w:rFonts w:ascii="Cambria Math" w:eastAsiaTheme="minorEastAsia" w:hAnsi="Cambria Math" w:cs="Cambria Math"/>
          <w:lang w:eastAsia="zh-CN"/>
        </w:rPr>
        <w:t>𝐸</w:t>
      </w:r>
      <w:r>
        <w:rPr>
          <w:rFonts w:eastAsiaTheme="minorEastAsia"/>
          <w:lang w:eastAsia="zh-CN"/>
        </w:rPr>
        <w:t xml:space="preserve"> values, the effective number of bins was reduced automatically to avoid empty bins. The final stratum label was formatted as:</w:t>
      </w:r>
    </w:p>
    <w:tbl>
      <w:tblPr>
        <w:tblStyle w:val="af2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993"/>
      </w:tblGrid>
      <w:tr w:rsidR="00A42D26" w14:paraId="57FA25F6" w14:textId="77777777" w:rsidTr="00506B51">
        <w:tc>
          <w:tcPr>
            <w:tcW w:w="8500" w:type="dxa"/>
          </w:tcPr>
          <w:p w14:paraId="7AF70089" w14:textId="77777777" w:rsidR="00A42D26" w:rsidRDefault="00A42D26" w:rsidP="00506B51">
            <w:pPr>
              <w:spacing w:after="0" w:line="360" w:lineRule="auto"/>
              <w:ind w:firstLine="420"/>
              <w:rPr>
                <w:rFonts w:eastAsia="Cambria Math" w:cs="Cambria Math"/>
                <w:szCs w:val="22"/>
                <w14:ligatures w14:val="none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14:ligatures w14:val="none"/>
                  </w:rPr>
                  <m:t>stratum=H{H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}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Cs w:val="22"/>
                        <w14:ligatures w14:val="none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14:ligatures w14:val="none"/>
                  </w:rPr>
                  <m:t>{b}</m:t>
                </m:r>
              </m:oMath>
            </m:oMathPara>
          </w:p>
        </w:tc>
        <w:tc>
          <w:tcPr>
            <w:tcW w:w="993" w:type="dxa"/>
          </w:tcPr>
          <w:p w14:paraId="70DC8C2A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rFonts w:eastAsia="宋体" w:cs="宋体"/>
                <w:sz w:val="20"/>
              </w:rPr>
              <w:t>（</w:t>
            </w:r>
            <w:r>
              <w:rPr>
                <w:sz w:val="20"/>
              </w:rPr>
              <w:t>3</w:t>
            </w:r>
            <w:r>
              <w:rPr>
                <w:rFonts w:eastAsia="宋体" w:cs="宋体"/>
                <w:sz w:val="20"/>
              </w:rPr>
              <w:t>）</w:t>
            </w:r>
          </w:p>
        </w:tc>
      </w:tr>
    </w:tbl>
    <w:p w14:paraId="328F2E34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</w:t>
      </w:r>
      <w:r>
        <w:rPr>
          <w:rFonts w:ascii="Cambria Math" w:eastAsiaTheme="minorEastAsia" w:hAnsi="Cambria Math" w:cs="Cambria Math"/>
          <w:lang w:eastAsia="zh-CN"/>
        </w:rPr>
        <w:t>𝑏</w:t>
      </w:r>
      <w:proofErr w:type="gramStart"/>
      <w:r>
        <w:rPr>
          <w:rFonts w:ascii="Cambria Math" w:eastAsiaTheme="minorEastAsia" w:hAnsi="Cambria Math" w:cs="Cambria Math"/>
          <w:lang w:eastAsia="zh-CN"/>
        </w:rPr>
        <w:t>∈</w:t>
      </w:r>
      <w:r>
        <w:rPr>
          <w:rFonts w:eastAsiaTheme="minorEastAsia"/>
          <w:lang w:eastAsia="zh-CN"/>
        </w:rPr>
        <w:t>{</w:t>
      </w:r>
      <w:proofErr w:type="gramEnd"/>
      <w:r>
        <w:rPr>
          <w:rFonts w:eastAsiaTheme="minorEastAsia"/>
          <w:lang w:eastAsia="zh-CN"/>
        </w:rPr>
        <w:t>0,1,2} denotes the energy-bin index within the corresponding thickness group.</w:t>
      </w:r>
    </w:p>
    <w:p w14:paraId="39EC4095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Outer train–test split (single holdout)</w:t>
      </w:r>
    </w:p>
    <w:p w14:paraId="377656BE" w14:textId="77777777" w:rsidR="00A42D26" w:rsidRDefault="00A42D26" w:rsidP="00A42D26">
      <w:pPr>
        <w:pStyle w:val="a9"/>
        <w:ind w:left="992"/>
        <w:rPr>
          <w:rFonts w:ascii="Minion Pro" w:hAnsi="Minion Pro" w:cs="Times New Roman"/>
          <w:snapToGrid w:val="0"/>
          <w:szCs w:val="22"/>
          <w:lang w:bidi="en-US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A single holdout split was generated using stratified sampling on the stratum labels:</w:t>
      </w:r>
    </w:p>
    <w:p w14:paraId="51EA7CDB" w14:textId="77777777" w:rsidR="00A42D26" w:rsidRDefault="00A42D26" w:rsidP="00A42D26">
      <w:pPr>
        <w:pStyle w:val="a9"/>
        <w:numPr>
          <w:ilvl w:val="0"/>
          <w:numId w:val="2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lastRenderedPageBreak/>
        <w:t>Train/test ratio: 80% / 20%</w:t>
      </w:r>
    </w:p>
    <w:p w14:paraId="2BC4C27D" w14:textId="77777777" w:rsidR="00A42D26" w:rsidRDefault="00A42D26" w:rsidP="00A42D26">
      <w:pPr>
        <w:pStyle w:val="a9"/>
        <w:numPr>
          <w:ilvl w:val="0"/>
          <w:numId w:val="2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Stratification: joint stratum labels (thickness × energy-bin)</w:t>
      </w:r>
    </w:p>
    <w:p w14:paraId="36660296" w14:textId="77777777" w:rsidR="00A42D26" w:rsidRDefault="00A42D26" w:rsidP="00A42D26">
      <w:pPr>
        <w:pStyle w:val="a9"/>
        <w:numPr>
          <w:ilvl w:val="0"/>
          <w:numId w:val="2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Random seed: 42</w:t>
      </w:r>
    </w:p>
    <w:p w14:paraId="027E11C8" w14:textId="77777777" w:rsidR="00A42D26" w:rsidRDefault="00A42D26" w:rsidP="00A42D26">
      <w:pPr>
        <w:pStyle w:val="a9"/>
        <w:ind w:left="992"/>
        <w:rPr>
          <w:rFonts w:ascii="Minion Pro" w:hAnsi="Minion Pro" w:cs="Times New Roman"/>
          <w:snapToGrid w:val="0"/>
          <w:szCs w:val="22"/>
          <w:lang w:bidi="en-US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This outer split was used to report the final test-set performance.</w:t>
      </w:r>
    </w:p>
    <w:p w14:paraId="397CDE9A" w14:textId="77777777" w:rsidR="00A42D26" w:rsidRDefault="00A42D26" w:rsidP="00A42D26">
      <w:pPr>
        <w:pStyle w:val="a9"/>
        <w:numPr>
          <w:ilvl w:val="0"/>
          <w:numId w:val="1"/>
        </w:numPr>
        <w:outlineLvl w:val="0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Feature engineering and preprocessing</w:t>
      </w:r>
    </w:p>
    <w:p w14:paraId="06749597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Engineered features for residual learning</w:t>
      </w:r>
    </w:p>
    <w:p w14:paraId="419B6B97" w14:textId="77777777" w:rsidR="00A42D26" w:rsidRDefault="00A42D26" w:rsidP="00A42D26">
      <w:pPr>
        <w:pStyle w:val="TSP31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Residual learning uses engineered descriptors that capture heat-input and scan-geometry coupling beyond the explicit mechanistic model. The feature set includes the original process variables, volumetric energy density </w:t>
      </w:r>
      <w:r>
        <w:rPr>
          <w:rFonts w:ascii="Cambria Math" w:eastAsiaTheme="minorEastAsia" w:hAnsi="Cambria Math" w:cs="Cambria Math"/>
          <w:lang w:eastAsia="zh-CN"/>
        </w:rPr>
        <w:t>𝐸</w:t>
      </w:r>
      <w:r>
        <w:rPr>
          <w:rFonts w:eastAsiaTheme="minorEastAsia"/>
          <w:lang w:eastAsia="zh-CN"/>
        </w:rPr>
        <w:t>, and additional nonlinear/interaction terms defined in Supplementary Table S1.</w:t>
      </w:r>
    </w:p>
    <w:p w14:paraId="027B605E" w14:textId="77777777" w:rsidR="00A42D26" w:rsidRDefault="00A42D26" w:rsidP="00A42D26">
      <w:pPr>
        <w:pStyle w:val="TSP31text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Table S1.</w:t>
      </w:r>
      <w:r>
        <w:rPr>
          <w:rFonts w:eastAsiaTheme="minorEastAsia"/>
          <w:lang w:eastAsia="zh-CN"/>
        </w:rPr>
        <w:t xml:space="preserve"> Input features used by the residual learners.</w:t>
      </w:r>
    </w:p>
    <w:tbl>
      <w:tblPr>
        <w:tblStyle w:val="af2"/>
        <w:tblW w:w="518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2317"/>
        <w:gridCol w:w="3669"/>
      </w:tblGrid>
      <w:tr w:rsidR="00A42D26" w14:paraId="58BC7F28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522CA7D3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b/>
                <w:bCs/>
                <w:sz w:val="20"/>
              </w:rPr>
              <w:t>Category</w:t>
            </w:r>
          </w:p>
        </w:tc>
        <w:tc>
          <w:tcPr>
            <w:tcW w:w="1239" w:type="pct"/>
            <w:vAlign w:val="center"/>
          </w:tcPr>
          <w:p w14:paraId="162F33E8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b/>
                <w:bCs/>
                <w:sz w:val="20"/>
              </w:rPr>
              <w:t>Feature name</w:t>
            </w:r>
          </w:p>
        </w:tc>
        <w:tc>
          <w:tcPr>
            <w:tcW w:w="1962" w:type="pct"/>
            <w:vAlign w:val="center"/>
          </w:tcPr>
          <w:p w14:paraId="2BE70521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b/>
                <w:bCs/>
                <w:sz w:val="20"/>
              </w:rPr>
              <w:t>Definition</w:t>
            </w:r>
          </w:p>
        </w:tc>
      </w:tr>
      <w:tr w:rsidR="00A42D26" w14:paraId="191C7DA8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5266F5E6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Raw variables</w:t>
            </w:r>
          </w:p>
        </w:tc>
        <w:tc>
          <w:tcPr>
            <w:tcW w:w="1239" w:type="pct"/>
            <w:vAlign w:val="center"/>
          </w:tcPr>
          <w:p w14:paraId="52F466A0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(H)</w:t>
            </w:r>
          </w:p>
        </w:tc>
        <w:tc>
          <w:tcPr>
            <w:tcW w:w="1962" w:type="pct"/>
            <w:vAlign w:val="center"/>
          </w:tcPr>
          <w:p w14:paraId="0511DB73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Layer thickness (</w:t>
            </w:r>
            <w:proofErr w:type="spellStart"/>
            <w:r>
              <w:rPr>
                <w:sz w:val="20"/>
              </w:rPr>
              <w:t>μm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42D26" w14:paraId="62FFADAE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750D5651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Raw variables</w:t>
            </w:r>
          </w:p>
        </w:tc>
        <w:tc>
          <w:tcPr>
            <w:tcW w:w="1239" w:type="pct"/>
            <w:vAlign w:val="center"/>
          </w:tcPr>
          <w:p w14:paraId="1BB55BC9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(P)</w:t>
            </w:r>
          </w:p>
        </w:tc>
        <w:tc>
          <w:tcPr>
            <w:tcW w:w="1962" w:type="pct"/>
            <w:vAlign w:val="center"/>
          </w:tcPr>
          <w:p w14:paraId="178EF953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Laser power (W)</w:t>
            </w:r>
          </w:p>
        </w:tc>
      </w:tr>
      <w:tr w:rsidR="00A42D26" w14:paraId="0C9517D5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05B6E5D3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Raw variables</w:t>
            </w:r>
          </w:p>
        </w:tc>
        <w:tc>
          <w:tcPr>
            <w:tcW w:w="1239" w:type="pct"/>
            <w:vAlign w:val="center"/>
          </w:tcPr>
          <w:p w14:paraId="549B7B8F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(V)</w:t>
            </w:r>
          </w:p>
        </w:tc>
        <w:tc>
          <w:tcPr>
            <w:tcW w:w="1962" w:type="pct"/>
            <w:vAlign w:val="center"/>
          </w:tcPr>
          <w:p w14:paraId="6BE007B8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Scan speed (mm/s)</w:t>
            </w:r>
          </w:p>
        </w:tc>
      </w:tr>
      <w:tr w:rsidR="00A42D26" w14:paraId="2682D6DF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4EBFEEC4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Raw variables</w:t>
            </w:r>
          </w:p>
        </w:tc>
        <w:tc>
          <w:tcPr>
            <w:tcW w:w="1239" w:type="pct"/>
            <w:vAlign w:val="center"/>
          </w:tcPr>
          <w:p w14:paraId="3437AB5F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(S)</w:t>
            </w:r>
          </w:p>
        </w:tc>
        <w:tc>
          <w:tcPr>
            <w:tcW w:w="1962" w:type="pct"/>
            <w:vAlign w:val="center"/>
          </w:tcPr>
          <w:p w14:paraId="56B63101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Hatch spacing (mm)</w:t>
            </w:r>
          </w:p>
        </w:tc>
      </w:tr>
      <w:tr w:rsidR="00A42D26" w14:paraId="293A48C1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0479E4E2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Energy density</w:t>
            </w:r>
          </w:p>
        </w:tc>
        <w:tc>
          <w:tcPr>
            <w:tcW w:w="1239" w:type="pct"/>
            <w:vAlign w:val="center"/>
          </w:tcPr>
          <w:p w14:paraId="534E6A99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sz w:val="20"/>
              </w:rPr>
              <w:t>(E)</w:t>
            </w:r>
          </w:p>
        </w:tc>
        <w:tc>
          <w:tcPr>
            <w:tcW w:w="1962" w:type="pct"/>
            <w:vAlign w:val="center"/>
          </w:tcPr>
          <w:p w14:paraId="025C47C7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Theme="minorEastAsia"/>
                <w:sz w:val="2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E=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</w:rPr>
                      <m:t>S(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Cambria Math"/>
                          </w:rPr>
                          <m:t>H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Cambria Math"/>
                          </w:rPr>
                          <m:t>1000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mbria Math" w:hAnsi="Cambria Math"/>
                  </w:rPr>
                  <m:t xml:space="preserve"> </m:t>
                </m:r>
              </m:oMath>
            </m:oMathPara>
          </w:p>
        </w:tc>
      </w:tr>
      <w:tr w:rsidR="00A42D26" w14:paraId="2BC67A7C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3C05D514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Line energy</w:t>
            </w:r>
          </w:p>
        </w:tc>
        <w:tc>
          <w:tcPr>
            <w:tcW w:w="1239" w:type="pct"/>
            <w:vAlign w:val="center"/>
          </w:tcPr>
          <w:p w14:paraId="46CC3D40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LED</w:t>
            </w:r>
          </w:p>
        </w:tc>
        <w:tc>
          <w:tcPr>
            <w:tcW w:w="1962" w:type="pct"/>
            <w:vAlign w:val="center"/>
          </w:tcPr>
          <w:p w14:paraId="2456AA0D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w:r>
              <w:rPr>
                <w:sz w:val="20"/>
              </w:rPr>
              <w:t>(P/V)</w:t>
            </w:r>
          </w:p>
        </w:tc>
      </w:tr>
      <w:tr w:rsidR="00A42D26" w14:paraId="6A6C0B3D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78559EA4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Surface energy proxy</w:t>
            </w:r>
          </w:p>
        </w:tc>
        <w:tc>
          <w:tcPr>
            <w:tcW w:w="1239" w:type="pct"/>
            <w:vAlign w:val="center"/>
          </w:tcPr>
          <w:p w14:paraId="07B3F13E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AED</w:t>
            </w:r>
          </w:p>
        </w:tc>
        <w:tc>
          <w:tcPr>
            <w:tcW w:w="1962" w:type="pct"/>
            <w:vAlign w:val="center"/>
          </w:tcPr>
          <w:p w14:paraId="1D3A8E26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w:r>
              <w:rPr>
                <w:sz w:val="20"/>
              </w:rPr>
              <w:t>(P</w:t>
            </w:r>
            <w:proofErr w:type="gramStart"/>
            <w:r>
              <w:rPr>
                <w:sz w:val="20"/>
              </w:rPr>
              <w:t>/(</w:t>
            </w:r>
            <w:proofErr w:type="gramEnd"/>
            <w:r>
              <w:rPr>
                <w:sz w:val="20"/>
              </w:rPr>
              <w:t>V S))</w:t>
            </w:r>
          </w:p>
        </w:tc>
      </w:tr>
      <w:tr w:rsidR="00A42D26" w14:paraId="45699E13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4DF80F48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Nonlinear transform</w:t>
            </w:r>
          </w:p>
        </w:tc>
        <w:tc>
          <w:tcPr>
            <w:tcW w:w="1239" w:type="pct"/>
            <w:vAlign w:val="center"/>
          </w:tcPr>
          <w:p w14:paraId="406F1B1E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logE</w:t>
            </w:r>
            <w:proofErr w:type="spellEnd"/>
          </w:p>
        </w:tc>
        <w:tc>
          <w:tcPr>
            <w:tcW w:w="1962" w:type="pct"/>
            <w:vAlign w:val="center"/>
          </w:tcPr>
          <w:p w14:paraId="01701F33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log⁡(max(E,</m:t>
                </m:r>
                <m:sSup>
                  <m:sSupPr>
                    <m:ctrlPr>
                      <w:rPr>
                        <w:rFonts w:ascii="Cambria Math" w:eastAsia="等线" w:hAnsi="Cambria Math"/>
                        <w:sz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-12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))</m:t>
                </m:r>
              </m:oMath>
            </m:oMathPara>
          </w:p>
        </w:tc>
      </w:tr>
      <w:tr w:rsidR="00A42D26" w14:paraId="3963E8C9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7FE221BB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Inverse-speed</w:t>
            </w:r>
          </w:p>
        </w:tc>
        <w:tc>
          <w:tcPr>
            <w:tcW w:w="1239" w:type="pct"/>
            <w:vAlign w:val="center"/>
          </w:tcPr>
          <w:p w14:paraId="2134FEA4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invV</w:t>
            </w:r>
            <w:proofErr w:type="spellEnd"/>
          </w:p>
        </w:tc>
        <w:tc>
          <w:tcPr>
            <w:tcW w:w="1962" w:type="pct"/>
            <w:vAlign w:val="center"/>
          </w:tcPr>
          <w:p w14:paraId="0919AF3A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1/max(V,</m:t>
                </m:r>
                <m:sSup>
                  <m:sSupPr>
                    <m:ctrlPr>
                      <w:rPr>
                        <w:rFonts w:ascii="Cambria Math" w:eastAsia="等线" w:hAnsi="Cambria Math"/>
                        <w:sz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-12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)</m:t>
                </m:r>
              </m:oMath>
            </m:oMathPara>
          </w:p>
        </w:tc>
      </w:tr>
      <w:tr w:rsidR="00A42D26" w14:paraId="7145004D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48E64102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Interaction</w:t>
            </w:r>
          </w:p>
        </w:tc>
        <w:tc>
          <w:tcPr>
            <w:tcW w:w="1239" w:type="pct"/>
            <w:vAlign w:val="center"/>
          </w:tcPr>
          <w:p w14:paraId="4458C956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P_over_S</w:t>
            </w:r>
            <w:proofErr w:type="spellEnd"/>
          </w:p>
        </w:tc>
        <w:tc>
          <w:tcPr>
            <w:tcW w:w="1962" w:type="pct"/>
            <w:vAlign w:val="center"/>
          </w:tcPr>
          <w:p w14:paraId="1D30B964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P/max(S,</m:t>
                </m:r>
                <m:sSup>
                  <m:sSupPr>
                    <m:ctrlPr>
                      <w:rPr>
                        <w:rFonts w:ascii="Cambria Math" w:eastAsia="等线" w:hAnsi="Cambria Math"/>
                        <w:sz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-12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)</m:t>
                </m:r>
              </m:oMath>
            </m:oMathPara>
          </w:p>
        </w:tc>
      </w:tr>
      <w:tr w:rsidR="00A42D26" w14:paraId="11400723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7F29750B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Nonlinear energy</w:t>
            </w:r>
          </w:p>
        </w:tc>
        <w:tc>
          <w:tcPr>
            <w:tcW w:w="1239" w:type="pct"/>
            <w:vAlign w:val="center"/>
          </w:tcPr>
          <w:p w14:paraId="747C1690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E2</w:t>
            </w:r>
          </w:p>
        </w:tc>
        <w:tc>
          <w:tcPr>
            <w:tcW w:w="1962" w:type="pct"/>
            <w:vAlign w:val="center"/>
          </w:tcPr>
          <w:p w14:paraId="577A7DFC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/>
                <w:sz w:val="20"/>
                <w:lang w:eastAsia="zh-CN"/>
              </w:rPr>
              <w:t>E</w:t>
            </w:r>
            <w:r>
              <w:rPr>
                <w:rFonts w:eastAsia="等线"/>
                <w:sz w:val="20"/>
                <w:vertAlign w:val="superscript"/>
                <w:lang w:eastAsia="zh-CN"/>
              </w:rPr>
              <w:t>2</w:t>
            </w:r>
          </w:p>
        </w:tc>
      </w:tr>
      <w:tr w:rsidR="00A42D26" w14:paraId="0053C437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605E9457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Interaction</w:t>
            </w:r>
          </w:p>
        </w:tc>
        <w:tc>
          <w:tcPr>
            <w:tcW w:w="1239" w:type="pct"/>
            <w:vAlign w:val="center"/>
          </w:tcPr>
          <w:p w14:paraId="276DCA83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E_times_S</w:t>
            </w:r>
            <w:proofErr w:type="spellEnd"/>
          </w:p>
        </w:tc>
        <w:tc>
          <w:tcPr>
            <w:tcW w:w="1962" w:type="pct"/>
            <w:vAlign w:val="center"/>
          </w:tcPr>
          <w:p w14:paraId="39FED590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w:r>
              <w:rPr>
                <w:rFonts w:eastAsia="等线"/>
                <w:sz w:val="20"/>
              </w:rPr>
              <w:t>E</w:t>
            </w:r>
            <w:r>
              <w:rPr>
                <w:rFonts w:ascii="Cambria Math" w:eastAsia="等线" w:hAnsi="Cambria Math" w:cs="Cambria Math"/>
                <w:sz w:val="20"/>
              </w:rPr>
              <w:t>⋅</w:t>
            </w:r>
            <w:r>
              <w:rPr>
                <w:rFonts w:eastAsia="等线"/>
                <w:sz w:val="20"/>
              </w:rPr>
              <w:t>S</w:t>
            </w:r>
          </w:p>
        </w:tc>
      </w:tr>
      <w:tr w:rsidR="00A42D26" w14:paraId="77E631D5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289B2FB9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Interaction</w:t>
            </w:r>
          </w:p>
        </w:tc>
        <w:tc>
          <w:tcPr>
            <w:tcW w:w="1239" w:type="pct"/>
            <w:vAlign w:val="center"/>
          </w:tcPr>
          <w:p w14:paraId="64829975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E_over_S</w:t>
            </w:r>
            <w:proofErr w:type="spellEnd"/>
          </w:p>
        </w:tc>
        <w:tc>
          <w:tcPr>
            <w:tcW w:w="1962" w:type="pct"/>
            <w:vAlign w:val="center"/>
          </w:tcPr>
          <w:p w14:paraId="01461026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E/max(S,</m:t>
                </m:r>
                <m:sSup>
                  <m:sSupPr>
                    <m:ctrlPr>
                      <w:rPr>
                        <w:rFonts w:ascii="Cambria Math" w:eastAsia="等线" w:hAnsi="Cambria Math"/>
                        <w:sz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-12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)</m:t>
                </m:r>
              </m:oMath>
            </m:oMathPara>
          </w:p>
        </w:tc>
      </w:tr>
      <w:tr w:rsidR="00A42D26" w14:paraId="552AC6AB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5512A2C7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Interaction</w:t>
            </w:r>
          </w:p>
        </w:tc>
        <w:tc>
          <w:tcPr>
            <w:tcW w:w="1239" w:type="pct"/>
            <w:vAlign w:val="center"/>
          </w:tcPr>
          <w:p w14:paraId="46FB8EF9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E_over_V</w:t>
            </w:r>
            <w:proofErr w:type="spellEnd"/>
          </w:p>
        </w:tc>
        <w:tc>
          <w:tcPr>
            <w:tcW w:w="1962" w:type="pct"/>
            <w:vAlign w:val="center"/>
          </w:tcPr>
          <w:p w14:paraId="3BA8C8C3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E/max(V,</m:t>
                </m:r>
                <m:sSup>
                  <m:sSupPr>
                    <m:ctrlPr>
                      <w:rPr>
                        <w:rFonts w:ascii="Cambria Math" w:eastAsia="等线" w:hAnsi="Cambria Math"/>
                        <w:sz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20"/>
                      </w:rPr>
                      <m:t>-12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等线" w:hAnsi="Cambria Math"/>
                    <w:sz w:val="20"/>
                  </w:rPr>
                  <m:t>)</m:t>
                </m:r>
              </m:oMath>
            </m:oMathPara>
          </w:p>
        </w:tc>
      </w:tr>
      <w:tr w:rsidR="00A42D26" w14:paraId="7A9953CA" w14:textId="77777777" w:rsidTr="00506B51">
        <w:trPr>
          <w:trHeight w:val="765"/>
        </w:trPr>
        <w:tc>
          <w:tcPr>
            <w:tcW w:w="1799" w:type="pct"/>
            <w:vAlign w:val="center"/>
          </w:tcPr>
          <w:p w14:paraId="65146230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Categorical thickness</w:t>
            </w:r>
          </w:p>
        </w:tc>
        <w:tc>
          <w:tcPr>
            <w:tcW w:w="1239" w:type="pct"/>
            <w:vAlign w:val="center"/>
          </w:tcPr>
          <w:p w14:paraId="5A07C3FF" w14:textId="77777777" w:rsidR="00A42D26" w:rsidRDefault="00A42D26" w:rsidP="00506B51">
            <w:pPr>
              <w:pStyle w:val="TSP31text"/>
              <w:ind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thickness_cat</w:t>
            </w:r>
            <w:proofErr w:type="spellEnd"/>
          </w:p>
        </w:tc>
        <w:tc>
          <w:tcPr>
            <w:tcW w:w="1962" w:type="pct"/>
            <w:vAlign w:val="center"/>
          </w:tcPr>
          <w:p w14:paraId="76F6F170" w14:textId="77777777" w:rsidR="00A42D26" w:rsidRDefault="00A42D26" w:rsidP="00506B51">
            <w:pPr>
              <w:pStyle w:val="TSP31text"/>
              <w:ind w:firstLine="0"/>
              <w:jc w:val="center"/>
              <w:rPr>
                <w:rFonts w:eastAsia="等线"/>
                <w:sz w:val="20"/>
              </w:rPr>
            </w:pPr>
            <w:r>
              <w:rPr>
                <w:rFonts w:eastAsia="等线"/>
                <w:sz w:val="20"/>
              </w:rPr>
              <w:t>H cast to string for one-hot encoding</w:t>
            </w:r>
          </w:p>
        </w:tc>
      </w:tr>
    </w:tbl>
    <w:p w14:paraId="67306132" w14:textId="77777777" w:rsidR="00A42D26" w:rsidRDefault="00A42D26" w:rsidP="00A42D26">
      <w:pPr>
        <w:pStyle w:val="a9"/>
        <w:ind w:left="425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</w:p>
    <w:p w14:paraId="460D9BE5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Preprocessing pipeline</w:t>
      </w:r>
    </w:p>
    <w:p w14:paraId="13228D24" w14:textId="77777777" w:rsidR="00A42D26" w:rsidRDefault="00A42D26" w:rsidP="00A42D26">
      <w:pPr>
        <w:pStyle w:val="a9"/>
        <w:ind w:left="992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A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ColumnTransformer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was used to preprocess inputs:</w:t>
      </w:r>
    </w:p>
    <w:p w14:paraId="2F8D559A" w14:textId="77777777" w:rsidR="00A42D26" w:rsidRDefault="00A42D26" w:rsidP="00A42D26">
      <w:pPr>
        <w:pStyle w:val="a9"/>
        <w:numPr>
          <w:ilvl w:val="0"/>
          <w:numId w:val="3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Numeric features: standardized by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StandardScaler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(zero mean, unit variance)</w:t>
      </w:r>
    </w:p>
    <w:p w14:paraId="5C19BF46" w14:textId="77777777" w:rsidR="00A42D26" w:rsidRDefault="00A42D26" w:rsidP="00A42D26">
      <w:pPr>
        <w:pStyle w:val="a9"/>
        <w:numPr>
          <w:ilvl w:val="0"/>
          <w:numId w:val="3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Categorical feature: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thickness_cat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one-hot encoded by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OneHotEncoder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(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handle_unknown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="ignore")</w:t>
      </w:r>
    </w:p>
    <w:p w14:paraId="62CBC176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The target column (density) and stratum label were excluded from the input matrix.</w:t>
      </w:r>
    </w:p>
    <w:p w14:paraId="3DC9AE53" w14:textId="77777777" w:rsidR="00A42D26" w:rsidRDefault="00A42D26" w:rsidP="00A42D26">
      <w:pPr>
        <w:pStyle w:val="a9"/>
        <w:numPr>
          <w:ilvl w:val="0"/>
          <w:numId w:val="1"/>
        </w:numPr>
        <w:outlineLvl w:val="0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t>Mechanistic model fitting details</w:t>
      </w:r>
    </w:p>
    <w:p w14:paraId="7D31738D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Mechanistic model form</w:t>
      </w:r>
    </w:p>
    <w:p w14:paraId="6D2ADA69" w14:textId="77777777" w:rsidR="00A42D26" w:rsidRDefault="00A42D26" w:rsidP="00A42D26">
      <w:pPr>
        <w:pStyle w:val="a9"/>
        <w:ind w:left="992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A thickness-aware dual-mechanism porosity model was adopted: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42B437AF" w14:textId="77777777" w:rsidTr="00506B51">
        <w:tc>
          <w:tcPr>
            <w:tcW w:w="8497" w:type="dxa"/>
            <w:vAlign w:val="center"/>
          </w:tcPr>
          <w:p w14:paraId="2009E775" w14:textId="77777777" w:rsidR="00A42D26" w:rsidRDefault="00000000" w:rsidP="00506B51">
            <w:pPr>
              <w:spacing w:after="0" w:line="260" w:lineRule="atLeast"/>
              <w:rPr>
                <w:rFonts w:cs="Times New Roman"/>
                <w:snapToGrid w:val="0"/>
                <w:sz w:val="20"/>
                <w:szCs w:val="22"/>
                <w:lang w:bidi="en-US"/>
                <w14:ligatures w14:val="non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Porosity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mech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(E,H)=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(H)+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LoF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  <m:t>LoF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E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key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σ</m:t>
                </m:r>
                <m:d>
                  <m:d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  <m:t>E-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  <m:t>(H)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k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  <w:vAlign w:val="center"/>
          </w:tcPr>
          <w:p w14:paraId="370129FA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4</w:t>
            </w:r>
            <w:r>
              <w:rPr>
                <w:sz w:val="20"/>
              </w:rPr>
              <w:t>)</w:t>
            </w:r>
          </w:p>
        </w:tc>
      </w:tr>
    </w:tbl>
    <w:p w14:paraId="16C90294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/>
        </w:rPr>
        <w:t xml:space="preserve">where </w:t>
      </w:r>
      <w:r>
        <w:rPr>
          <w:rFonts w:ascii="Cambria Math" w:hAnsi="Cambria Math" w:cs="Cambria Math"/>
        </w:rPr>
        <w:t>𝑝</w:t>
      </w:r>
      <w:r>
        <w:rPr>
          <w:rFonts w:ascii="Minion Pro" w:hAnsi="Minion Pro"/>
        </w:rPr>
        <w:t>0(</w:t>
      </w:r>
      <w:r>
        <w:rPr>
          <w:rFonts w:ascii="Cambria Math" w:hAnsi="Cambria Math" w:cs="Cambria Math"/>
        </w:rPr>
        <w:t>𝐻</w:t>
      </w:r>
      <w:r>
        <w:rPr>
          <w:rFonts w:ascii="Minion Pro" w:hAnsi="Minion Pro"/>
        </w:rPr>
        <w:t xml:space="preserve">) is a thickness-dependent baseline porosity, the exponential term represents low-energy lack-of-fusion decay, and the sigmoid term represents high-energy instability/keyhole-related growth. The sigmoid is defined as </w:t>
      </w:r>
      <w:r>
        <w:rPr>
          <w:rFonts w:ascii="Cambria Math" w:hAnsi="Cambria Math" w:cs="Cambria Math"/>
        </w:rPr>
        <w:t>𝜎</w:t>
      </w:r>
      <w:r>
        <w:rPr>
          <w:rFonts w:ascii="Minion Pro" w:hAnsi="Minion Pro"/>
        </w:rPr>
        <w:t>(</w:t>
      </w:r>
      <w:r>
        <w:rPr>
          <w:rFonts w:ascii="Cambria Math" w:hAnsi="Cambria Math" w:cs="Cambria Math"/>
        </w:rPr>
        <w:t>𝑧</w:t>
      </w:r>
      <w:r>
        <w:rPr>
          <w:rFonts w:ascii="Minion Pro" w:hAnsi="Minion Pro"/>
        </w:rPr>
        <w:t>)=1/(1+exp(−</w:t>
      </w:r>
      <w:r>
        <w:rPr>
          <w:rFonts w:ascii="Cambria Math" w:hAnsi="Cambria Math" w:cs="Cambria Math"/>
        </w:rPr>
        <w:t>𝑧</w:t>
      </w:r>
      <w:r>
        <w:rPr>
          <w:rFonts w:ascii="Minion Pro" w:hAnsi="Minion Pro"/>
        </w:rPr>
        <w:t xml:space="preserve">)). The baseline porosity is constrained to be positive using </w:t>
      </w:r>
      <w:proofErr w:type="spellStart"/>
      <w:r>
        <w:rPr>
          <w:rFonts w:ascii="Minion Pro" w:hAnsi="Minion Pro"/>
        </w:rPr>
        <w:t>softplus</w:t>
      </w:r>
      <w:proofErr w:type="spellEnd"/>
      <w:r>
        <w:rPr>
          <w:rFonts w:ascii="Minion Pro" w:hAnsi="Minion Pro"/>
        </w:rPr>
        <w:t xml:space="preserve"> parameterization: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2BA1D3A3" w14:textId="77777777" w:rsidTr="00506B51">
        <w:tc>
          <w:tcPr>
            <w:tcW w:w="8497" w:type="dxa"/>
            <w:vAlign w:val="center"/>
          </w:tcPr>
          <w:p w14:paraId="38749E9D" w14:textId="77777777" w:rsidR="00A42D26" w:rsidRDefault="00000000" w:rsidP="00506B51">
            <w:pPr>
              <w:spacing w:after="0" w:line="260" w:lineRule="atLeast"/>
              <w:ind w:firstLineChars="200" w:firstLine="400"/>
              <w:rPr>
                <w:rFonts w:cs="Times New Roman"/>
                <w:snapToGrid w:val="0"/>
                <w:sz w:val="20"/>
                <w:szCs w:val="22"/>
                <w:lang w:bidi="en-US"/>
                <w14:ligatures w14:val="non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(H)=log⁡(1+exp⁡(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(H)))</m:t>
                </m:r>
              </m:oMath>
            </m:oMathPara>
          </w:p>
        </w:tc>
        <w:tc>
          <w:tcPr>
            <w:tcW w:w="864" w:type="dxa"/>
            <w:vAlign w:val="center"/>
          </w:tcPr>
          <w:p w14:paraId="6CF5C560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5</w:t>
            </w:r>
            <w:r>
              <w:rPr>
                <w:sz w:val="20"/>
              </w:rPr>
              <w:t>)</w:t>
            </w:r>
          </w:p>
        </w:tc>
      </w:tr>
    </w:tbl>
    <w:p w14:paraId="7A40CD15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The mechanistic density prediction is: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25D2B866" w14:textId="77777777" w:rsidTr="00506B51">
        <w:tc>
          <w:tcPr>
            <w:tcW w:w="8497" w:type="dxa"/>
            <w:vAlign w:val="center"/>
          </w:tcPr>
          <w:p w14:paraId="230899AA" w14:textId="77777777" w:rsidR="00A42D26" w:rsidRDefault="00000000" w:rsidP="00506B51">
            <w:pPr>
              <w:spacing w:after="0" w:line="260" w:lineRule="atLeast"/>
              <w:rPr>
                <w:rFonts w:cs="Times New Roman"/>
                <w:snapToGrid w:val="0"/>
                <w:sz w:val="20"/>
                <w:szCs w:val="22"/>
                <w:lang w:bidi="en-US"/>
                <w14:ligatures w14:val="non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mech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Porosity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mech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=100%</m:t>
                </m:r>
              </m:oMath>
            </m:oMathPara>
          </w:p>
        </w:tc>
        <w:tc>
          <w:tcPr>
            <w:tcW w:w="864" w:type="dxa"/>
            <w:vAlign w:val="center"/>
          </w:tcPr>
          <w:p w14:paraId="1BFBCC20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6</w:t>
            </w:r>
            <w:r>
              <w:rPr>
                <w:sz w:val="20"/>
              </w:rPr>
              <w:t>)</w:t>
            </w:r>
          </w:p>
        </w:tc>
      </w:tr>
    </w:tbl>
    <w:p w14:paraId="1FF8F38E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Optimization objective, regularization, and solver settings</w:t>
      </w:r>
    </w:p>
    <w:p w14:paraId="2CA4418A" w14:textId="77777777" w:rsidR="00A42D26" w:rsidRDefault="00A42D26" w:rsidP="00A42D26">
      <w:pPr>
        <w:pStyle w:val="a9"/>
        <w:ind w:left="992"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Parameters were fitted by minimizing residuals in porosity space using nonlinear least squares with a robust Huber loss:</w:t>
      </w:r>
    </w:p>
    <w:p w14:paraId="34731264" w14:textId="77777777" w:rsidR="00A42D26" w:rsidRDefault="00A42D26" w:rsidP="00A42D26">
      <w:pPr>
        <w:pStyle w:val="a9"/>
        <w:numPr>
          <w:ilvl w:val="0"/>
          <w:numId w:val="4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Solver: </w:t>
      </w:r>
      <w:proofErr w:type="spellStart"/>
      <w:proofErr w:type="gram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scipy.optimize</w:t>
      </w:r>
      <w:proofErr w:type="gram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.least_squares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 (bounded trust-region reflective)</w:t>
      </w:r>
    </w:p>
    <w:p w14:paraId="3D955634" w14:textId="77777777" w:rsidR="00A42D26" w:rsidRDefault="00A42D26" w:rsidP="00A42D26">
      <w:pPr>
        <w:pStyle w:val="a9"/>
        <w:numPr>
          <w:ilvl w:val="0"/>
          <w:numId w:val="4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Loss: </w:t>
      </w:r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loss="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huber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"</w:t>
      </w:r>
    </w:p>
    <w:p w14:paraId="2518D47F" w14:textId="77777777" w:rsidR="00A42D26" w:rsidRDefault="00A42D26" w:rsidP="00A42D26">
      <w:pPr>
        <w:pStyle w:val="a9"/>
        <w:numPr>
          <w:ilvl w:val="0"/>
          <w:numId w:val="4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Huber scale:</w:t>
      </w:r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f_scale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=1.0</w:t>
      </w:r>
    </w:p>
    <w:p w14:paraId="449CCA2D" w14:textId="77777777" w:rsidR="00A42D26" w:rsidRDefault="00A42D26" w:rsidP="00A42D26">
      <w:pPr>
        <w:pStyle w:val="a9"/>
        <w:numPr>
          <w:ilvl w:val="0"/>
          <w:numId w:val="4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Max function evaluations: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max_nfev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=5000</w:t>
      </w:r>
    </w:p>
    <w:p w14:paraId="4E050979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A weak regularization was applied to stabilize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𝐸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𝑘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(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𝐻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). In implementation, an auxiliary residual term was appended for every training sample: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561B87E7" w14:textId="77777777" w:rsidTr="00506B51">
        <w:tc>
          <w:tcPr>
            <w:tcW w:w="8497" w:type="dxa"/>
            <w:vAlign w:val="center"/>
          </w:tcPr>
          <w:p w14:paraId="32493ABA" w14:textId="77777777" w:rsidR="00A42D26" w:rsidRDefault="00000000" w:rsidP="00506B51">
            <w:pPr>
              <w:spacing w:after="0" w:line="260" w:lineRule="atLeast"/>
              <w:ind w:firstLineChars="200" w:firstLine="400"/>
              <w:rPr>
                <w:rFonts w:cs="Times New Roman"/>
                <w:snapToGrid w:val="0"/>
                <w:sz w:val="20"/>
                <w:szCs w:val="22"/>
                <w:lang w:bidi="en-US"/>
                <w14:ligatures w14:val="non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  <m:t>reg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 w:val="20"/>
                    <w:szCs w:val="22"/>
                    <w:lang w:bidi="en-US"/>
                    <w14:ligatures w14:val="none"/>
                  </w:rPr>
                  <m:t>=λ</m:t>
                </m:r>
                <m:d>
                  <m:dPr>
                    <m:ctrlPr>
                      <w:rPr>
                        <w:rFonts w:ascii="Cambria Math" w:hAnsi="Cambria Math" w:cs="Times New Roman"/>
                        <w:snapToGrid w:val="0"/>
                        <w:sz w:val="20"/>
                        <w:szCs w:val="22"/>
                        <w:lang w:bidi="en-US"/>
                        <w14:ligatures w14:val="none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 w:val="20"/>
                            <w:szCs w:val="22"/>
                            <w:lang w:bidi="en-US"/>
                            <w14:ligatures w14:val="none"/>
                          </w:rPr>
                          <m:t>)-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limUp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E</m:t>
                            </m:r>
                          </m:e>
                          <m:li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 w:val="20"/>
                                <w:szCs w:val="22"/>
                                <w:lang w:bidi="en-US"/>
                                <w14:ligatures w14:val="none"/>
                              </w:rPr>
                              <m:t>¯</m:t>
                            </m:r>
                          </m:lim>
                        </m:limUpp>
                      </m:e>
                    </m:eqArr>
                  </m:e>
                </m:d>
              </m:oMath>
            </m:oMathPara>
          </w:p>
        </w:tc>
        <w:tc>
          <w:tcPr>
            <w:tcW w:w="864" w:type="dxa"/>
            <w:vAlign w:val="center"/>
          </w:tcPr>
          <w:p w14:paraId="3E5ECE42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7</w:t>
            </w:r>
            <w:r>
              <w:rPr>
                <w:sz w:val="20"/>
              </w:rPr>
              <w:t>)</w:t>
            </w:r>
          </w:p>
        </w:tc>
      </w:tr>
    </w:tbl>
    <w:p w14:paraId="79397F28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where </w:t>
      </w:r>
      <m:oMath>
        <m:acc>
          <m:accPr>
            <m:chr m:val="‾"/>
            <m:ctrlPr>
              <w:rPr>
                <w:rFonts w:ascii="Cambria Math" w:hAnsi="Cambria Math" w:cs="Times New Roman"/>
                <w:snapToGrid w:val="0"/>
                <w:color w:val="000000"/>
                <w:kern w:val="0"/>
                <w:szCs w:val="22"/>
                <w:lang w:bidi="en-US"/>
                <w14:ligatures w14:val="non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  <w:color w:val="000000"/>
                <w:kern w:val="0"/>
                <w:szCs w:val="22"/>
                <w:lang w:bidi="en-US"/>
                <w14:ligatures w14:val="none"/>
              </w:rPr>
              <m:t>E</m:t>
            </m:r>
          </m:e>
        </m:acc>
      </m:oMath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is the mean energy density of the fitted dataset and the regularization strength was:</w:t>
      </w:r>
    </w:p>
    <w:p w14:paraId="2DD0245C" w14:textId="77777777" w:rsidR="00A42D26" w:rsidRDefault="00A42D26" w:rsidP="00A42D26">
      <w:pPr>
        <w:pStyle w:val="a9"/>
        <w:numPr>
          <w:ilvl w:val="0"/>
          <w:numId w:val="5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m:oMath>
        <m:r>
          <m:rPr>
            <m:sty m:val="p"/>
          </m:rPr>
          <w:rPr>
            <w:rFonts w:ascii="Cambria Math" w:hAnsi="Cambria Math" w:cs="Times New Roman"/>
            <w:snapToGrid w:val="0"/>
            <w:color w:val="000000"/>
            <w:kern w:val="0"/>
            <w:szCs w:val="22"/>
            <w:lang w:bidi="en-US"/>
            <w14:ligatures w14:val="none"/>
          </w:rPr>
          <m:t>λ</m:t>
        </m:r>
      </m:oMath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(EK_REG): 0.002</w:t>
      </w:r>
    </w:p>
    <w:p w14:paraId="250F9698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Initialization and parameter bounds</w:t>
      </w:r>
    </w:p>
    <w:p w14:paraId="62110F65" w14:textId="77777777" w:rsidR="00A42D26" w:rsidRDefault="00A42D26" w:rsidP="00A42D26">
      <w:pPr>
        <w:pStyle w:val="a9"/>
        <w:ind w:left="993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Initialization was:</w:t>
      </w:r>
    </w:p>
    <w:p w14:paraId="43888F26" w14:textId="77777777" w:rsidR="00A42D26" w:rsidRDefault="00A42D26" w:rsidP="00A42D26">
      <w:pPr>
        <w:pStyle w:val="a9"/>
        <w:numPr>
          <w:ilvl w:val="0"/>
          <w:numId w:val="6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A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LoF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=1.0,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B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LoF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=0.01</w:t>
      </w:r>
    </w:p>
    <w:p w14:paraId="68E88F80" w14:textId="77777777" w:rsidR="00A42D26" w:rsidRDefault="00A42D26" w:rsidP="00A42D26">
      <w:pPr>
        <w:pStyle w:val="a9"/>
        <w:numPr>
          <w:ilvl w:val="0"/>
          <w:numId w:val="6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A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key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=1.</w:t>
      </w:r>
      <w:proofErr w:type="gram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0,S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k</w:t>
      </w:r>
      <w:proofErr w:type="gram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=10.0</w:t>
      </w:r>
    </w:p>
    <w:p w14:paraId="3CD61484" w14:textId="77777777" w:rsidR="00A42D26" w:rsidRDefault="00A42D26" w:rsidP="00A42D26">
      <w:pPr>
        <w:pStyle w:val="a9"/>
        <w:ind w:left="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/>
        </w:rPr>
        <w:t xml:space="preserve">For each thickness group, Ek(H) initialized to the median of </w:t>
      </w:r>
      <w:r>
        <w:rPr>
          <w:rFonts w:ascii="Cambria Math" w:hAnsi="Cambria Math" w:cs="Cambria Math"/>
        </w:rPr>
        <w:t>𝐸</w:t>
      </w:r>
      <w:r>
        <w:rPr>
          <w:rFonts w:ascii="Minion Pro" w:hAnsi="Minion Pro"/>
        </w:rPr>
        <w:t xml:space="preserve"> in the fitted set.</w:t>
      </w:r>
    </w:p>
    <w:p w14:paraId="7BDDDED2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/>
        </w:rPr>
        <w:t xml:space="preserve">For each thickness group, </w:t>
      </w:r>
      <w:r>
        <w:rPr>
          <w:rFonts w:ascii="Cambria Math" w:hAnsi="Cambria Math" w:cs="Cambria Math"/>
        </w:rPr>
        <w:t>𝑏</w:t>
      </w:r>
      <w:r>
        <w:rPr>
          <w:rFonts w:ascii="Minion Pro" w:hAnsi="Minion Pro"/>
        </w:rPr>
        <w:t>0(</w:t>
      </w:r>
      <w:r>
        <w:rPr>
          <w:rFonts w:ascii="Cambria Math" w:hAnsi="Cambria Math" w:cs="Cambria Math"/>
        </w:rPr>
        <w:t>𝐻</w:t>
      </w:r>
      <w:r>
        <w:rPr>
          <w:rFonts w:ascii="Minion Pro" w:hAnsi="Minion Pro"/>
        </w:rPr>
        <w:t>) initialized by mapping the median true porosity through inverse-</w:t>
      </w:r>
      <w:proofErr w:type="spellStart"/>
      <w:r>
        <w:rPr>
          <w:rFonts w:ascii="Minion Pro" w:hAnsi="Minion Pro"/>
        </w:rPr>
        <w:t>softplus</w:t>
      </w:r>
      <w:proofErr w:type="spellEnd"/>
      <w:r>
        <w:rPr>
          <w:rFonts w:ascii="Minion Pro" w:hAnsi="Minion Pro"/>
        </w:rPr>
        <w:t xml:space="preserve"> (computed from </w:t>
      </w:r>
      <w:proofErr w:type="spellStart"/>
      <w:r>
        <w:rPr>
          <w:rFonts w:ascii="Minion Pro" w:hAnsi="Minion Pro"/>
        </w:rPr>
        <w:t>Porositytrue</w:t>
      </w:r>
      <w:proofErr w:type="spellEnd"/>
      <w:r>
        <w:rPr>
          <w:rFonts w:ascii="Minion Pro" w:hAnsi="Minion Pro"/>
        </w:rPr>
        <w:t>=</w:t>
      </w:r>
      <w:r>
        <w:rPr>
          <w:rFonts w:ascii="Cambria Math" w:hAnsi="Cambria Math" w:cs="Cambria Math"/>
        </w:rPr>
        <w:t>𝐷</w:t>
      </w:r>
      <w:r>
        <w:rPr>
          <w:rFonts w:ascii="Minion Pro" w:hAnsi="Minion Pro"/>
        </w:rPr>
        <w:t>max−</w:t>
      </w:r>
      <w:r>
        <w:rPr>
          <w:rFonts w:ascii="Cambria Math" w:hAnsi="Cambria Math" w:cs="Cambria Math"/>
        </w:rPr>
        <w:t>𝑦</w:t>
      </w:r>
      <w:r>
        <w:rPr>
          <w:rFonts w:ascii="Minion Pro" w:hAnsi="Minion Pro"/>
        </w:rPr>
        <w:t>)</w:t>
      </w:r>
    </w:p>
    <w:p w14:paraId="09BA1A73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Bound constraints were:</w:t>
      </w:r>
    </w:p>
    <w:p w14:paraId="43956081" w14:textId="77777777" w:rsidR="00A42D26" w:rsidRDefault="00A42D26" w:rsidP="00A42D26">
      <w:pPr>
        <w:pStyle w:val="a9"/>
        <w:numPr>
          <w:ilvl w:val="0"/>
          <w:numId w:val="7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𝐴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LoF</w:t>
      </w:r>
      <w:proofErr w:type="spellEnd"/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[0,10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3</w:t>
      </w:r>
      <w:proofErr w:type="gram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],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𝐵</w:t>
      </w:r>
      <w:proofErr w:type="spellStart"/>
      <w:proofErr w:type="gramEnd"/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LoF</w:t>
      </w:r>
      <w:proofErr w:type="spellEnd"/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[0,1]</w:t>
      </w:r>
    </w:p>
    <w:p w14:paraId="54A40D94" w14:textId="77777777" w:rsidR="00A42D26" w:rsidRDefault="00A42D26" w:rsidP="00A42D26">
      <w:pPr>
        <w:pStyle w:val="a9"/>
        <w:numPr>
          <w:ilvl w:val="0"/>
          <w:numId w:val="7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𝐴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key</w:t>
      </w:r>
      <w:proofErr w:type="gramStart"/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[</w:t>
      </w:r>
      <w:proofErr w:type="gram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0,10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3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],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𝑠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𝑘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[10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−6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,10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6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]</w:t>
      </w:r>
    </w:p>
    <w:p w14:paraId="34A9C301" w14:textId="77777777" w:rsidR="00A42D26" w:rsidRDefault="00A42D26" w:rsidP="00A42D26">
      <w:pPr>
        <w:pStyle w:val="a9"/>
        <w:numPr>
          <w:ilvl w:val="0"/>
          <w:numId w:val="7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𝑏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(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𝐻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)</w:t>
      </w:r>
      <w:proofErr w:type="gramStart"/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[</w:t>
      </w:r>
      <w:proofErr w:type="gram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−20,20]for each thickness group</w:t>
      </w:r>
    </w:p>
    <w:p w14:paraId="6FAAC7D7" w14:textId="77777777" w:rsidR="00A42D26" w:rsidRDefault="00A42D26" w:rsidP="00A42D26">
      <w:pPr>
        <w:pStyle w:val="a9"/>
        <w:numPr>
          <w:ilvl w:val="0"/>
          <w:numId w:val="7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𝐸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𝑘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(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𝐻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)</w:t>
      </w:r>
      <w:proofErr w:type="gramStart"/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[</w:t>
      </w:r>
      <w:proofErr w:type="gram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0,10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6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]for each thickness group</w:t>
      </w:r>
    </w:p>
    <w:p w14:paraId="05C17214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Predicted mechanistic density was clipped to the same physical bounds used for the target.</w:t>
      </w:r>
    </w:p>
    <w:p w14:paraId="69421D30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 w:rsidRPr="00506B51"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Reported fitted parameters and parameter identifiability</w:t>
      </w:r>
    </w:p>
    <w:p w14:paraId="2866B5EC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The fitted parameter values of the two-stage mechanistic model are summarized in Tables S2-S3. Table S2 reports the global parameters controlling the low-energy lack-of-fusion decay term and the high-energy transition term, while Table S3 reports the thickness-specific baseline porosity </w:t>
      </w:r>
      <w:r w:rsidRPr="00506B51"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𝑝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0(</w:t>
      </w:r>
      <w:r w:rsidRPr="00506B51"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𝐻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)</w:t>
      </w:r>
      <w:r w:rsidRPr="00506B51">
        <w:rPr>
          <w:rFonts w:ascii="Minion Pro" w:hAnsi="Minion Pro" w:cs="Times New Roman" w:hint="eastAsia"/>
          <w:snapToGrid w:val="0"/>
          <w:color w:val="000000"/>
          <w:kern w:val="0"/>
          <w:szCs w:val="22"/>
          <w:lang w:bidi="en-US"/>
          <w14:ligatures w14:val="none"/>
        </w:rPr>
        <w:t xml:space="preserve"> 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and transition energy </w:t>
      </w:r>
      <w:r w:rsidRPr="00506B51"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𝐸𝑘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(</w:t>
      </w:r>
      <w:r w:rsidRPr="00506B51"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𝐻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). It should be noted that parameter identifiability differs across thickness groups because the experimentally sampled energy-density windows are not equally broad. For the 120 </w:t>
      </w:r>
      <w:r w:rsidRPr="00506B51">
        <w:rPr>
          <w:rFonts w:ascii="Minion Pro" w:hAnsi="Minion Pro" w:cs="Times New Roman" w:hint="eastAsia"/>
          <w:snapToGrid w:val="0"/>
          <w:color w:val="000000"/>
          <w:kern w:val="0"/>
          <w:szCs w:val="22"/>
          <w:lang w:bidi="en-US"/>
          <w14:ligatures w14:val="none"/>
        </w:rPr>
        <w:t>μ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m group, the sampled range extends sufficiently into the high-energy regime, allowing the transition parameter </w:t>
      </w:r>
      <w:r w:rsidRPr="00506B51"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𝐸𝑘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to be resolved within the data domain. In contrast, for the 60 </w:t>
      </w:r>
      <w:r w:rsidRPr="00506B51">
        <w:rPr>
          <w:rFonts w:ascii="Minion Pro" w:hAnsi="Minion Pro" w:cs="Times New Roman" w:hint="eastAsia"/>
          <w:snapToGrid w:val="0"/>
          <w:color w:val="000000"/>
          <w:kern w:val="0"/>
          <w:szCs w:val="22"/>
          <w:lang w:bidi="en-US"/>
          <w14:ligatures w14:val="none"/>
        </w:rPr>
        <w:t>μ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m and 90 </w:t>
      </w:r>
      <w:r w:rsidRPr="00506B51">
        <w:rPr>
          <w:rFonts w:ascii="Minion Pro" w:hAnsi="Minion Pro" w:cs="Times New Roman" w:hint="eastAsia"/>
          <w:snapToGrid w:val="0"/>
          <w:color w:val="000000"/>
          <w:kern w:val="0"/>
          <w:szCs w:val="22"/>
          <w:lang w:bidi="en-US"/>
          <w14:ligatures w14:val="none"/>
        </w:rPr>
        <w:t>μ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m groups, the fitted </w:t>
      </w:r>
      <w:r w:rsidRPr="00506B51"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𝐸𝑘</w:t>
      </w: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values lie outside or close to the upper boundary of the explored energy-density range. Therefore, for these two groups, the transition parameter should be interpreted as weakly constrained by the available data rather than as a precisely determined physical threshold. Representative mechanistic refit curves for the three thickness groups are shown in Fig. S1.</w:t>
      </w:r>
    </w:p>
    <w:p w14:paraId="075DDF67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</w:p>
    <w:p w14:paraId="37501C87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</w:p>
    <w:p w14:paraId="17634408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</w:p>
    <w:p w14:paraId="5635AA57" w14:textId="77777777" w:rsidR="00A42D26" w:rsidRDefault="00A42D26" w:rsidP="00A42D26">
      <w:pPr>
        <w:ind w:firstLineChars="200" w:firstLine="442"/>
        <w:jc w:val="center"/>
        <w:rPr>
          <w:b/>
          <w:bCs/>
        </w:rPr>
      </w:pPr>
    </w:p>
    <w:p w14:paraId="63D4B7BA" w14:textId="77777777" w:rsidR="00A42D26" w:rsidRPr="00A10C30" w:rsidRDefault="00A42D26" w:rsidP="00A42D26">
      <w:pPr>
        <w:pStyle w:val="TSP31text"/>
        <w:jc w:val="center"/>
      </w:pPr>
      <w:r>
        <w:rPr>
          <w:rFonts w:eastAsiaTheme="minorEastAsia"/>
          <w:b/>
          <w:bCs/>
          <w:lang w:eastAsia="zh-CN"/>
        </w:rPr>
        <w:lastRenderedPageBreak/>
        <w:t>Table S</w:t>
      </w:r>
      <w:r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Global fitted parameters of the two-stage mechanistic model</w:t>
      </w:r>
      <w:r>
        <w:rPr>
          <w:rFonts w:eastAsiaTheme="minorEastAsia"/>
          <w:lang w:eastAsia="zh-CN"/>
        </w:rPr>
        <w:t>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218"/>
        <w:gridCol w:w="1187"/>
        <w:gridCol w:w="6611"/>
      </w:tblGrid>
      <w:tr w:rsidR="00A42D26" w14:paraId="181064C0" w14:textId="77777777" w:rsidTr="00506B51">
        <w:trPr>
          <w:trHeight w:val="392"/>
          <w:jc w:val="center"/>
        </w:trPr>
        <w:tc>
          <w:tcPr>
            <w:tcW w:w="1218" w:type="dxa"/>
            <w:vAlign w:val="center"/>
          </w:tcPr>
          <w:p w14:paraId="72993887" w14:textId="77777777" w:rsidR="00A42D26" w:rsidRPr="00506B51" w:rsidRDefault="00A42D26" w:rsidP="00506B51">
            <w:pPr>
              <w:jc w:val="center"/>
              <w:rPr>
                <w:b/>
                <w:bCs/>
              </w:rPr>
            </w:pPr>
            <w:r w:rsidRPr="00506B51">
              <w:rPr>
                <w:rFonts w:hint="eastAsia"/>
                <w:b/>
                <w:bCs/>
              </w:rPr>
              <w:t>Parameter</w:t>
            </w:r>
          </w:p>
        </w:tc>
        <w:tc>
          <w:tcPr>
            <w:tcW w:w="1187" w:type="dxa"/>
            <w:vAlign w:val="center"/>
          </w:tcPr>
          <w:p w14:paraId="7B1A8AB3" w14:textId="77777777" w:rsidR="00A42D26" w:rsidRPr="00506B51" w:rsidRDefault="00A42D26" w:rsidP="00506B51">
            <w:pPr>
              <w:jc w:val="center"/>
              <w:rPr>
                <w:b/>
                <w:bCs/>
              </w:rPr>
            </w:pPr>
            <w:r w:rsidRPr="00506B51">
              <w:rPr>
                <w:rFonts w:hint="eastAsia"/>
                <w:b/>
                <w:bCs/>
              </w:rPr>
              <w:t>Value</w:t>
            </w:r>
          </w:p>
        </w:tc>
        <w:tc>
          <w:tcPr>
            <w:tcW w:w="6611" w:type="dxa"/>
            <w:vAlign w:val="center"/>
          </w:tcPr>
          <w:p w14:paraId="4447F860" w14:textId="77777777" w:rsidR="00A42D26" w:rsidRPr="00506B51" w:rsidRDefault="00A42D26" w:rsidP="00506B51">
            <w:pPr>
              <w:jc w:val="center"/>
              <w:rPr>
                <w:b/>
                <w:bCs/>
              </w:rPr>
            </w:pPr>
            <w:r w:rsidRPr="00506B51">
              <w:rPr>
                <w:rFonts w:hint="eastAsia"/>
                <w:b/>
                <w:bCs/>
              </w:rPr>
              <w:t>Interpretation</w:t>
            </w:r>
          </w:p>
        </w:tc>
      </w:tr>
      <w:tr w:rsidR="00A42D26" w14:paraId="7C932210" w14:textId="77777777" w:rsidTr="00506B51">
        <w:trPr>
          <w:jc w:val="center"/>
        </w:trPr>
        <w:tc>
          <w:tcPr>
            <w:tcW w:w="1218" w:type="dxa"/>
            <w:vAlign w:val="center"/>
          </w:tcPr>
          <w:p w14:paraId="47F5E67A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A</w:t>
            </w:r>
            <w:r w:rsidRPr="00506B51">
              <w:rPr>
                <w:rFonts w:hint="eastAsia"/>
                <w:vertAlign w:val="subscript"/>
              </w:rPr>
              <w:t>LoF</w:t>
            </w:r>
          </w:p>
        </w:tc>
        <w:tc>
          <w:tcPr>
            <w:tcW w:w="1187" w:type="dxa"/>
            <w:vAlign w:val="center"/>
          </w:tcPr>
          <w:p w14:paraId="3F97B029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0.1755</w:t>
            </w:r>
          </w:p>
        </w:tc>
        <w:tc>
          <w:tcPr>
            <w:tcW w:w="6611" w:type="dxa"/>
            <w:vAlign w:val="center"/>
          </w:tcPr>
          <w:p w14:paraId="394DE691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Amplitude of the low-energy lack-of-fusion decay term</w:t>
            </w:r>
          </w:p>
        </w:tc>
      </w:tr>
      <w:tr w:rsidR="00A42D26" w14:paraId="52118C40" w14:textId="77777777" w:rsidTr="00506B51">
        <w:trPr>
          <w:jc w:val="center"/>
        </w:trPr>
        <w:tc>
          <w:tcPr>
            <w:tcW w:w="1218" w:type="dxa"/>
            <w:vAlign w:val="center"/>
          </w:tcPr>
          <w:p w14:paraId="338EB467" w14:textId="77777777" w:rsidR="00A42D26" w:rsidRDefault="00A42D26" w:rsidP="00506B51">
            <w:pPr>
              <w:jc w:val="center"/>
            </w:pPr>
            <w:proofErr w:type="spellStart"/>
            <w:r>
              <w:rPr>
                <w:rFonts w:hint="eastAsia"/>
              </w:rPr>
              <w:t>B</w:t>
            </w:r>
            <w:r w:rsidRPr="00506B51">
              <w:rPr>
                <w:rFonts w:hint="eastAsia"/>
                <w:vertAlign w:val="subscript"/>
              </w:rPr>
              <w:t>LoF</w:t>
            </w:r>
            <w:proofErr w:type="spellEnd"/>
          </w:p>
        </w:tc>
        <w:tc>
          <w:tcPr>
            <w:tcW w:w="1187" w:type="dxa"/>
            <w:vAlign w:val="center"/>
          </w:tcPr>
          <w:p w14:paraId="04AB9F2D" w14:textId="77777777" w:rsidR="00A42D26" w:rsidRPr="00506B51" w:rsidRDefault="00A42D26" w:rsidP="00506B51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0.0099</w:t>
            </w:r>
            <w:r w:rsidRPr="00506B51">
              <w:rPr>
                <w:color w:val="FF0000"/>
              </w:rPr>
              <w:t>4</w:t>
            </w:r>
          </w:p>
        </w:tc>
        <w:tc>
          <w:tcPr>
            <w:tcW w:w="6611" w:type="dxa"/>
            <w:vAlign w:val="center"/>
          </w:tcPr>
          <w:p w14:paraId="470626F6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Decay rate of the low-energy lack-of-fusion term</w:t>
            </w:r>
          </w:p>
        </w:tc>
      </w:tr>
      <w:tr w:rsidR="00A42D26" w14:paraId="556976A7" w14:textId="77777777" w:rsidTr="00506B51">
        <w:trPr>
          <w:jc w:val="center"/>
        </w:trPr>
        <w:tc>
          <w:tcPr>
            <w:tcW w:w="1218" w:type="dxa"/>
            <w:vAlign w:val="center"/>
          </w:tcPr>
          <w:p w14:paraId="063E47C6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A</w:t>
            </w:r>
            <w:r w:rsidRPr="00506B51">
              <w:rPr>
                <w:rFonts w:hint="eastAsia"/>
                <w:vertAlign w:val="subscript"/>
              </w:rPr>
              <w:t>key</w:t>
            </w:r>
          </w:p>
        </w:tc>
        <w:tc>
          <w:tcPr>
            <w:tcW w:w="1187" w:type="dxa"/>
            <w:vAlign w:val="center"/>
          </w:tcPr>
          <w:p w14:paraId="1E542636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1.1037</w:t>
            </w:r>
          </w:p>
        </w:tc>
        <w:tc>
          <w:tcPr>
            <w:tcW w:w="6611" w:type="dxa"/>
            <w:vAlign w:val="center"/>
          </w:tcPr>
          <w:p w14:paraId="1D4AB0B3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Amplitude of the high-energy transition term</w:t>
            </w:r>
          </w:p>
        </w:tc>
      </w:tr>
      <w:tr w:rsidR="00A42D26" w14:paraId="7FFDA3C0" w14:textId="77777777" w:rsidTr="00506B51">
        <w:trPr>
          <w:jc w:val="center"/>
        </w:trPr>
        <w:tc>
          <w:tcPr>
            <w:tcW w:w="1218" w:type="dxa"/>
            <w:vAlign w:val="center"/>
          </w:tcPr>
          <w:p w14:paraId="49F9C447" w14:textId="77777777" w:rsidR="00A42D26" w:rsidRDefault="00A42D26" w:rsidP="00506B51">
            <w:pPr>
              <w:jc w:val="center"/>
            </w:pPr>
            <w:proofErr w:type="spellStart"/>
            <w:r>
              <w:t>s</w:t>
            </w:r>
            <w:r w:rsidRPr="00506B51">
              <w:rPr>
                <w:rFonts w:hint="eastAsia"/>
                <w:vertAlign w:val="subscript"/>
              </w:rPr>
              <w:t>k</w:t>
            </w:r>
            <w:proofErr w:type="spellEnd"/>
            <w:r w:rsidRPr="00506B51">
              <w:rPr>
                <w:rFonts w:ascii="Times New Roman" w:hAnsi="Times New Roman" w:cs="Times New Roman"/>
                <w:vertAlign w:val="subscript"/>
              </w:rPr>
              <w:t>​</w:t>
            </w:r>
          </w:p>
        </w:tc>
        <w:tc>
          <w:tcPr>
            <w:tcW w:w="1187" w:type="dxa"/>
            <w:vAlign w:val="center"/>
          </w:tcPr>
          <w:p w14:paraId="0DEBA8F2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9.1954</w:t>
            </w:r>
          </w:p>
        </w:tc>
        <w:tc>
          <w:tcPr>
            <w:tcW w:w="6611" w:type="dxa"/>
            <w:vAlign w:val="center"/>
          </w:tcPr>
          <w:p w14:paraId="24BCF487" w14:textId="77777777" w:rsidR="00A42D26" w:rsidRDefault="00A42D26" w:rsidP="00506B51">
            <w:pPr>
              <w:jc w:val="center"/>
            </w:pPr>
            <w:r>
              <w:t>Transition width of the high-energy term</w:t>
            </w:r>
          </w:p>
        </w:tc>
      </w:tr>
    </w:tbl>
    <w:p w14:paraId="407FEC3E" w14:textId="77777777" w:rsidR="00A42D26" w:rsidRDefault="00A42D26" w:rsidP="00A42D26"/>
    <w:p w14:paraId="0696EB28" w14:textId="77777777" w:rsidR="00A42D26" w:rsidRDefault="00A42D26" w:rsidP="00A42D26">
      <w:pPr>
        <w:pStyle w:val="TSP31text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Table S</w:t>
      </w:r>
      <w:r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lang w:eastAsia="zh-CN"/>
        </w:rPr>
        <w:t xml:space="preserve"> Thickness-specific fitted parameters of the two-stage mechanistic model.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1291"/>
        <w:gridCol w:w="2835"/>
        <w:gridCol w:w="3067"/>
      </w:tblGrid>
      <w:tr w:rsidR="00A42D26" w14:paraId="198999B5" w14:textId="77777777" w:rsidTr="00506B51">
        <w:trPr>
          <w:jc w:val="center"/>
        </w:trPr>
        <w:tc>
          <w:tcPr>
            <w:tcW w:w="1823" w:type="dxa"/>
            <w:vAlign w:val="center"/>
          </w:tcPr>
          <w:p w14:paraId="66C80ED5" w14:textId="77777777" w:rsidR="00A42D26" w:rsidRDefault="00A42D26" w:rsidP="00506B5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Layer thickness (</w:t>
            </w:r>
            <w:r>
              <w:rPr>
                <w:rFonts w:hint="eastAsia"/>
                <w:b/>
                <w:bCs/>
              </w:rPr>
              <w:t>μ</w:t>
            </w:r>
            <w:r>
              <w:rPr>
                <w:rFonts w:hint="eastAsia"/>
                <w:b/>
                <w:bCs/>
              </w:rPr>
              <w:t>m)</w:t>
            </w:r>
          </w:p>
        </w:tc>
        <w:tc>
          <w:tcPr>
            <w:tcW w:w="1291" w:type="dxa"/>
            <w:vAlign w:val="center"/>
          </w:tcPr>
          <w:p w14:paraId="23EDEF27" w14:textId="77777777" w:rsidR="00A42D26" w:rsidRDefault="00A42D26" w:rsidP="00506B51">
            <w:pPr>
              <w:jc w:val="center"/>
              <w:rPr>
                <w:b/>
                <w:bCs/>
              </w:rPr>
            </w:pPr>
            <w:r w:rsidRPr="00506B51">
              <w:rPr>
                <w:rFonts w:hint="eastAsia"/>
                <w:b/>
                <w:bCs/>
                <w:i/>
                <w:iCs/>
              </w:rPr>
              <w:t>p</w:t>
            </w:r>
            <w:r w:rsidRPr="00506B51">
              <w:rPr>
                <w:rFonts w:hint="eastAsia"/>
                <w:b/>
                <w:bCs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​</w:t>
            </w:r>
            <w:r>
              <w:rPr>
                <w:b/>
                <w:bCs/>
              </w:rPr>
              <w:t>(H)</w:t>
            </w:r>
          </w:p>
        </w:tc>
        <w:tc>
          <w:tcPr>
            <w:tcW w:w="2835" w:type="dxa"/>
            <w:vAlign w:val="center"/>
          </w:tcPr>
          <w:p w14:paraId="79FC629D" w14:textId="77777777" w:rsidR="00A42D26" w:rsidRDefault="00A42D26" w:rsidP="00506B5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 w:rsidRPr="00506B51">
              <w:rPr>
                <w:rFonts w:hint="eastAsia"/>
                <w:b/>
                <w:bCs/>
                <w:vertAlign w:val="subscript"/>
              </w:rPr>
              <w:t>k</w:t>
            </w:r>
            <w:r>
              <w:rPr>
                <w:rFonts w:hint="eastAsia"/>
                <w:b/>
                <w:bCs/>
              </w:rPr>
              <w:t>(H) (J/mm</w:t>
            </w:r>
            <w:r w:rsidRPr="00506B51">
              <w:rPr>
                <w:rFonts w:hint="eastAsia"/>
                <w:b/>
                <w:bCs/>
                <w:vertAlign w:val="superscript"/>
              </w:rPr>
              <w:t>3</w:t>
            </w:r>
            <w:r>
              <w:rPr>
                <w:rFonts w:hint="eastAsia"/>
                <w:b/>
                <w:bCs/>
              </w:rPr>
              <w:t>)</w:t>
            </w:r>
          </w:p>
        </w:tc>
        <w:tc>
          <w:tcPr>
            <w:tcW w:w="3067" w:type="dxa"/>
          </w:tcPr>
          <w:p w14:paraId="62600AC2" w14:textId="77777777" w:rsidR="00A42D26" w:rsidRDefault="00A42D26" w:rsidP="00506B5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Sampled energy-density range (J/ mm</w:t>
            </w:r>
            <w:r>
              <w:rPr>
                <w:rFonts w:hint="eastAsia"/>
                <w:b/>
                <w:bCs/>
                <w:vertAlign w:val="superscript"/>
              </w:rPr>
              <w:t>3</w:t>
            </w:r>
            <w:r>
              <w:rPr>
                <w:rFonts w:hint="eastAsia"/>
                <w:b/>
                <w:bCs/>
              </w:rPr>
              <w:t>)</w:t>
            </w:r>
          </w:p>
        </w:tc>
      </w:tr>
      <w:tr w:rsidR="00A42D26" w14:paraId="4EFDEBC5" w14:textId="77777777" w:rsidTr="00506B51">
        <w:trPr>
          <w:jc w:val="center"/>
        </w:trPr>
        <w:tc>
          <w:tcPr>
            <w:tcW w:w="1823" w:type="dxa"/>
            <w:vAlign w:val="center"/>
          </w:tcPr>
          <w:p w14:paraId="4EDA7771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291" w:type="dxa"/>
            <w:vAlign w:val="center"/>
          </w:tcPr>
          <w:p w14:paraId="2E24F6DB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0.0080</w:t>
            </w:r>
          </w:p>
        </w:tc>
        <w:tc>
          <w:tcPr>
            <w:tcW w:w="2835" w:type="dxa"/>
            <w:vAlign w:val="center"/>
          </w:tcPr>
          <w:p w14:paraId="5B1EEA00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127.22</w:t>
            </w:r>
          </w:p>
        </w:tc>
        <w:tc>
          <w:tcPr>
            <w:tcW w:w="3067" w:type="dxa"/>
          </w:tcPr>
          <w:p w14:paraId="4C03F5EA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32.92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>72.53</w:t>
            </w:r>
          </w:p>
        </w:tc>
      </w:tr>
      <w:tr w:rsidR="00A42D26" w14:paraId="15BA65FF" w14:textId="77777777" w:rsidTr="00506B51">
        <w:trPr>
          <w:jc w:val="center"/>
        </w:trPr>
        <w:tc>
          <w:tcPr>
            <w:tcW w:w="1823" w:type="dxa"/>
            <w:vAlign w:val="center"/>
          </w:tcPr>
          <w:p w14:paraId="7E4AD5A1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291" w:type="dxa"/>
            <w:vAlign w:val="center"/>
          </w:tcPr>
          <w:p w14:paraId="17F2855D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0.00003</w:t>
            </w:r>
          </w:p>
        </w:tc>
        <w:tc>
          <w:tcPr>
            <w:tcW w:w="2835" w:type="dxa"/>
            <w:vAlign w:val="center"/>
          </w:tcPr>
          <w:p w14:paraId="4DF30EA3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99.66</w:t>
            </w:r>
          </w:p>
        </w:tc>
        <w:tc>
          <w:tcPr>
            <w:tcW w:w="3067" w:type="dxa"/>
          </w:tcPr>
          <w:p w14:paraId="0085527E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36.06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>85.65</w:t>
            </w:r>
          </w:p>
        </w:tc>
      </w:tr>
      <w:tr w:rsidR="00A42D26" w14:paraId="048EBFF7" w14:textId="77777777" w:rsidTr="00506B51">
        <w:trPr>
          <w:jc w:val="center"/>
        </w:trPr>
        <w:tc>
          <w:tcPr>
            <w:tcW w:w="1823" w:type="dxa"/>
            <w:vAlign w:val="center"/>
          </w:tcPr>
          <w:p w14:paraId="2AE7A049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291" w:type="dxa"/>
            <w:vAlign w:val="center"/>
          </w:tcPr>
          <w:p w14:paraId="12FCDBCA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0.1084</w:t>
            </w:r>
          </w:p>
        </w:tc>
        <w:tc>
          <w:tcPr>
            <w:tcW w:w="2835" w:type="dxa"/>
            <w:vAlign w:val="center"/>
          </w:tcPr>
          <w:p w14:paraId="09888640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91.34</w:t>
            </w:r>
          </w:p>
        </w:tc>
        <w:tc>
          <w:tcPr>
            <w:tcW w:w="3067" w:type="dxa"/>
          </w:tcPr>
          <w:p w14:paraId="55930760" w14:textId="77777777" w:rsidR="00A42D26" w:rsidRDefault="00A42D26" w:rsidP="00506B51">
            <w:pPr>
              <w:jc w:val="center"/>
            </w:pPr>
            <w:r>
              <w:rPr>
                <w:rFonts w:hint="eastAsia"/>
              </w:rPr>
              <w:t>40.79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>166.46</w:t>
            </w:r>
          </w:p>
        </w:tc>
      </w:tr>
    </w:tbl>
    <w:p w14:paraId="7367067F" w14:textId="77777777" w:rsidR="00A42D26" w:rsidRDefault="00A42D26" w:rsidP="00A42D26">
      <w:pPr>
        <w:rPr>
          <w14:ligatures w14:val="none"/>
        </w:rPr>
      </w:pPr>
    </w:p>
    <w:p w14:paraId="527136F0" w14:textId="77777777" w:rsidR="00A42D26" w:rsidRDefault="00A42D26" w:rsidP="00A42D26">
      <w:r>
        <w:rPr>
          <w:noProof/>
        </w:rPr>
        <w:drawing>
          <wp:inline distT="0" distB="0" distL="114300" distR="114300" wp14:anchorId="05A81089" wp14:editId="1B8F14B0">
            <wp:extent cx="6126480" cy="218059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2180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57851" w14:textId="77777777" w:rsidR="00A42D26" w:rsidRDefault="00A42D26" w:rsidP="00A42D26">
      <w:pPr>
        <w:pStyle w:val="TSP31text"/>
        <w:ind w:left="993"/>
        <w:jc w:val="center"/>
        <w:outlineLvl w:val="1"/>
      </w:pPr>
      <w:r>
        <w:rPr>
          <w:rFonts w:eastAsiaTheme="minorEastAsia" w:hint="eastAsia"/>
          <w:b/>
          <w:bCs/>
          <w:lang w:eastAsia="zh-CN"/>
        </w:rPr>
        <w:t>Fig. S1</w:t>
      </w:r>
      <w:r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506B51">
        <w:rPr>
          <w:rFonts w:eastAsiaTheme="minorEastAsia" w:hint="eastAsia"/>
          <w:lang w:eastAsia="zh-CN"/>
        </w:rPr>
        <w:t xml:space="preserve">Mechanistic refit of porosity as a function of energy density for the 60, 90, and 120 </w:t>
      </w:r>
      <w:r w:rsidRPr="00506B51">
        <w:rPr>
          <w:rFonts w:eastAsiaTheme="minorEastAsia" w:hint="eastAsia"/>
          <w:lang w:eastAsia="zh-CN"/>
        </w:rPr>
        <w:t>μ</w:t>
      </w:r>
      <w:r w:rsidRPr="00506B51">
        <w:rPr>
          <w:rFonts w:eastAsiaTheme="minorEastAsia" w:hint="eastAsia"/>
          <w:lang w:eastAsia="zh-CN"/>
        </w:rPr>
        <w:t>m layer-thickness groups.</w:t>
      </w:r>
    </w:p>
    <w:p w14:paraId="55F5A12D" w14:textId="77777777" w:rsidR="00A42D26" w:rsidRDefault="00A42D26" w:rsidP="00A42D26">
      <w:pPr>
        <w:spacing w:after="0" w:line="240" w:lineRule="auto"/>
        <w:ind w:left="993" w:firstLineChars="200" w:firstLine="440"/>
        <w:outlineLvl w:val="1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Symbols denote experimental data and solid curves denote the mechanistic refit within the experimentally sampled energy-density range; dashed curves indicate extrapolation outside the sampled range. Vertical dashed lines mark the fitted transition energy Ek(H). The 120 </w:t>
      </w:r>
      <w:proofErr w:type="spellStart"/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μm</w:t>
      </w:r>
      <w:proofErr w:type="spellEnd"/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group spans a sufficiently broad high-energy window to resolve the second-stage transition within the sampled domain, whereas the fitted Ek(H) values for the 60 and 90 </w:t>
      </w:r>
      <w:proofErr w:type="spellStart"/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μm</w:t>
      </w:r>
      <w:proofErr w:type="spellEnd"/>
      <w:r w:rsidRPr="00506B51"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groups lie near or beyond the upper boundary of the sampled range, indicating weaker identifiability of the high-energy transition in these two groups.</w:t>
      </w:r>
    </w:p>
    <w:p w14:paraId="4B352ED0" w14:textId="77777777" w:rsidR="00A42D26" w:rsidRPr="00506B51" w:rsidRDefault="00A42D26" w:rsidP="00A42D26">
      <w:pPr>
        <w:spacing w:after="0" w:line="240" w:lineRule="auto"/>
        <w:ind w:left="993" w:firstLineChars="200" w:firstLine="442"/>
        <w:outlineLvl w:val="1"/>
        <w:rPr>
          <w:rFonts w:ascii="Minion Pro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</w:p>
    <w:p w14:paraId="5251B7E1" w14:textId="77777777" w:rsidR="00A42D26" w:rsidRDefault="00A42D26" w:rsidP="00A42D26">
      <w:pPr>
        <w:pStyle w:val="a9"/>
        <w:numPr>
          <w:ilvl w:val="0"/>
          <w:numId w:val="1"/>
        </w:numPr>
        <w:outlineLvl w:val="0"/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</w:pPr>
      <w:r>
        <w:rPr>
          <w:rFonts w:ascii="Minion Pro" w:eastAsia="Times New Roman" w:hAnsi="Minion Pro" w:cs="Times New Roman"/>
          <w:b/>
          <w:snapToGrid w:val="0"/>
          <w:color w:val="000000"/>
          <w:kern w:val="0"/>
          <w:szCs w:val="16"/>
          <w:lang w:eastAsia="de-DE" w:bidi="en-US"/>
          <w14:ligatures w14:val="none"/>
        </w:rPr>
        <w:lastRenderedPageBreak/>
        <w:t>Residual learning, fusion tuning, and evaluation</w:t>
      </w:r>
    </w:p>
    <w:p w14:paraId="2408162C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Residual definition and learners</w:t>
      </w:r>
    </w:p>
    <w:p w14:paraId="65474AE2" w14:textId="77777777" w:rsidR="00A42D26" w:rsidRDefault="00A42D26" w:rsidP="00A42D26">
      <w:pPr>
        <w:ind w:left="426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Residual learning was performed in density space. For any training subset: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54E1CEC2" w14:textId="77777777" w:rsidTr="00506B51">
        <w:tc>
          <w:tcPr>
            <w:tcW w:w="8497" w:type="dxa"/>
            <w:vAlign w:val="center"/>
          </w:tcPr>
          <w:p w14:paraId="7B10A314" w14:textId="77777777" w:rsidR="00A42D26" w:rsidRDefault="00000000" w:rsidP="00506B51">
            <w:pPr>
              <w:ind w:left="426"/>
              <w:rPr>
                <w:rFonts w:cs="Times New Roman"/>
                <w:snapToGrid w:val="0"/>
                <w:szCs w:val="22"/>
                <w:lang w:bidi="en-US"/>
                <w14:ligatures w14:val="non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Cs w:val="22"/>
                    <w:lang w:bidi="en-US"/>
                    <w14:ligatures w14:val="none"/>
                  </w:rPr>
                  <m:t>=y-</m:t>
                </m:r>
                <m:sSub>
                  <m:sSubPr>
                    <m:ctrl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mech</m:t>
                    </m:r>
                  </m:sub>
                </m:sSub>
              </m:oMath>
            </m:oMathPara>
          </w:p>
        </w:tc>
        <w:tc>
          <w:tcPr>
            <w:tcW w:w="864" w:type="dxa"/>
            <w:vAlign w:val="center"/>
          </w:tcPr>
          <w:p w14:paraId="484D3472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8</w:t>
            </w:r>
            <w:r>
              <w:rPr>
                <w:sz w:val="20"/>
              </w:rPr>
              <w:t>)</w:t>
            </w:r>
          </w:p>
        </w:tc>
      </w:tr>
    </w:tbl>
    <w:p w14:paraId="75C5BE0B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Two residual learners were trained on the engineered features (Table S1):</w:t>
      </w:r>
    </w:p>
    <w:p w14:paraId="3E189678" w14:textId="77777777" w:rsidR="00A42D26" w:rsidRDefault="00A42D26" w:rsidP="00A42D26">
      <w:pPr>
        <w:pStyle w:val="a9"/>
        <w:numPr>
          <w:ilvl w:val="0"/>
          <w:numId w:val="8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Ridge regression for the linear component of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𝑟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𝑦</w:t>
      </w:r>
    </w:p>
    <w:p w14:paraId="505157C7" w14:textId="77777777" w:rsidR="00A42D26" w:rsidRDefault="00A42D26" w:rsidP="00A42D26">
      <w:pPr>
        <w:pStyle w:val="a9"/>
        <w:numPr>
          <w:ilvl w:val="0"/>
          <w:numId w:val="8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ExtraTrees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regressor for nonlinear structure in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𝑟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𝑦</w:t>
      </w:r>
    </w:p>
    <w:p w14:paraId="5BA1537E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The final fused prediction on any sample is:</w:t>
      </w:r>
    </w:p>
    <w:tbl>
      <w:tblPr>
        <w:tblStyle w:val="af2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7"/>
        <w:gridCol w:w="864"/>
      </w:tblGrid>
      <w:tr w:rsidR="00A42D26" w14:paraId="791BE0B8" w14:textId="77777777" w:rsidTr="00506B51">
        <w:tc>
          <w:tcPr>
            <w:tcW w:w="8497" w:type="dxa"/>
            <w:vAlign w:val="center"/>
          </w:tcPr>
          <w:p w14:paraId="570CFFAF" w14:textId="77777777" w:rsidR="00A42D26" w:rsidRDefault="00000000" w:rsidP="00506B51">
            <w:pPr>
              <w:rPr>
                <w:rFonts w:cs="Times New Roman"/>
                <w:snapToGrid w:val="0"/>
                <w:szCs w:val="22"/>
                <w:lang w:bidi="en-US"/>
                <w14:ligatures w14:val="none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y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Times New Roman"/>
                    <w:snapToGrid w:val="0"/>
                    <w:szCs w:val="22"/>
                    <w:lang w:bidi="en-US"/>
                    <w14:ligatures w14:val="none"/>
                  </w:rPr>
                  <m:t>=clip</m:t>
                </m:r>
                <m:d>
                  <m:dPr>
                    <m:ctrl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  <m:t>mech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+ω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Cs w:val="22"/>
                                <w:lang w:bidi="en-US"/>
                                <w14:ligatures w14:val="none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  <m:t>Ridge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napToGrid w:val="0"/>
                        <w:szCs w:val="22"/>
                        <w:lang w:bidi="en-US"/>
                        <w14:ligatures w14:val="none"/>
                      </w:rPr>
                      <m:t>+(1-ω)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snapToGrid w:val="0"/>
                                <w:szCs w:val="22"/>
                                <w:lang w:bidi="en-US"/>
                                <w14:ligatures w14:val="none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napToGrid w:val="0"/>
                                <w:szCs w:val="22"/>
                                <w:lang w:bidi="en-US"/>
                                <w14:ligatures w14:val="none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napToGrid w:val="0"/>
                            <w:szCs w:val="22"/>
                            <w:lang w:bidi="en-US"/>
                            <w14:ligatures w14:val="none"/>
                          </w:rPr>
                          <m:t>ET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864" w:type="dxa"/>
            <w:vAlign w:val="center"/>
          </w:tcPr>
          <w:p w14:paraId="28B9C088" w14:textId="77777777" w:rsidR="00A42D26" w:rsidRDefault="00A42D26" w:rsidP="00506B51">
            <w:pPr>
              <w:pStyle w:val="TSP3aequationnumb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eastAsiaTheme="minorEastAsia"/>
                <w:sz w:val="20"/>
                <w:lang w:eastAsia="zh-CN"/>
              </w:rPr>
              <w:t>9</w:t>
            </w:r>
            <w:r>
              <w:rPr>
                <w:sz w:val="20"/>
              </w:rPr>
              <w:t>)</w:t>
            </w:r>
          </w:p>
        </w:tc>
      </w:tr>
    </w:tbl>
    <w:p w14:paraId="3D88DF57" w14:textId="77777777" w:rsidR="00A42D26" w:rsidRDefault="00A42D26" w:rsidP="00A42D26">
      <w:p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where clipping enforces the same physical bounds as the target.</w:t>
      </w:r>
    </w:p>
    <w:p w14:paraId="46ECE70B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Hyperparameter search space</w:t>
      </w:r>
    </w:p>
    <w:p w14:paraId="0968740E" w14:textId="77777777" w:rsidR="00A42D26" w:rsidRDefault="00A42D26" w:rsidP="00A42D26">
      <w:pPr>
        <w:ind w:firstLineChars="200" w:firstLine="440"/>
        <w:rPr>
          <w:rFonts w:ascii="Minion Pro" w:hAnsi="Minion Pro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Inner-loop tuning (performed on the training subset only) selected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𝜔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and the Ridge regularization coefficient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𝛼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:</w:t>
      </w:r>
      <w:r>
        <w:rPr>
          <w:rFonts w:ascii="Minion Pro" w:hAnsi="Minion Pro"/>
        </w:rPr>
        <w:t xml:space="preserve"> </w:t>
      </w:r>
    </w:p>
    <w:p w14:paraId="0738F583" w14:textId="77777777" w:rsidR="00A42D26" w:rsidRDefault="00A42D26" w:rsidP="00A42D26">
      <w:pPr>
        <w:pStyle w:val="a9"/>
        <w:numPr>
          <w:ilvl w:val="0"/>
          <w:numId w:val="9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Ridge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𝛼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grid: {10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−2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,10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−1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,1,10,100,1000}</w:t>
      </w:r>
    </w:p>
    <w:p w14:paraId="2F2F4D73" w14:textId="77777777" w:rsidR="00A42D26" w:rsidRDefault="00A42D26" w:rsidP="00A42D26">
      <w:pPr>
        <w:pStyle w:val="a9"/>
        <w:numPr>
          <w:ilvl w:val="0"/>
          <w:numId w:val="9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Fusion weight grid: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𝜔</w:t>
      </w:r>
      <w:proofErr w:type="gramStart"/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∈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{</w:t>
      </w:r>
      <w:proofErr w:type="gram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0.00,0.05,0.10,</w:t>
      </w:r>
      <w:r>
        <w:rPr>
          <w:rFonts w:ascii="Minion Pro" w:hAnsi="Minion Pro" w:cs="Minion Pro"/>
          <w:snapToGrid w:val="0"/>
          <w:color w:val="000000"/>
          <w:kern w:val="0"/>
          <w:szCs w:val="22"/>
          <w:lang w:bidi="en-US"/>
          <w14:ligatures w14:val="none"/>
        </w:rPr>
        <w:t>…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,1.00}</w:t>
      </w:r>
    </w:p>
    <w:p w14:paraId="44BB0AB8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The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ExtraTrees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residual learner used:</w:t>
      </w:r>
    </w:p>
    <w:p w14:paraId="56971BCB" w14:textId="77777777" w:rsidR="00A42D26" w:rsidRDefault="00A42D26" w:rsidP="00A42D26">
      <w:pPr>
        <w:ind w:firstLineChars="200" w:firstLine="400"/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r>
        <w:rPr>
          <w:rFonts w:ascii="Minion Pro" w:hAnsi="Minion Pro"/>
          <w:sz w:val="20"/>
          <w:szCs w:val="21"/>
        </w:rPr>
        <w:t xml:space="preserve">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n_estimators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=800,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max_depth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=12,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min_samples_leaf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=6,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min_samples_split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=12,</w:t>
      </w:r>
    </w:p>
    <w:p w14:paraId="7E122A9C" w14:textId="77777777" w:rsidR="00A42D26" w:rsidRDefault="00A42D26" w:rsidP="00A42D26">
      <w:pPr>
        <w:ind w:firstLineChars="200" w:firstLine="400"/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max_features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=0.5, bootstrap=True,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n_jobs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=-1,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random_state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=42</w:t>
      </w:r>
    </w:p>
    <w:p w14:paraId="19F9AA25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Inner-loop tuning protocol (train only)</w:t>
      </w:r>
    </w:p>
    <w:p w14:paraId="1A011081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Hyperparameters were tuned via repeated stratified cross-validation on the training subset:</w:t>
      </w:r>
    </w:p>
    <w:p w14:paraId="35E2EE25" w14:textId="77777777" w:rsidR="00A42D26" w:rsidRDefault="00A42D26" w:rsidP="00A42D26">
      <w:pPr>
        <w:pStyle w:val="a9"/>
        <w:numPr>
          <w:ilvl w:val="0"/>
          <w:numId w:val="10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Splitter: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RepeatedStratifiedKFold</w:t>
      </w:r>
      <w:proofErr w:type="spellEnd"/>
    </w:p>
    <w:p w14:paraId="5DD6CDA4" w14:textId="77777777" w:rsidR="00A42D26" w:rsidRDefault="00A42D26" w:rsidP="00A42D26">
      <w:pPr>
        <w:pStyle w:val="a9"/>
        <w:numPr>
          <w:ilvl w:val="0"/>
          <w:numId w:val="10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Folds: 5</w:t>
      </w:r>
    </w:p>
    <w:p w14:paraId="149C025E" w14:textId="77777777" w:rsidR="00A42D26" w:rsidRDefault="00A42D26" w:rsidP="00A42D26">
      <w:pPr>
        <w:pStyle w:val="a9"/>
        <w:numPr>
          <w:ilvl w:val="0"/>
          <w:numId w:val="10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Repetitions: 10</w:t>
      </w:r>
    </w:p>
    <w:p w14:paraId="4013984E" w14:textId="77777777" w:rsidR="00A42D26" w:rsidRDefault="00A42D26" w:rsidP="00A42D26">
      <w:pPr>
        <w:pStyle w:val="a9"/>
        <w:numPr>
          <w:ilvl w:val="0"/>
          <w:numId w:val="10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Random seed: 42</w:t>
      </w:r>
    </w:p>
    <w:p w14:paraId="4AC6BF1A" w14:textId="77777777" w:rsidR="00A42D26" w:rsidRDefault="00A42D26" w:rsidP="00A42D26">
      <w:pPr>
        <w:pStyle w:val="a9"/>
        <w:numPr>
          <w:ilvl w:val="0"/>
          <w:numId w:val="10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Stratification labels: thickness × energy-bin stratum (Section S2.1)</w:t>
      </w:r>
    </w:p>
    <w:p w14:paraId="459E2F52" w14:textId="77777777" w:rsidR="00A42D26" w:rsidRDefault="00A42D26" w:rsidP="00A42D26">
      <w:pPr>
        <w:ind w:left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Within each fold:</w:t>
      </w:r>
    </w:p>
    <w:p w14:paraId="608A45B0" w14:textId="77777777" w:rsidR="00A42D26" w:rsidRDefault="00A42D26" w:rsidP="00A42D26">
      <w:pPr>
        <w:pStyle w:val="a9"/>
        <w:numPr>
          <w:ilvl w:val="0"/>
          <w:numId w:val="11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Fit the mechanistic model on the fold-training subset; compute </w:t>
      </w:r>
      <m:oMath>
        <m:r>
          <m:rPr>
            <m:sty m:val="p"/>
          </m:rPr>
          <w:rPr>
            <w:rFonts w:ascii="Cambria Math" w:hAnsi="Cambria Math" w:cs="Times New Roman"/>
            <w:snapToGrid w:val="0"/>
            <w:color w:val="000000"/>
            <w:kern w:val="0"/>
            <w:szCs w:val="22"/>
            <w:lang w:bidi="en-US"/>
            <w14:ligatures w14:val="none"/>
          </w:rPr>
          <m:t>y</m:t>
        </m:r>
      </m:oMath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mech</w:t>
      </w:r>
    </w:p>
    <w:p w14:paraId="33A0562B" w14:textId="77777777" w:rsidR="00A42D26" w:rsidRDefault="00A42D26" w:rsidP="00A42D26">
      <w:pPr>
        <w:pStyle w:val="a9"/>
        <w:numPr>
          <w:ilvl w:val="0"/>
          <w:numId w:val="11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Compute density residual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𝑟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>𝑦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=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𝑦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−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𝑦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bscript"/>
          <w:lang w:bidi="en-US"/>
          <w14:ligatures w14:val="none"/>
        </w:rPr>
        <w:t xml:space="preserve">mech 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on the fold-training subset.</w:t>
      </w:r>
    </w:p>
    <w:p w14:paraId="2916724F" w14:textId="77777777" w:rsidR="00A42D26" w:rsidRDefault="00A42D26" w:rsidP="00A42D26">
      <w:pPr>
        <w:pStyle w:val="a9"/>
        <w:numPr>
          <w:ilvl w:val="0"/>
          <w:numId w:val="11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Fit Ridge(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𝛼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) and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ExtraTrees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on residuals.</w:t>
      </w:r>
    </w:p>
    <w:p w14:paraId="5D2C0D80" w14:textId="77777777" w:rsidR="00A42D26" w:rsidRDefault="00A42D26" w:rsidP="00A42D26">
      <w:pPr>
        <w:pStyle w:val="a9"/>
        <w:numPr>
          <w:ilvl w:val="0"/>
          <w:numId w:val="11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For each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𝜔</w:t>
      </w:r>
      <w:r>
        <w:rPr>
          <w:rFonts w:ascii="Minion Pro" w:hAnsi="Minion Pro" w:cs="Cambria Math"/>
          <w:snapToGrid w:val="0"/>
          <w:color w:val="000000"/>
          <w:kern w:val="0"/>
          <w:szCs w:val="22"/>
          <w:lang w:bidi="en-US"/>
          <w14:ligatures w14:val="none"/>
        </w:rPr>
        <w:t xml:space="preserve"> 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in the grid, predict on the fold-validation subset and compute MAE and </w:t>
      </w: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𝑅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vertAlign w:val="superscript"/>
          <w:lang w:bidi="en-US"/>
          <w14:ligatures w14:val="none"/>
        </w:rPr>
        <w:t>2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.</w:t>
      </w:r>
    </w:p>
    <w:p w14:paraId="7E0EC84E" w14:textId="77777777" w:rsidR="00A42D26" w:rsidRDefault="00A42D26" w:rsidP="00A42D26">
      <w:pPr>
        <w:ind w:left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lastRenderedPageBreak/>
        <w:t>The selected configuration minimized the mean MAE across the 50 validation runs (5 folds × 10 repeats).</w:t>
      </w:r>
    </w:p>
    <w:p w14:paraId="18274C41" w14:textId="77777777" w:rsidR="00A42D26" w:rsidRDefault="00A42D26" w:rsidP="00A42D26">
      <w:pPr>
        <w:pStyle w:val="a9"/>
        <w:numPr>
          <w:ilvl w:val="1"/>
          <w:numId w:val="1"/>
        </w:numPr>
        <w:outlineLvl w:val="1"/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</w:pPr>
      <w:r>
        <w:rPr>
          <w:rFonts w:ascii="Minion Pro" w:eastAsia="宋体" w:hAnsi="Minion Pro" w:cs="宋体"/>
          <w:b/>
          <w:snapToGrid w:val="0"/>
          <w:color w:val="000000"/>
          <w:kern w:val="0"/>
          <w:szCs w:val="16"/>
          <w:lang w:bidi="en-US"/>
          <w14:ligatures w14:val="none"/>
        </w:rPr>
        <w:t>Outer-loop evaluation and baseline models</w:t>
      </w:r>
    </w:p>
    <w:p w14:paraId="36A50D17" w14:textId="77777777" w:rsidR="00A42D26" w:rsidRDefault="00A42D26" w:rsidP="00A42D26">
      <w:pPr>
        <w:ind w:left="425"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After tuning, the final mechanistic model and residual learners were refit on the full training subset and evaluated on the held-out test subset (Section S2.2). Performance metrics were:</w:t>
      </w:r>
    </w:p>
    <w:p w14:paraId="74F3FD06" w14:textId="77777777" w:rsidR="00A42D26" w:rsidRDefault="00A42D26" w:rsidP="00A42D26">
      <w:pPr>
        <w:pStyle w:val="a9"/>
        <w:numPr>
          <w:ilvl w:val="0"/>
          <w:numId w:val="12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Cambria Math" w:hAnsi="Cambria Math" w:cs="Cambria Math"/>
          <w:snapToGrid w:val="0"/>
          <w:color w:val="000000"/>
          <w:kern w:val="0"/>
          <w:szCs w:val="22"/>
          <w:lang w:bidi="en-US"/>
          <w14:ligatures w14:val="none"/>
        </w:rPr>
        <w:t>𝑅</w:t>
      </w: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2: coefficient of determination</w:t>
      </w:r>
    </w:p>
    <w:p w14:paraId="4F3ECEEF" w14:textId="77777777" w:rsidR="00A42D26" w:rsidRDefault="00A42D26" w:rsidP="00A42D26">
      <w:pPr>
        <w:pStyle w:val="a9"/>
        <w:numPr>
          <w:ilvl w:val="0"/>
          <w:numId w:val="12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MAE: mean absolute error</w:t>
      </w:r>
    </w:p>
    <w:p w14:paraId="37957520" w14:textId="77777777" w:rsidR="00A42D26" w:rsidRDefault="00A42D26" w:rsidP="00A42D26">
      <w:pPr>
        <w:pStyle w:val="a9"/>
        <w:numPr>
          <w:ilvl w:val="0"/>
          <w:numId w:val="12"/>
        </w:numP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RMSE: </w:t>
      </w:r>
      <m:oMath>
        <m:rad>
          <m:radPr>
            <m:degHide m:val="1"/>
            <m:ctrlPr>
              <w:rPr>
                <w:rFonts w:ascii="Cambria Math" w:hAnsi="Cambria Math" w:cs="Times New Roman"/>
                <w:snapToGrid w:val="0"/>
                <w:color w:val="000000"/>
                <w:kern w:val="0"/>
                <w:szCs w:val="22"/>
                <w:lang w:bidi="en-US"/>
                <w14:ligatures w14:val="none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  <w:color w:val="000000"/>
                <w:kern w:val="0"/>
                <w:szCs w:val="22"/>
                <w:lang w:bidi="en-US"/>
                <w14:ligatures w14:val="none"/>
              </w:rPr>
              <m:t>MSE</m:t>
            </m:r>
          </m:e>
        </m:rad>
      </m:oMath>
      <w:r>
        <w:rPr>
          <w:rFonts w:ascii="Times New Roman" w:hAnsi="Times New Roman" w:cs="Times New Roman"/>
          <w:snapToGrid w:val="0"/>
          <w:color w:val="000000"/>
          <w:kern w:val="0"/>
          <w:szCs w:val="22"/>
          <w:lang w:bidi="en-US"/>
          <w14:ligatures w14:val="none"/>
        </w:rPr>
        <w:t>​</w:t>
      </w:r>
    </w:p>
    <w:p w14:paraId="7BBB1F58" w14:textId="77777777" w:rsidR="00A42D26" w:rsidRDefault="00A42D26" w:rsidP="00A42D26">
      <w:pPr>
        <w:ind w:firstLineChars="200" w:firstLine="440"/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</w:pPr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For comparison, two purely data-driven baselines were trained on the same training subset using the same preprocessing pipeline and evaluated on the same test subset:</w:t>
      </w:r>
    </w:p>
    <w:p w14:paraId="54AE6130" w14:textId="77777777" w:rsidR="00A42D26" w:rsidRDefault="00A42D26" w:rsidP="00A42D26">
      <w:pPr>
        <w:pStyle w:val="a9"/>
        <w:numPr>
          <w:ilvl w:val="0"/>
          <w:numId w:val="13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proofErr w:type="spellStart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>RandomForest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Cs w:val="22"/>
          <w:lang w:bidi="en-US"/>
          <w14:ligatures w14:val="none"/>
        </w:rPr>
        <w:t xml:space="preserve"> baseline: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n_estimators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=800,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max_depth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=14,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min_samples_leaf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=4,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min_samples_split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=10,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max_features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=0.6, bootstrap=True,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n_jobs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 xml:space="preserve">=-1, </w:t>
      </w:r>
      <w:proofErr w:type="spellStart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random_state</w:t>
      </w:r>
      <w:proofErr w:type="spellEnd"/>
      <w: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  <w:t>=42</w:t>
      </w:r>
    </w:p>
    <w:p w14:paraId="40D34FC5" w14:textId="77777777" w:rsidR="00A42D26" w:rsidRDefault="00A42D26" w:rsidP="00A42D26">
      <w:pPr>
        <w:pStyle w:val="a9"/>
        <w:numPr>
          <w:ilvl w:val="0"/>
          <w:numId w:val="13"/>
        </w:numPr>
        <w:rPr>
          <w:rFonts w:ascii="Minion Pro" w:hAnsi="Minion Pro" w:cs="Times New Roman"/>
          <w:snapToGrid w:val="0"/>
          <w:color w:val="000000"/>
          <w:kern w:val="0"/>
          <w:sz w:val="20"/>
          <w:szCs w:val="20"/>
          <w:lang w:bidi="en-US"/>
          <w14:ligatures w14:val="none"/>
        </w:rPr>
      </w:pPr>
      <w:proofErr w:type="spellStart"/>
      <w:r>
        <w:rPr>
          <w:rFonts w:ascii="Minion Pro" w:hAnsi="Minion Pro"/>
        </w:rPr>
        <w:t>ExtraTrees</w:t>
      </w:r>
      <w:proofErr w:type="spellEnd"/>
      <w:r>
        <w:rPr>
          <w:rFonts w:ascii="Minion Pro" w:hAnsi="Minion Pro"/>
        </w:rPr>
        <w:t xml:space="preserve"> baseline: </w:t>
      </w:r>
      <w:proofErr w:type="spellStart"/>
      <w:r>
        <w:rPr>
          <w:rFonts w:ascii="Minion Pro" w:hAnsi="Minion Pro"/>
        </w:rPr>
        <w:t>n_estimators</w:t>
      </w:r>
      <w:proofErr w:type="spellEnd"/>
      <w:r>
        <w:rPr>
          <w:rFonts w:ascii="Minion Pro" w:hAnsi="Minion Pro"/>
        </w:rPr>
        <w:t xml:space="preserve">=800, </w:t>
      </w:r>
      <w:proofErr w:type="spellStart"/>
      <w:r>
        <w:rPr>
          <w:rFonts w:ascii="Minion Pro" w:hAnsi="Minion Pro"/>
        </w:rPr>
        <w:t>max_depth</w:t>
      </w:r>
      <w:proofErr w:type="spellEnd"/>
      <w:r>
        <w:rPr>
          <w:rFonts w:ascii="Minion Pro" w:hAnsi="Minion Pro"/>
        </w:rPr>
        <w:t xml:space="preserve">=12, </w:t>
      </w:r>
      <w:proofErr w:type="spellStart"/>
      <w:r>
        <w:rPr>
          <w:rFonts w:ascii="Minion Pro" w:hAnsi="Minion Pro"/>
        </w:rPr>
        <w:t>min_samples_leaf</w:t>
      </w:r>
      <w:proofErr w:type="spellEnd"/>
      <w:r>
        <w:rPr>
          <w:rFonts w:ascii="Minion Pro" w:hAnsi="Minion Pro"/>
        </w:rPr>
        <w:t xml:space="preserve">=6, </w:t>
      </w:r>
      <w:proofErr w:type="spellStart"/>
      <w:r>
        <w:rPr>
          <w:rFonts w:ascii="Minion Pro" w:hAnsi="Minion Pro"/>
        </w:rPr>
        <w:t>min_samples_split</w:t>
      </w:r>
      <w:proofErr w:type="spellEnd"/>
      <w:r>
        <w:rPr>
          <w:rFonts w:ascii="Minion Pro" w:hAnsi="Minion Pro"/>
        </w:rPr>
        <w:t xml:space="preserve">=12, </w:t>
      </w:r>
      <w:proofErr w:type="spellStart"/>
      <w:r>
        <w:rPr>
          <w:rFonts w:ascii="Minion Pro" w:hAnsi="Minion Pro"/>
        </w:rPr>
        <w:t>max_features</w:t>
      </w:r>
      <w:proofErr w:type="spellEnd"/>
      <w:r>
        <w:rPr>
          <w:rFonts w:ascii="Minion Pro" w:hAnsi="Minion Pro"/>
        </w:rPr>
        <w:t xml:space="preserve">=0.5, bootstrap=True, </w:t>
      </w:r>
      <w:proofErr w:type="spellStart"/>
      <w:r>
        <w:rPr>
          <w:rFonts w:ascii="Minion Pro" w:hAnsi="Minion Pro"/>
        </w:rPr>
        <w:t>n_jobs</w:t>
      </w:r>
      <w:proofErr w:type="spellEnd"/>
      <w:r>
        <w:rPr>
          <w:rFonts w:ascii="Minion Pro" w:hAnsi="Minion Pro"/>
        </w:rPr>
        <w:t xml:space="preserve">=-1, </w:t>
      </w:r>
      <w:proofErr w:type="spellStart"/>
      <w:r>
        <w:rPr>
          <w:rFonts w:ascii="Minion Pro" w:hAnsi="Minion Pro"/>
        </w:rPr>
        <w:t>random_state</w:t>
      </w:r>
      <w:proofErr w:type="spellEnd"/>
      <w:r>
        <w:rPr>
          <w:rFonts w:ascii="Minion Pro" w:hAnsi="Minion Pro"/>
        </w:rPr>
        <w:t>=42</w:t>
      </w:r>
    </w:p>
    <w:p w14:paraId="0B8FBE8C" w14:textId="77777777" w:rsidR="002A70BB" w:rsidRPr="00A42D26" w:rsidRDefault="002A70BB"/>
    <w:sectPr w:rsidR="002A70BB" w:rsidRPr="00A42D26" w:rsidSect="00A42D26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871F0" w14:textId="77777777" w:rsidR="00E92CD5" w:rsidRDefault="00E92CD5" w:rsidP="00A42D26">
      <w:pPr>
        <w:spacing w:after="0" w:line="240" w:lineRule="auto"/>
      </w:pPr>
      <w:r>
        <w:separator/>
      </w:r>
    </w:p>
  </w:endnote>
  <w:endnote w:type="continuationSeparator" w:id="0">
    <w:p w14:paraId="01DC1FA3" w14:textId="77777777" w:rsidR="00E92CD5" w:rsidRDefault="00E92CD5" w:rsidP="00A42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DD3D" w14:textId="77777777" w:rsidR="00E92CD5" w:rsidRDefault="00E92CD5" w:rsidP="00A42D26">
      <w:pPr>
        <w:spacing w:after="0" w:line="240" w:lineRule="auto"/>
      </w:pPr>
      <w:r>
        <w:separator/>
      </w:r>
    </w:p>
  </w:footnote>
  <w:footnote w:type="continuationSeparator" w:id="0">
    <w:p w14:paraId="2123F7C7" w14:textId="77777777" w:rsidR="00E92CD5" w:rsidRDefault="00E92CD5" w:rsidP="00A42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5264"/>
    <w:multiLevelType w:val="multilevel"/>
    <w:tmpl w:val="05FC5264"/>
    <w:lvl w:ilvl="0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1F10A12"/>
    <w:multiLevelType w:val="multilevel"/>
    <w:tmpl w:val="11F10A12"/>
    <w:lvl w:ilvl="0">
      <w:start w:val="1"/>
      <w:numFmt w:val="decimal"/>
      <w:lvlText w:val="%1."/>
      <w:lvlJc w:val="left"/>
      <w:pPr>
        <w:ind w:left="880" w:hanging="440"/>
      </w:pPr>
    </w:lvl>
    <w:lvl w:ilvl="1">
      <w:start w:val="1"/>
      <w:numFmt w:val="lowerLetter"/>
      <w:lvlText w:val="%2)"/>
      <w:lvlJc w:val="left"/>
      <w:pPr>
        <w:ind w:left="1320" w:hanging="440"/>
      </w:pPr>
    </w:lvl>
    <w:lvl w:ilvl="2">
      <w:start w:val="1"/>
      <w:numFmt w:val="lowerRoman"/>
      <w:lvlText w:val="%3."/>
      <w:lvlJc w:val="right"/>
      <w:pPr>
        <w:ind w:left="1760" w:hanging="440"/>
      </w:pPr>
    </w:lvl>
    <w:lvl w:ilvl="3">
      <w:start w:val="1"/>
      <w:numFmt w:val="decimal"/>
      <w:lvlText w:val="%4."/>
      <w:lvlJc w:val="left"/>
      <w:pPr>
        <w:ind w:left="2200" w:hanging="440"/>
      </w:pPr>
    </w:lvl>
    <w:lvl w:ilvl="4">
      <w:start w:val="1"/>
      <w:numFmt w:val="lowerLetter"/>
      <w:lvlText w:val="%5)"/>
      <w:lvlJc w:val="left"/>
      <w:pPr>
        <w:ind w:left="2640" w:hanging="440"/>
      </w:p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lowerLetter"/>
      <w:lvlText w:val="%8)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35E3F7C"/>
    <w:multiLevelType w:val="multilevel"/>
    <w:tmpl w:val="135E3F7C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82A3B02"/>
    <w:multiLevelType w:val="multilevel"/>
    <w:tmpl w:val="182A3B02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D67FC1"/>
    <w:multiLevelType w:val="multilevel"/>
    <w:tmpl w:val="1FD67FC1"/>
    <w:lvl w:ilvl="0">
      <w:start w:val="1"/>
      <w:numFmt w:val="decimal"/>
      <w:lvlText w:val="S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S%1.%2"/>
      <w:lvlJc w:val="left"/>
      <w:pPr>
        <w:ind w:left="993" w:hanging="567"/>
      </w:pPr>
      <w:rPr>
        <w:rFonts w:hint="eastAsia"/>
      </w:rPr>
    </w:lvl>
    <w:lvl w:ilvl="2">
      <w:start w:val="1"/>
      <w:numFmt w:val="decimal"/>
      <w:lvlText w:val="S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S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9DF1862"/>
    <w:multiLevelType w:val="multilevel"/>
    <w:tmpl w:val="29DF1862"/>
    <w:lvl w:ilvl="0">
      <w:start w:val="1"/>
      <w:numFmt w:val="bullet"/>
      <w:lvlText w:val=""/>
      <w:lvlJc w:val="left"/>
      <w:pPr>
        <w:ind w:left="1872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1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5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9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3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7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1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5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92" w:hanging="440"/>
      </w:pPr>
      <w:rPr>
        <w:rFonts w:ascii="Wingdings" w:hAnsi="Wingdings" w:hint="default"/>
      </w:rPr>
    </w:lvl>
  </w:abstractNum>
  <w:abstractNum w:abstractNumId="6" w15:restartNumberingAfterBreak="0">
    <w:nsid w:val="3835EA64"/>
    <w:multiLevelType w:val="singleLevel"/>
    <w:tmpl w:val="3835EA6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3B57481B"/>
    <w:multiLevelType w:val="multilevel"/>
    <w:tmpl w:val="3B57481B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21940C1"/>
    <w:multiLevelType w:val="multilevel"/>
    <w:tmpl w:val="521940C1"/>
    <w:lvl w:ilvl="0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9" w15:restartNumberingAfterBreak="0">
    <w:nsid w:val="622C0B49"/>
    <w:multiLevelType w:val="multilevel"/>
    <w:tmpl w:val="622C0B49"/>
    <w:lvl w:ilvl="0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68DD2B51"/>
    <w:multiLevelType w:val="multilevel"/>
    <w:tmpl w:val="68DD2B5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5835C0"/>
    <w:multiLevelType w:val="multilevel"/>
    <w:tmpl w:val="705835C0"/>
    <w:lvl w:ilvl="0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FBF2709"/>
    <w:multiLevelType w:val="multilevel"/>
    <w:tmpl w:val="7FBF2709"/>
    <w:lvl w:ilvl="0">
      <w:start w:val="1"/>
      <w:numFmt w:val="bullet"/>
      <w:lvlText w:val=""/>
      <w:lvlJc w:val="left"/>
      <w:pPr>
        <w:ind w:left="1305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num w:numId="1" w16cid:durableId="2082754162">
    <w:abstractNumId w:val="4"/>
  </w:num>
  <w:num w:numId="2" w16cid:durableId="378208922">
    <w:abstractNumId w:val="8"/>
  </w:num>
  <w:num w:numId="3" w16cid:durableId="864707389">
    <w:abstractNumId w:val="2"/>
  </w:num>
  <w:num w:numId="4" w16cid:durableId="198055991">
    <w:abstractNumId w:val="5"/>
  </w:num>
  <w:num w:numId="5" w16cid:durableId="626475890">
    <w:abstractNumId w:val="7"/>
  </w:num>
  <w:num w:numId="6" w16cid:durableId="880165175">
    <w:abstractNumId w:val="6"/>
  </w:num>
  <w:num w:numId="7" w16cid:durableId="298455991">
    <w:abstractNumId w:val="10"/>
  </w:num>
  <w:num w:numId="8" w16cid:durableId="921136098">
    <w:abstractNumId w:val="3"/>
  </w:num>
  <w:num w:numId="9" w16cid:durableId="1015963080">
    <w:abstractNumId w:val="9"/>
  </w:num>
  <w:num w:numId="10" w16cid:durableId="1100951007">
    <w:abstractNumId w:val="0"/>
  </w:num>
  <w:num w:numId="11" w16cid:durableId="297035901">
    <w:abstractNumId w:val="1"/>
  </w:num>
  <w:num w:numId="12" w16cid:durableId="1554930588">
    <w:abstractNumId w:val="12"/>
  </w:num>
  <w:num w:numId="13" w16cid:durableId="628042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E14"/>
    <w:rsid w:val="002A70BB"/>
    <w:rsid w:val="00490BB4"/>
    <w:rsid w:val="004E6AF1"/>
    <w:rsid w:val="00527753"/>
    <w:rsid w:val="00674990"/>
    <w:rsid w:val="008D6E14"/>
    <w:rsid w:val="00904FD1"/>
    <w:rsid w:val="00A42D26"/>
    <w:rsid w:val="00C16782"/>
    <w:rsid w:val="00CA6852"/>
    <w:rsid w:val="00E9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E315CCA-1E75-4649-AD90-8BD6CC16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D26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8D6E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E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E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E1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E1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E1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E1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E1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E1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6E1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6E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6E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6E1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6E1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D6E1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6E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6E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6E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6E1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6E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E1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6E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6E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D6E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6E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6E1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6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D6E1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D6E1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42D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42D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42D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42D26"/>
    <w:rPr>
      <w:sz w:val="18"/>
      <w:szCs w:val="18"/>
    </w:rPr>
  </w:style>
  <w:style w:type="table" w:styleId="af2">
    <w:name w:val="Table Grid"/>
    <w:basedOn w:val="a1"/>
    <w:uiPriority w:val="59"/>
    <w:qFormat/>
    <w:rsid w:val="00A42D26"/>
    <w:pPr>
      <w:spacing w:line="260" w:lineRule="atLeast"/>
      <w:jc w:val="both"/>
    </w:pPr>
    <w:rPr>
      <w:rFonts w:ascii="Minion Pro" w:eastAsia="宋体" w:hAnsi="Minion Pro" w:cs="Calibri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P31text">
    <w:name w:val="TSP_3.1_text"/>
    <w:link w:val="TSP31text0"/>
    <w:qFormat/>
    <w:rsid w:val="00A42D2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lang w:eastAsia="de-DE" w:bidi="en-US"/>
    </w:rPr>
  </w:style>
  <w:style w:type="character" w:customStyle="1" w:styleId="TSP31text0">
    <w:name w:val="TSP_3.1_text 字符"/>
    <w:basedOn w:val="a0"/>
    <w:link w:val="TSP31text"/>
    <w:qFormat/>
    <w:rsid w:val="00A42D26"/>
    <w:rPr>
      <w:rFonts w:ascii="Minion Pro" w:eastAsia="Times New Roman" w:hAnsi="Minion Pro" w:cs="Times New Roman"/>
      <w:snapToGrid w:val="0"/>
      <w:color w:val="000000"/>
      <w:kern w:val="0"/>
      <w:sz w:val="22"/>
      <w:lang w:eastAsia="de-DE" w:bidi="en-US"/>
    </w:rPr>
  </w:style>
  <w:style w:type="paragraph" w:customStyle="1" w:styleId="TSP3aequationnumber">
    <w:name w:val="TSP_3.a_equation_number"/>
    <w:qFormat/>
    <w:rsid w:val="00A42D26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07 - 2010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1504</Words>
  <Characters>9011</Characters>
  <Application>Microsoft Office Word</Application>
  <DocSecurity>0</DocSecurity>
  <Lines>158</Lines>
  <Paragraphs>80</Paragraphs>
  <ScaleCrop>false</ScaleCrop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震 闫</dc:creator>
  <cp:keywords/>
  <dc:description/>
  <cp:lastModifiedBy>tsp20250721@outlook.com</cp:lastModifiedBy>
  <cp:revision>2</cp:revision>
  <dcterms:created xsi:type="dcterms:W3CDTF">2026-04-09T01:17:00Z</dcterms:created>
  <dcterms:modified xsi:type="dcterms:W3CDTF">2026-04-09T01:17:00Z</dcterms:modified>
</cp:coreProperties>
</file>