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47B1E" w14:textId="77777777" w:rsidR="009A4D48" w:rsidRDefault="009A4D48" w:rsidP="009A4D48">
      <w:pPr>
        <w:rPr>
          <w:rFonts w:ascii="Minion Pro" w:hAnsi="Minion Pro"/>
          <w:b/>
          <w:bCs/>
          <w:sz w:val="28"/>
          <w:szCs w:val="28"/>
        </w:rPr>
      </w:pPr>
      <w:r>
        <w:rPr>
          <w:rFonts w:ascii="Minion Pro" w:hAnsi="Minion Pro"/>
          <w:b/>
          <w:bCs/>
          <w:sz w:val="28"/>
          <w:szCs w:val="28"/>
        </w:rPr>
        <w:t>Supplementary Materials</w:t>
      </w:r>
    </w:p>
    <w:p w14:paraId="55EF5175" w14:textId="712E9EA6" w:rsidR="006565A3" w:rsidRDefault="009A4D48" w:rsidP="007B215C">
      <w:pPr>
        <w:jc w:val="center"/>
        <w:rPr>
          <w:rFonts w:ascii="Minion Pro" w:hAnsi="Minion Pro"/>
          <w:b/>
          <w:bCs/>
        </w:rPr>
      </w:pPr>
      <w:r>
        <w:rPr>
          <w:rFonts w:ascii="Minion Pro" w:hAnsi="Minion Pro"/>
          <w:noProof/>
        </w:rPr>
        <w:drawing>
          <wp:inline distT="0" distB="0" distL="0" distR="0" wp14:anchorId="24894922" wp14:editId="5112F704">
            <wp:extent cx="5400040" cy="4848225"/>
            <wp:effectExtent l="0" t="0" r="0" b="9525"/>
            <wp:docPr id="3557201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72014" name="圖片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400000" cy="4848295"/>
                    </a:xfrm>
                    <a:prstGeom prst="rect">
                      <a:avLst/>
                    </a:prstGeom>
                    <a:noFill/>
                  </pic:spPr>
                </pic:pic>
              </a:graphicData>
            </a:graphic>
          </wp:inline>
        </w:drawing>
      </w:r>
    </w:p>
    <w:p w14:paraId="5914E3DF" w14:textId="77777777" w:rsidR="006565A3" w:rsidRDefault="00000000">
      <w:pPr>
        <w:rPr>
          <w:rFonts w:ascii="Minion Pro" w:hAnsi="Minion Pro"/>
          <w:b/>
          <w:bCs/>
        </w:rPr>
      </w:pPr>
      <w:r>
        <w:rPr>
          <w:rFonts w:ascii="Minion Pro" w:hAnsi="Minion Pro"/>
          <w:b/>
          <w:bCs/>
        </w:rPr>
        <w:t>Supplementary Figure S</w:t>
      </w:r>
      <w:r>
        <w:rPr>
          <w:rFonts w:ascii="Minion Pro" w:hAnsi="Minion Pro" w:hint="eastAsia"/>
          <w:b/>
          <w:bCs/>
        </w:rPr>
        <w:t>1</w:t>
      </w:r>
      <w:r>
        <w:rPr>
          <w:rFonts w:ascii="Minion Pro" w:hAnsi="Minion Pro"/>
          <w:b/>
          <w:bCs/>
        </w:rPr>
        <w:t>. CONSORT-style flow diagram of the study design and patient selection process</w:t>
      </w:r>
      <w:r>
        <w:rPr>
          <w:rFonts w:ascii="Minion Pro" w:hAnsi="Minion Pro" w:hint="eastAsia"/>
          <w:b/>
          <w:bCs/>
        </w:rPr>
        <w:t xml:space="preserve"> </w:t>
      </w:r>
      <w:r>
        <w:rPr>
          <w:rFonts w:ascii="Minion Pro" w:hAnsi="Minion Pro"/>
          <w:b/>
          <w:bCs/>
        </w:rPr>
        <w:t>for each GEO dataset.</w:t>
      </w:r>
      <w:r>
        <w:rPr>
          <w:rFonts w:ascii="Minion Pro" w:hAnsi="Minion Pro"/>
        </w:rPr>
        <w:t xml:space="preserve"> The flow-chart details the inclusion and exclusion criteria applied to the </w:t>
      </w:r>
      <w:r>
        <w:rPr>
          <w:rFonts w:ascii="Minion Pro" w:hAnsi="Minion Pro" w:hint="eastAsia"/>
        </w:rPr>
        <w:t xml:space="preserve">external validation </w:t>
      </w:r>
      <w:r>
        <w:rPr>
          <w:rFonts w:ascii="Minion Pro" w:hAnsi="Minion Pro"/>
        </w:rPr>
        <w:t>patient cohorts. It documents the initial number of patients retrieved from the five independent Gene Expression Omnibus (GEO) validation datasets (GSE45255, GSE17705, GSE25065, GSE25055, and GSE20711), the number of samples excluded due to missing critical clinical information</w:t>
      </w:r>
      <w:r>
        <w:rPr>
          <w:rFonts w:ascii="Minion Pro" w:hAnsi="Minion Pro" w:hint="eastAsia"/>
        </w:rPr>
        <w:t xml:space="preserve"> or poor quality</w:t>
      </w:r>
      <w:r>
        <w:rPr>
          <w:rFonts w:ascii="Minion Pro" w:hAnsi="Minion Pro"/>
        </w:rPr>
        <w:t>, and the final number of eligible patients included in the downstream survival analyses.</w:t>
      </w:r>
    </w:p>
    <w:p w14:paraId="612825D6" w14:textId="77777777" w:rsidR="006565A3" w:rsidRDefault="00000000" w:rsidP="009A4D48">
      <w:pPr>
        <w:jc w:val="center"/>
        <w:rPr>
          <w:rFonts w:ascii="Minion Pro" w:hAnsi="Minion Pro"/>
        </w:rPr>
      </w:pPr>
      <w:r>
        <w:rPr>
          <w:rFonts w:ascii="Minion Pro" w:hAnsi="Minion Pro"/>
          <w:noProof/>
        </w:rPr>
        <w:lastRenderedPageBreak/>
        <w:drawing>
          <wp:inline distT="0" distB="0" distL="0" distR="0" wp14:anchorId="6EB175DF" wp14:editId="5FD43201">
            <wp:extent cx="3599815" cy="3448050"/>
            <wp:effectExtent l="0" t="0" r="635" b="0"/>
            <wp:docPr id="103944740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447402" name="圖片 1"/>
                    <pic:cNvPicPr>
                      <a:picLocks noChangeAspect="1" noChangeArrowheads="1"/>
                    </pic:cNvPicPr>
                  </pic:nvPicPr>
                  <pic:blipFill>
                    <a:blip r:embed="rId7" cstate="print">
                      <a:extLst>
                        <a:ext uri="{28A0092B-C50C-407E-A947-70E740481C1C}">
                          <a14:useLocalDpi xmlns:a14="http://schemas.microsoft.com/office/drawing/2010/main" val="0"/>
                        </a:ext>
                      </a:extLst>
                    </a:blip>
                    <a:srcRect t="10414" b="5802"/>
                    <a:stretch>
                      <a:fillRect/>
                    </a:stretch>
                  </pic:blipFill>
                  <pic:spPr>
                    <a:xfrm>
                      <a:off x="0" y="0"/>
                      <a:ext cx="3599815" cy="3448050"/>
                    </a:xfrm>
                    <a:prstGeom prst="rect">
                      <a:avLst/>
                    </a:prstGeom>
                    <a:noFill/>
                    <a:ln>
                      <a:noFill/>
                    </a:ln>
                  </pic:spPr>
                </pic:pic>
              </a:graphicData>
            </a:graphic>
          </wp:inline>
        </w:drawing>
      </w:r>
    </w:p>
    <w:p w14:paraId="5C407229" w14:textId="77777777" w:rsidR="006565A3" w:rsidRDefault="00000000">
      <w:pPr>
        <w:rPr>
          <w:rFonts w:ascii="Minion Pro" w:hAnsi="Minion Pro"/>
        </w:rPr>
      </w:pPr>
      <w:r>
        <w:rPr>
          <w:rFonts w:ascii="Minion Pro" w:hAnsi="Minion Pro"/>
          <w:b/>
          <w:bCs/>
        </w:rPr>
        <w:t>Supplementary Figure S</w:t>
      </w:r>
      <w:r>
        <w:rPr>
          <w:rFonts w:ascii="Minion Pro" w:hAnsi="Minion Pro" w:hint="eastAsia"/>
          <w:b/>
          <w:bCs/>
        </w:rPr>
        <w:t>2</w:t>
      </w:r>
      <w:r>
        <w:rPr>
          <w:rFonts w:ascii="Minion Pro" w:hAnsi="Minion Pro"/>
          <w:b/>
          <w:bCs/>
        </w:rPr>
        <w:t>. Volcano plot of differentially expressed cytokines between node-negative (N0) and node-positive (non-N0) primary breast tumors.</w:t>
      </w:r>
      <w:r>
        <w:rPr>
          <w:rFonts w:ascii="Minion Pro" w:hAnsi="Minion Pro"/>
        </w:rPr>
        <w:t xml:space="preserve"> The differential expression analysis highlights cytokines from the predefined 176-gene panel that are significantly upregulated (red) or downregulated (blue) in patients with lymph node metastasis compared to those without. The x-axis represents the log2 fold change (log2FC), and the y-axis indicates the -log10(p-value). Significance thresholds were set at an unadjusted p-value &lt; 0.05 and an absolute log2FC &gt; 0.15.</w:t>
      </w:r>
      <w:r>
        <w:t xml:space="preserve"> </w:t>
      </w:r>
      <w:r>
        <w:rPr>
          <w:rFonts w:ascii="Minion Pro" w:hAnsi="Minion Pro"/>
        </w:rPr>
        <w:t xml:space="preserve">Vascular Endothelial Growth Factor C </w:t>
      </w:r>
      <w:r>
        <w:rPr>
          <w:rFonts w:ascii="Minion Pro" w:hAnsi="Minion Pro" w:hint="eastAsia"/>
        </w:rPr>
        <w:t>(</w:t>
      </w:r>
      <w:r>
        <w:rPr>
          <w:rFonts w:ascii="Minion Pro" w:hAnsi="Minion Pro"/>
          <w:i/>
          <w:iCs/>
        </w:rPr>
        <w:t>VEGFC</w:t>
      </w:r>
      <w:r>
        <w:rPr>
          <w:rFonts w:ascii="Minion Pro" w:hAnsi="Minion Pro" w:hint="eastAsia"/>
        </w:rPr>
        <w:t>)</w:t>
      </w:r>
      <w:r>
        <w:rPr>
          <w:rFonts w:ascii="Minion Pro" w:hAnsi="Minion Pro"/>
        </w:rPr>
        <w:t>, alongside chemokines such as</w:t>
      </w:r>
      <w:r>
        <w:rPr>
          <w:rFonts w:ascii="Minion Pro" w:hAnsi="Minion Pro" w:hint="eastAsia"/>
        </w:rPr>
        <w:t xml:space="preserve"> </w:t>
      </w:r>
      <w:r>
        <w:rPr>
          <w:rFonts w:ascii="Minion Pro" w:hAnsi="Minion Pro"/>
        </w:rPr>
        <w:t xml:space="preserve">C-X-C Motif Chemokine Ligand 12 </w:t>
      </w:r>
      <w:r>
        <w:rPr>
          <w:rFonts w:ascii="Minion Pro" w:hAnsi="Minion Pro" w:hint="eastAsia"/>
        </w:rPr>
        <w:t>(</w:t>
      </w:r>
      <w:r>
        <w:rPr>
          <w:rFonts w:ascii="Minion Pro" w:hAnsi="Minion Pro"/>
          <w:i/>
          <w:iCs/>
        </w:rPr>
        <w:t>CXCL12</w:t>
      </w:r>
      <w:r>
        <w:rPr>
          <w:rFonts w:ascii="Minion Pro" w:hAnsi="Minion Pro" w:hint="eastAsia"/>
        </w:rPr>
        <w:t>)</w:t>
      </w:r>
      <w:r>
        <w:rPr>
          <w:rFonts w:ascii="Minion Pro" w:hAnsi="Minion Pro"/>
        </w:rPr>
        <w:t xml:space="preserve"> and</w:t>
      </w:r>
      <w:r>
        <w:rPr>
          <w:rFonts w:ascii="Minion Pro" w:hAnsi="Minion Pro" w:hint="eastAsia"/>
        </w:rPr>
        <w:t xml:space="preserve"> </w:t>
      </w:r>
      <w:r>
        <w:rPr>
          <w:rFonts w:ascii="Minion Pro" w:hAnsi="Minion Pro"/>
        </w:rPr>
        <w:t xml:space="preserve">C-C Motif Chemokine Ligand 2 </w:t>
      </w:r>
      <w:r>
        <w:rPr>
          <w:rFonts w:ascii="Minion Pro" w:hAnsi="Minion Pro" w:hint="eastAsia"/>
        </w:rPr>
        <w:t>(</w:t>
      </w:r>
      <w:r>
        <w:rPr>
          <w:rFonts w:ascii="Minion Pro" w:hAnsi="Minion Pro"/>
          <w:i/>
          <w:iCs/>
        </w:rPr>
        <w:t>CCL2</w:t>
      </w:r>
      <w:r>
        <w:rPr>
          <w:rFonts w:ascii="Minion Pro" w:hAnsi="Minion Pro" w:hint="eastAsia"/>
        </w:rPr>
        <w:t>)</w:t>
      </w:r>
      <w:r>
        <w:rPr>
          <w:rFonts w:ascii="Minion Pro" w:hAnsi="Minion Pro"/>
        </w:rPr>
        <w:t>, is prominently highlighted as significantly upregulated in the non-N0 cohort, reinforcing its biological relevance prior to machine learning feature selection.</w:t>
      </w:r>
    </w:p>
    <w:p w14:paraId="54195F5F" w14:textId="77777777" w:rsidR="006565A3" w:rsidRDefault="00000000" w:rsidP="009A4D48">
      <w:pPr>
        <w:jc w:val="center"/>
        <w:rPr>
          <w:rFonts w:ascii="Minion Pro" w:hAnsi="Minion Pro"/>
        </w:rPr>
      </w:pPr>
      <w:r>
        <w:rPr>
          <w:rFonts w:ascii="Minion Pro" w:hAnsi="Minion Pro"/>
          <w:noProof/>
        </w:rPr>
        <w:lastRenderedPageBreak/>
        <w:drawing>
          <wp:inline distT="0" distB="0" distL="0" distR="0" wp14:anchorId="16A68A70" wp14:editId="0D05A553">
            <wp:extent cx="2708275" cy="2471420"/>
            <wp:effectExtent l="0" t="0" r="0" b="5080"/>
            <wp:docPr id="207363303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633031"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708275" cy="2471420"/>
                    </a:xfrm>
                    <a:prstGeom prst="rect">
                      <a:avLst/>
                    </a:prstGeom>
                    <a:noFill/>
                  </pic:spPr>
                </pic:pic>
              </a:graphicData>
            </a:graphic>
          </wp:inline>
        </w:drawing>
      </w:r>
    </w:p>
    <w:p w14:paraId="2032219E" w14:textId="77777777" w:rsidR="006565A3" w:rsidRDefault="00000000">
      <w:pPr>
        <w:rPr>
          <w:rFonts w:ascii="Minion Pro" w:hAnsi="Minion Pro"/>
        </w:rPr>
      </w:pPr>
      <w:r>
        <w:rPr>
          <w:rFonts w:ascii="Minion Pro" w:hAnsi="Minion Pro"/>
          <w:b/>
          <w:bCs/>
        </w:rPr>
        <w:t>Supplementary Figure S</w:t>
      </w:r>
      <w:r>
        <w:rPr>
          <w:rFonts w:ascii="Minion Pro" w:hAnsi="Minion Pro" w:hint="eastAsia"/>
          <w:b/>
          <w:bCs/>
        </w:rPr>
        <w:t>3</w:t>
      </w:r>
      <w:r>
        <w:rPr>
          <w:rFonts w:ascii="Minion Pro" w:hAnsi="Minion Pro"/>
          <w:b/>
          <w:bCs/>
        </w:rPr>
        <w:t>.</w:t>
      </w:r>
      <w:r>
        <w:rPr>
          <w:rFonts w:ascii="Minion Pro" w:hAnsi="Minion Pro"/>
        </w:rPr>
        <w:t xml:space="preserve"> </w:t>
      </w:r>
      <w:r>
        <w:rPr>
          <w:rFonts w:ascii="Minion Pro" w:hAnsi="Minion Pro"/>
          <w:b/>
          <w:bCs/>
        </w:rPr>
        <w:t>Receiver operating characteristic (ROC) curve analysis discriminating tumor vs. normal tissue.</w:t>
      </w:r>
      <w:r>
        <w:rPr>
          <w:rFonts w:ascii="Minion Pro" w:hAnsi="Minion Pro"/>
        </w:rPr>
        <w:t xml:space="preserve"> The ROC curve evaluates the diagnostic accuracy of VEGFC expression in distinguishing primary breast tumor samples from normal breast tissue. The area under the curve (AUC) is 0.773 (95% Confidence Interval [CI]: 0.734–0.822), demonstrating a good discriminative capacity. The solid red line plots the true positive rate (sensitivity) against the false positive rate (1-specificity) at various expression thresholds, while the dashed grey diagonal line represents the reference line of no discrimination (AUC = 0.50).</w:t>
      </w:r>
    </w:p>
    <w:p w14:paraId="3F4DFFA4" w14:textId="77777777" w:rsidR="006565A3" w:rsidRDefault="00000000" w:rsidP="009A4D48">
      <w:pPr>
        <w:jc w:val="center"/>
        <w:rPr>
          <w:rFonts w:ascii="Minion Pro" w:hAnsi="Minion Pro"/>
          <w:b/>
          <w:bCs/>
        </w:rPr>
      </w:pPr>
      <w:r>
        <w:rPr>
          <w:rFonts w:ascii="Minion Pro" w:hAnsi="Minion Pro"/>
          <w:b/>
          <w:bCs/>
          <w:noProof/>
        </w:rPr>
        <w:drawing>
          <wp:inline distT="0" distB="0" distL="0" distR="0" wp14:anchorId="08625C99" wp14:editId="40D6CBEC">
            <wp:extent cx="5400040" cy="3420745"/>
            <wp:effectExtent l="0" t="0" r="0" b="8255"/>
            <wp:docPr id="107862384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623842" name="圖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400040" cy="3420745"/>
                    </a:xfrm>
                    <a:prstGeom prst="rect">
                      <a:avLst/>
                    </a:prstGeom>
                    <a:noFill/>
                  </pic:spPr>
                </pic:pic>
              </a:graphicData>
            </a:graphic>
          </wp:inline>
        </w:drawing>
      </w:r>
    </w:p>
    <w:p w14:paraId="2E551391" w14:textId="174F1CDD" w:rsidR="006565A3" w:rsidRDefault="00000000">
      <w:pPr>
        <w:jc w:val="both"/>
        <w:rPr>
          <w:rFonts w:ascii="Minion Pro" w:hAnsi="Minion Pro"/>
        </w:rPr>
      </w:pPr>
      <w:r>
        <w:rPr>
          <w:rFonts w:ascii="Minion Pro" w:hAnsi="Minion Pro" w:hint="eastAsia"/>
          <w:b/>
          <w:bCs/>
        </w:rPr>
        <w:t xml:space="preserve">Supplementary Figure 4. Multivariate Cox proportional hazards analysis of VEGFC and clinicopathological characteristics for relapse-free survival in breast cancer. </w:t>
      </w:r>
      <w:r>
        <w:rPr>
          <w:rFonts w:ascii="Minion Pro" w:hAnsi="Minion Pro" w:hint="eastAsia"/>
        </w:rPr>
        <w:t xml:space="preserve">A forest plot illustrating </w:t>
      </w:r>
      <w:r>
        <w:rPr>
          <w:rFonts w:ascii="Minion Pro" w:hAnsi="Minion Pro" w:hint="eastAsia"/>
        </w:rPr>
        <w:lastRenderedPageBreak/>
        <w:t xml:space="preserve">the independent prognostic value of VEGFC expression. The multivariate Cox regression model was adjusted for patient age, tumor stage (Stage I as reference), Estrogen Receptor (ER) status, and HER2 status. Red squares represent the Hazard Ratios (HR), and the horizontal black lines indicate the 95% Confidence Intervals (CI). The vertical grey line denotes an HR of 1.0 (no effect). </w:t>
      </w:r>
    </w:p>
    <w:p w14:paraId="10DC651D" w14:textId="77777777" w:rsidR="006565A3" w:rsidRDefault="00000000" w:rsidP="009A4D48">
      <w:pPr>
        <w:jc w:val="center"/>
        <w:rPr>
          <w:rFonts w:ascii="Minion Pro" w:hAnsi="Minion Pro"/>
        </w:rPr>
      </w:pPr>
      <w:r>
        <w:rPr>
          <w:rFonts w:ascii="Minion Pro" w:hAnsi="Minion Pro"/>
          <w:noProof/>
        </w:rPr>
        <w:drawing>
          <wp:inline distT="0" distB="0" distL="0" distR="0" wp14:anchorId="16777C5C" wp14:editId="4573C06F">
            <wp:extent cx="4714875" cy="4910455"/>
            <wp:effectExtent l="0" t="0" r="9525" b="4445"/>
            <wp:docPr id="69180246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802467" name="圖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714875" cy="4910455"/>
                    </a:xfrm>
                    <a:prstGeom prst="rect">
                      <a:avLst/>
                    </a:prstGeom>
                    <a:noFill/>
                  </pic:spPr>
                </pic:pic>
              </a:graphicData>
            </a:graphic>
          </wp:inline>
        </w:drawing>
      </w:r>
    </w:p>
    <w:p w14:paraId="721FCF4A" w14:textId="77777777" w:rsidR="006565A3" w:rsidRDefault="00000000">
      <w:pPr>
        <w:rPr>
          <w:rFonts w:ascii="Minion Pro" w:hAnsi="Minion Pro"/>
        </w:rPr>
      </w:pPr>
      <w:r>
        <w:rPr>
          <w:rFonts w:ascii="Minion Pro" w:hAnsi="Minion Pro"/>
          <w:b/>
          <w:bCs/>
        </w:rPr>
        <w:t xml:space="preserve">Supplementary Figure S5. Subgroup Kaplan-Meier survival analysis of </w:t>
      </w:r>
      <w:r>
        <w:rPr>
          <w:rFonts w:ascii="Minion Pro" w:hAnsi="Minion Pro"/>
          <w:b/>
          <w:bCs/>
          <w:i/>
          <w:iCs/>
        </w:rPr>
        <w:t>VEGFC</w:t>
      </w:r>
      <w:r>
        <w:rPr>
          <w:rFonts w:ascii="Minion Pro" w:hAnsi="Minion Pro"/>
          <w:b/>
          <w:bCs/>
        </w:rPr>
        <w:t xml:space="preserve"> across breast cancer molecular subtypes.</w:t>
      </w:r>
      <w:r>
        <w:rPr>
          <w:rFonts w:ascii="Minion Pro" w:hAnsi="Minion Pro"/>
        </w:rPr>
        <w:t xml:space="preserve"> Relapse-free survival (RFS) curves stratified by high (red) and low (blue) </w:t>
      </w:r>
      <w:r>
        <w:rPr>
          <w:rFonts w:ascii="Minion Pro" w:hAnsi="Minion Pro"/>
          <w:i/>
          <w:iCs/>
        </w:rPr>
        <w:t>VEGFC</w:t>
      </w:r>
      <w:r>
        <w:rPr>
          <w:rFonts w:ascii="Minion Pro" w:hAnsi="Minion Pro"/>
        </w:rPr>
        <w:t xml:space="preserve"> expression within distinct intrinsic subtypes: </w:t>
      </w:r>
      <w:r>
        <w:rPr>
          <w:rFonts w:ascii="Minion Pro" w:hAnsi="Minion Pro"/>
          <w:b/>
          <w:bCs/>
        </w:rPr>
        <w:t>(A)</w:t>
      </w:r>
      <w:r>
        <w:rPr>
          <w:rFonts w:ascii="Minion Pro" w:hAnsi="Minion Pro"/>
        </w:rPr>
        <w:t xml:space="preserve"> Luminal A (</w:t>
      </w:r>
      <w:r>
        <w:rPr>
          <w:rFonts w:ascii="Minion Pro" w:hAnsi="Minion Pro"/>
          <w:i/>
          <w:iCs/>
        </w:rPr>
        <w:t>p</w:t>
      </w:r>
      <w:r>
        <w:rPr>
          <w:rFonts w:ascii="Minion Pro" w:hAnsi="Minion Pro"/>
        </w:rPr>
        <w:t xml:space="preserve"> = 0.0077), </w:t>
      </w:r>
      <w:r>
        <w:rPr>
          <w:rFonts w:ascii="Minion Pro" w:hAnsi="Minion Pro"/>
          <w:b/>
          <w:bCs/>
        </w:rPr>
        <w:t>(B)</w:t>
      </w:r>
      <w:r>
        <w:rPr>
          <w:rFonts w:ascii="Minion Pro" w:hAnsi="Minion Pro"/>
        </w:rPr>
        <w:t xml:space="preserve"> Luminal B (</w:t>
      </w:r>
      <w:r>
        <w:rPr>
          <w:rFonts w:ascii="Minion Pro" w:hAnsi="Minion Pro"/>
          <w:i/>
          <w:iCs/>
        </w:rPr>
        <w:t>p</w:t>
      </w:r>
      <w:r>
        <w:rPr>
          <w:rFonts w:ascii="Minion Pro" w:hAnsi="Minion Pro"/>
        </w:rPr>
        <w:t xml:space="preserve"> = 0.00062), </w:t>
      </w:r>
      <w:r>
        <w:rPr>
          <w:rFonts w:ascii="Minion Pro" w:hAnsi="Minion Pro"/>
          <w:b/>
          <w:bCs/>
        </w:rPr>
        <w:t>(C)</w:t>
      </w:r>
      <w:r>
        <w:rPr>
          <w:rFonts w:ascii="Minion Pro" w:hAnsi="Minion Pro"/>
        </w:rPr>
        <w:t xml:space="preserve"> HER2-enriched (</w:t>
      </w:r>
      <w:r>
        <w:rPr>
          <w:rFonts w:ascii="Minion Pro" w:hAnsi="Minion Pro"/>
          <w:i/>
          <w:iCs/>
        </w:rPr>
        <w:t>p</w:t>
      </w:r>
      <w:r>
        <w:rPr>
          <w:rFonts w:ascii="Minion Pro" w:hAnsi="Minion Pro"/>
        </w:rPr>
        <w:t xml:space="preserve"> = 0.24), and </w:t>
      </w:r>
      <w:r>
        <w:rPr>
          <w:rFonts w:ascii="Minion Pro" w:hAnsi="Minion Pro"/>
          <w:b/>
          <w:bCs/>
        </w:rPr>
        <w:t>(D)</w:t>
      </w:r>
      <w:r>
        <w:rPr>
          <w:rFonts w:ascii="Minion Pro" w:hAnsi="Minion Pro"/>
        </w:rPr>
        <w:t xml:space="preserve"> Triple-Negative Breast Cancer (TNBC) (</w:t>
      </w:r>
      <w:r>
        <w:rPr>
          <w:rFonts w:ascii="Minion Pro" w:hAnsi="Minion Pro"/>
          <w:i/>
          <w:iCs/>
        </w:rPr>
        <w:t>p</w:t>
      </w:r>
      <w:r>
        <w:rPr>
          <w:rFonts w:ascii="Minion Pro" w:hAnsi="Minion Pro"/>
        </w:rPr>
        <w:t xml:space="preserve"> = 0.86). High </w:t>
      </w:r>
      <w:r>
        <w:rPr>
          <w:rFonts w:ascii="Minion Pro" w:hAnsi="Minion Pro"/>
          <w:i/>
          <w:iCs/>
        </w:rPr>
        <w:t>VEGFC</w:t>
      </w:r>
      <w:r>
        <w:rPr>
          <w:rFonts w:ascii="Minion Pro" w:hAnsi="Minion Pro"/>
        </w:rPr>
        <w:t xml:space="preserve"> expression demonstrates striking and highly significant prognostic value specifically in the hormone receptor-positive Luminal A and Luminal B cohorts, indicating its potential as a precision biomarker for these predominant subtypes</w:t>
      </w:r>
      <w:r>
        <w:rPr>
          <w:rFonts w:ascii="Minion Pro" w:hAnsi="Minion Pro" w:hint="eastAsia"/>
        </w:rPr>
        <w:t>.</w:t>
      </w:r>
    </w:p>
    <w:sectPr w:rsidR="006565A3">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808D6" w14:textId="77777777" w:rsidR="004D1B03" w:rsidRDefault="004D1B03">
      <w:pPr>
        <w:spacing w:line="240" w:lineRule="auto"/>
      </w:pPr>
      <w:r>
        <w:separator/>
      </w:r>
    </w:p>
  </w:endnote>
  <w:endnote w:type="continuationSeparator" w:id="0">
    <w:p w14:paraId="7072C287" w14:textId="77777777" w:rsidR="004D1B03" w:rsidRDefault="004D1B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inion Pro">
    <w:altName w:val="Times New Roman"/>
    <w:panose1 w:val="02040503050201020203"/>
    <w:charset w:val="00"/>
    <w:family w:val="roman"/>
    <w:notTrueType/>
    <w:pitch w:val="variable"/>
    <w:sig w:usb0="E00002AF" w:usb1="5000E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9E7E8" w14:textId="77777777" w:rsidR="004D1B03" w:rsidRDefault="004D1B03">
      <w:pPr>
        <w:spacing w:after="0"/>
      </w:pPr>
      <w:r>
        <w:separator/>
      </w:r>
    </w:p>
  </w:footnote>
  <w:footnote w:type="continuationSeparator" w:id="0">
    <w:p w14:paraId="6A341FE2" w14:textId="77777777" w:rsidR="004D1B03" w:rsidRDefault="004D1B0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B70"/>
    <w:rsid w:val="00012F08"/>
    <w:rsid w:val="000C1EC6"/>
    <w:rsid w:val="000F1489"/>
    <w:rsid w:val="00132146"/>
    <w:rsid w:val="001A0595"/>
    <w:rsid w:val="002139F6"/>
    <w:rsid w:val="002351A4"/>
    <w:rsid w:val="00373B06"/>
    <w:rsid w:val="0038707C"/>
    <w:rsid w:val="003965A5"/>
    <w:rsid w:val="0046304E"/>
    <w:rsid w:val="004D1B03"/>
    <w:rsid w:val="00514DE4"/>
    <w:rsid w:val="00594455"/>
    <w:rsid w:val="00633748"/>
    <w:rsid w:val="006565A3"/>
    <w:rsid w:val="00661F2D"/>
    <w:rsid w:val="00697495"/>
    <w:rsid w:val="00767ADE"/>
    <w:rsid w:val="007B215C"/>
    <w:rsid w:val="007F3216"/>
    <w:rsid w:val="00953EF3"/>
    <w:rsid w:val="009559ED"/>
    <w:rsid w:val="00974175"/>
    <w:rsid w:val="009A4D48"/>
    <w:rsid w:val="009C4248"/>
    <w:rsid w:val="009C4350"/>
    <w:rsid w:val="00A4195C"/>
    <w:rsid w:val="00A53465"/>
    <w:rsid w:val="00A94F3A"/>
    <w:rsid w:val="00AB7B70"/>
    <w:rsid w:val="00BA4080"/>
    <w:rsid w:val="00C27AEB"/>
    <w:rsid w:val="00CB0EB2"/>
    <w:rsid w:val="00D30657"/>
    <w:rsid w:val="00DA3627"/>
    <w:rsid w:val="00DD6794"/>
    <w:rsid w:val="00DF1512"/>
    <w:rsid w:val="00EE2848"/>
    <w:rsid w:val="00EF2D11"/>
    <w:rsid w:val="00F00674"/>
    <w:rsid w:val="00F00DFF"/>
    <w:rsid w:val="00F2006F"/>
    <w:rsid w:val="00F525DC"/>
    <w:rsid w:val="00F84BD3"/>
    <w:rsid w:val="00F87107"/>
    <w:rsid w:val="00FA3241"/>
    <w:rsid w:val="00FE4FD6"/>
    <w:rsid w:val="574569D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B6198D9"/>
  <w15:docId w15:val="{5D4F56A9-4981-4CF5-93C4-86A4407CA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160" w:line="278" w:lineRule="auto"/>
    </w:pPr>
    <w:rPr>
      <w:kern w:val="2"/>
      <w:sz w:val="24"/>
      <w:szCs w:val="24"/>
      <w:lang w:eastAsia="zh-TW"/>
      <w14:ligatures w14:val="standardContextual"/>
    </w:rPr>
  </w:style>
  <w:style w:type="paragraph" w:styleId="Heading1">
    <w:name w:val="heading 1"/>
    <w:basedOn w:val="Normal"/>
    <w:next w:val="Normal"/>
    <w:link w:val="Heading1Char"/>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pPr>
      <w:keepNext/>
      <w:keepLines/>
      <w:spacing w:before="160" w:after="40"/>
      <w:outlineLvl w:val="2"/>
    </w:pPr>
    <w:rPr>
      <w:rFonts w:eastAsiaTheme="majorEastAsia"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pPr>
      <w:keepNext/>
      <w:keepLines/>
      <w:spacing w:before="160" w:after="40"/>
      <w:outlineLvl w:val="3"/>
    </w:pPr>
    <w:rPr>
      <w:rFonts w:eastAsiaTheme="majorEastAsia"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ind w:leftChars="100" w:left="10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before="40" w:after="0"/>
      <w:ind w:leftChars="200" w:left="200"/>
      <w:outlineLvl w:val="7"/>
    </w:pPr>
    <w:rPr>
      <w:rFonts w:eastAsiaTheme="majorEastAsia" w:cstheme="majorBidi"/>
      <w:color w:val="262626" w:themeColor="text1" w:themeTint="D9"/>
    </w:rPr>
  </w:style>
  <w:style w:type="paragraph" w:styleId="Heading9">
    <w:name w:val="heading 9"/>
    <w:basedOn w:val="Normal"/>
    <w:next w:val="Normal"/>
    <w:link w:val="Heading9Char"/>
    <w:uiPriority w:val="9"/>
    <w:semiHidden/>
    <w:unhideWhenUsed/>
    <w:qFormat/>
    <w:pPr>
      <w:keepNext/>
      <w:keepLines/>
      <w:spacing w:before="40" w:after="0"/>
      <w:ind w:leftChars="300" w:left="30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style>
  <w:style w:type="paragraph" w:styleId="Footer">
    <w:name w:val="footer"/>
    <w:basedOn w:val="Normal"/>
    <w:link w:val="FooterChar"/>
    <w:uiPriority w:val="99"/>
    <w:unhideWhenUsed/>
    <w:pPr>
      <w:tabs>
        <w:tab w:val="center" w:pos="4153"/>
        <w:tab w:val="right" w:pos="8306"/>
      </w:tabs>
      <w:snapToGrid w:val="0"/>
    </w:pPr>
    <w:rPr>
      <w:sz w:val="20"/>
      <w:szCs w:val="20"/>
    </w:rPr>
  </w:style>
  <w:style w:type="paragraph" w:styleId="Header">
    <w:name w:val="header"/>
    <w:basedOn w:val="Normal"/>
    <w:link w:val="HeaderChar"/>
    <w:uiPriority w:val="99"/>
    <w:unhideWhenUsed/>
    <w:pPr>
      <w:tabs>
        <w:tab w:val="center" w:pos="4153"/>
        <w:tab w:val="right" w:pos="8306"/>
      </w:tabs>
      <w:snapToGrid w:val="0"/>
    </w:pPr>
    <w:rPr>
      <w:sz w:val="20"/>
      <w:szCs w:val="20"/>
    </w:rPr>
  </w:style>
  <w:style w:type="paragraph" w:styleId="Subtitle">
    <w:name w:val="Subtitle"/>
    <w:basedOn w:val="Normal"/>
    <w:next w:val="Normal"/>
    <w:link w:val="SubtitleChar"/>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Title">
    <w:name w:val="Title"/>
    <w:basedOn w:val="Normal"/>
    <w:next w:val="Normal"/>
    <w:link w:val="TitleChar"/>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32"/>
      <w:szCs w:val="32"/>
    </w:rPr>
  </w:style>
  <w:style w:type="character" w:customStyle="1" w:styleId="Heading4Char">
    <w:name w:val="Heading 4 Char"/>
    <w:basedOn w:val="DefaultParagraphFont"/>
    <w:link w:val="Heading4"/>
    <w:uiPriority w:val="9"/>
    <w:semiHidden/>
    <w:rPr>
      <w:rFonts w:eastAsiaTheme="majorEastAsia" w:cstheme="majorBidi"/>
      <w:color w:val="0F4761" w:themeColor="accent1" w:themeShade="BF"/>
      <w:sz w:val="28"/>
      <w:szCs w:val="28"/>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uiPriority w:val="99"/>
    <w:rPr>
      <w:sz w:val="20"/>
      <w:szCs w:val="20"/>
    </w:rPr>
  </w:style>
  <w:style w:type="character" w:customStyle="1" w:styleId="FooterChar">
    <w:name w:val="Footer Char"/>
    <w:basedOn w:val="DefaultParagraphFont"/>
    <w:link w:val="Footer"/>
    <w:uiPriority w:val="99"/>
    <w:rPr>
      <w:sz w:val="20"/>
      <w:szCs w:val="20"/>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503</Words>
  <Characters>2869</Characters>
  <Application>Microsoft Office Word</Application>
  <DocSecurity>0</DocSecurity>
  <Lines>23</Lines>
  <Paragraphs>6</Paragraphs>
  <ScaleCrop>false</ScaleCrop>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靜君 翁</dc:creator>
  <cp:lastModifiedBy>Production Team</cp:lastModifiedBy>
  <cp:revision>8</cp:revision>
  <dcterms:created xsi:type="dcterms:W3CDTF">2026-04-02T09:34:00Z</dcterms:created>
  <dcterms:modified xsi:type="dcterms:W3CDTF">2026-04-14T05:42:00Z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92d142a0-f444-4a40-9871-8fa61a6ecc80</vt:lpwstr>
  </property>
  <property fmtid="{D5CDD505-2E9C-101B-9397-08002B2CF9AE}" pid="3" name="KSOTemplateDocerSaveRecord">
    <vt:lpwstr>eyJoZGlkIjoiMGY5Y2ZlMmIwOTY3MTBlZDQ5MGU1MmZhNDQ4ZmU0MzkiLCJ1c2VySWQiOiIxNDg5MDczMjU5In0=</vt:lpwstr>
  </property>
  <property fmtid="{D5CDD505-2E9C-101B-9397-08002B2CF9AE}" pid="4" name="KSOProductBuildVer">
    <vt:lpwstr>2052-12.1.0.25225</vt:lpwstr>
  </property>
  <property fmtid="{D5CDD505-2E9C-101B-9397-08002B2CF9AE}" pid="5" name="ICV">
    <vt:lpwstr>42E0028C4D894C5F9FBAC4104105D51C_12</vt:lpwstr>
  </property>
</Properties>
</file>