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F7745" w14:textId="77777777" w:rsidR="00055865" w:rsidRPr="00463734" w:rsidRDefault="00000000">
      <w:pPr>
        <w:pStyle w:val="TSP71References"/>
        <w:numPr>
          <w:ilvl w:val="0"/>
          <w:numId w:val="0"/>
        </w:numPr>
        <w:wordWrap w:val="0"/>
        <w:jc w:val="left"/>
        <w:outlineLvl w:val="0"/>
        <w:rPr>
          <w:rFonts w:cs="Minion Pro"/>
          <w:b/>
          <w:bCs/>
          <w:color w:val="auto"/>
          <w:sz w:val="28"/>
          <w:szCs w:val="28"/>
          <w:lang w:eastAsia="zh-CN"/>
        </w:rPr>
      </w:pPr>
      <w:r w:rsidRPr="00463734">
        <w:rPr>
          <w:rFonts w:cs="Minion Pro" w:hint="eastAsia"/>
          <w:b/>
          <w:bCs/>
          <w:color w:val="auto"/>
          <w:sz w:val="28"/>
          <w:szCs w:val="28"/>
          <w:lang w:eastAsia="zh-CN"/>
        </w:rPr>
        <w:t>Supplementary File</w:t>
      </w:r>
    </w:p>
    <w:p w14:paraId="220F689D" w14:textId="77777777" w:rsidR="00055865" w:rsidRPr="00463734" w:rsidRDefault="00000000">
      <w:pPr>
        <w:pStyle w:val="TSP21heading1"/>
        <w:tabs>
          <w:tab w:val="left" w:pos="0"/>
          <w:tab w:val="left" w:pos="420"/>
        </w:tabs>
        <w:outlineLvl w:val="9"/>
        <w:rPr>
          <w:rFonts w:cs="Minion Pro"/>
          <w:color w:val="auto"/>
        </w:rPr>
      </w:pPr>
      <w:r w:rsidRPr="00463734">
        <w:rPr>
          <w:rFonts w:eastAsiaTheme="minorEastAsia" w:cs="Minion Pro" w:hint="eastAsia"/>
          <w:color w:val="auto"/>
          <w:lang w:eastAsia="zh-CN"/>
        </w:rPr>
        <w:t xml:space="preserve">1 </w:t>
      </w:r>
      <w:r w:rsidRPr="00463734">
        <w:rPr>
          <w:rFonts w:cs="Minion Pro"/>
          <w:color w:val="auto"/>
        </w:rPr>
        <w:t>Quantitative Analysis of the Coupling of Information and Physical Risks in Distribution Networks</w:t>
      </w:r>
    </w:p>
    <w:p w14:paraId="442D11A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section addresses the risk coupling issue between the information system and the physical system in CPDS, and proposes a "risk coupling degree" quantitative indicator. It also analyzes the cross-space transmission mechanism of information attacks and its impact on the fault handling process.</w:t>
      </w:r>
    </w:p>
    <w:p w14:paraId="100AD324" w14:textId="77777777" w:rsidR="00055865" w:rsidRPr="00463734" w:rsidRDefault="00000000">
      <w:pPr>
        <w:pStyle w:val="TSP21heading1"/>
        <w:tabs>
          <w:tab w:val="left" w:pos="0"/>
          <w:tab w:val="left" w:pos="420"/>
        </w:tabs>
        <w:outlineLvl w:val="9"/>
        <w:rPr>
          <w:rFonts w:cs="Minion Pro"/>
          <w:i/>
          <w:iCs/>
          <w:color w:val="auto"/>
          <w:lang w:eastAsia="zh-CN"/>
        </w:rPr>
      </w:pPr>
      <w:r w:rsidRPr="00463734">
        <w:rPr>
          <w:rFonts w:eastAsiaTheme="minorEastAsia" w:cs="Minion Pro" w:hint="eastAsia"/>
          <w:i/>
          <w:iCs/>
          <w:color w:val="auto"/>
          <w:lang w:eastAsia="zh-CN"/>
        </w:rPr>
        <w:t xml:space="preserve">1.1 </w:t>
      </w:r>
      <w:r w:rsidRPr="00463734">
        <w:rPr>
          <w:rFonts w:cs="Minion Pro"/>
          <w:i/>
          <w:iCs/>
          <w:color w:val="auto"/>
          <w:lang w:eastAsia="zh-CN"/>
        </w:rPr>
        <w:t>Information Risks Faced by the Distribution Network</w:t>
      </w:r>
    </w:p>
    <w:p w14:paraId="0A52CAA6" w14:textId="77777777" w:rsidR="00055865" w:rsidRPr="00463734" w:rsidRDefault="00000000">
      <w:pPr>
        <w:pStyle w:val="TSP21heading1"/>
        <w:tabs>
          <w:tab w:val="left" w:pos="0"/>
          <w:tab w:val="left" w:pos="42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1.1.1 </w:t>
      </w:r>
      <w:r w:rsidRPr="00463734">
        <w:rPr>
          <w:rFonts w:cs="Minion Pro"/>
          <w:b w:val="0"/>
          <w:bCs/>
          <w:i/>
          <w:iCs/>
          <w:color w:val="auto"/>
          <w:lang w:eastAsia="zh-CN"/>
        </w:rPr>
        <w:t>The Impact of Information Attacks on the Distribution Network</w:t>
      </w:r>
    </w:p>
    <w:p w14:paraId="2534E91F"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CPDS is the result of the deep integration of the power physical system and the information control system. Its architecture is shown in Figure </w:t>
      </w:r>
      <w:r w:rsidRPr="00463734">
        <w:rPr>
          <w:rFonts w:eastAsia="宋体" w:cs="Minion Pro" w:hint="eastAsia"/>
          <w:bCs/>
          <w:color w:val="auto"/>
          <w:lang w:eastAsia="zh-CN"/>
        </w:rPr>
        <w:t>S1</w:t>
      </w:r>
      <w:r w:rsidRPr="00463734">
        <w:rPr>
          <w:rFonts w:eastAsia="宋体" w:cs="Minion Pro"/>
          <w:bCs/>
          <w:color w:val="auto"/>
          <w:lang w:eastAsia="zh-CN"/>
        </w:rPr>
        <w:t xml:space="preserve">. </w:t>
      </w:r>
    </w:p>
    <w:p w14:paraId="79E0012E" w14:textId="77777777" w:rsidR="00055865" w:rsidRPr="00463734" w:rsidRDefault="00000000">
      <w:pPr>
        <w:pStyle w:val="TSP31text"/>
        <w:ind w:firstLine="0"/>
        <w:jc w:val="center"/>
        <w:rPr>
          <w:rFonts w:cs="Minion Pro"/>
          <w:color w:val="auto"/>
          <w:lang w:eastAsia="zh-CN"/>
        </w:rPr>
      </w:pPr>
      <w:r w:rsidRPr="00463734">
        <w:rPr>
          <w:rFonts w:cs="Minion Pro"/>
          <w:noProof/>
          <w:color w:val="auto"/>
          <w:lang w:eastAsia="zh-CN"/>
        </w:rPr>
        <w:drawing>
          <wp:inline distT="0" distB="0" distL="114300" distR="114300" wp14:anchorId="497AB383" wp14:editId="03458295">
            <wp:extent cx="3959860" cy="1579245"/>
            <wp:effectExtent l="0" t="0" r="2540" b="8255"/>
            <wp:docPr id="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3"/>
                    <pic:cNvPicPr>
                      <a:picLocks noChangeAspect="1"/>
                    </pic:cNvPicPr>
                  </pic:nvPicPr>
                  <pic:blipFill>
                    <a:blip r:embed="rId7"/>
                    <a:stretch>
                      <a:fillRect/>
                    </a:stretch>
                  </pic:blipFill>
                  <pic:spPr>
                    <a:xfrm>
                      <a:off x="0" y="0"/>
                      <a:ext cx="3959860" cy="1579245"/>
                    </a:xfrm>
                    <a:prstGeom prst="rect">
                      <a:avLst/>
                    </a:prstGeom>
                    <a:noFill/>
                    <a:ln>
                      <a:noFill/>
                    </a:ln>
                  </pic:spPr>
                </pic:pic>
              </a:graphicData>
            </a:graphic>
          </wp:inline>
        </w:drawing>
      </w:r>
    </w:p>
    <w:p w14:paraId="219A4763"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Typical structure of CPDS</w:t>
      </w:r>
    </w:p>
    <w:p w14:paraId="36B1563D"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power physical system serves as the physical foundation, including traditional primary equipment such as transformers and circuit breakers, and integrates distributed energy sources like photovoltaic and wind power as well as energy storage units. The information control system consists of three major modules: the control center, the communication network, and the intelligent terminal. The control center parses the system status data and generates control instructions; the communication network flexibly configures Ethernet, wireless or power carrier transmission technologies according to the scene requirements; the intelligent terminal (such as feeder terminals, smart meters) realizes data collection and instruction execution, supporting upper-level decision-making and completing closed-loop control such as fault isolation and operation optimization.</w:t>
      </w:r>
    </w:p>
    <w:p w14:paraId="4C46419E"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To analyze the threat of information attacks to the distribution network, it is necessary to understand its core architecture. In this architecture (Figure </w:t>
      </w:r>
      <w:r w:rsidRPr="00463734">
        <w:rPr>
          <w:rFonts w:eastAsia="宋体" w:cs="Minion Pro" w:hint="eastAsia"/>
          <w:bCs/>
          <w:color w:val="auto"/>
          <w:lang w:eastAsia="zh-CN"/>
        </w:rPr>
        <w:t>S2</w:t>
      </w:r>
      <w:r w:rsidRPr="00463734">
        <w:rPr>
          <w:rFonts w:eastAsia="宋体" w:cs="Minion Pro"/>
          <w:bCs/>
          <w:color w:val="auto"/>
          <w:lang w:eastAsia="zh-CN"/>
        </w:rPr>
        <w:t>), terminal devices collect grid status data and upload it to the control center via the communication network; the control center parses the data and generates control instructions for issuance, forming a closed-loop system. Under normal operating conditions, this system can identify abnormalities and execute control measures to ensure the stability of the grid. However, if information attacks penetrate any of the data collection, transmission, or instruction execution stages, they will undermine the situational awareness and decision-making capabilities of the control center, leading to system instability. Specifically, data tampering can cause decision-making errors, and instruction interception can cause the terminals to refuse to operate. Both of these can lead to the spread of faults and cause more serious consequences.</w:t>
      </w:r>
    </w:p>
    <w:p w14:paraId="3E5033F9" w14:textId="77777777" w:rsidR="00055865" w:rsidRPr="00463734" w:rsidRDefault="00000000">
      <w:pPr>
        <w:pStyle w:val="TSP31text"/>
        <w:ind w:firstLine="0"/>
        <w:jc w:val="center"/>
        <w:rPr>
          <w:rFonts w:cs="Minion Pro"/>
          <w:color w:val="auto"/>
          <w:lang w:eastAsia="zh-CN"/>
        </w:rPr>
      </w:pPr>
      <w:r w:rsidRPr="00463734">
        <w:rPr>
          <w:rFonts w:cs="Minion Pro"/>
          <w:noProof/>
          <w:color w:val="auto"/>
          <w:lang w:eastAsia="zh-CN"/>
        </w:rPr>
        <w:lastRenderedPageBreak/>
        <w:drawing>
          <wp:inline distT="0" distB="0" distL="114300" distR="114300" wp14:anchorId="1CAF4760" wp14:editId="0B51FF07">
            <wp:extent cx="3959860" cy="2075180"/>
            <wp:effectExtent l="0" t="0" r="2540" b="7620"/>
            <wp:docPr id="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0"/>
                    <pic:cNvPicPr>
                      <a:picLocks noChangeAspect="1"/>
                    </pic:cNvPicPr>
                  </pic:nvPicPr>
                  <pic:blipFill>
                    <a:blip r:embed="rId8"/>
                    <a:stretch>
                      <a:fillRect/>
                    </a:stretch>
                  </pic:blipFill>
                  <pic:spPr>
                    <a:xfrm>
                      <a:off x="0" y="0"/>
                      <a:ext cx="3959860" cy="2075180"/>
                    </a:xfrm>
                    <a:prstGeom prst="rect">
                      <a:avLst/>
                    </a:prstGeom>
                    <a:noFill/>
                    <a:ln>
                      <a:noFill/>
                    </a:ln>
                  </pic:spPr>
                </pic:pic>
              </a:graphicData>
            </a:graphic>
          </wp:inline>
        </w:drawing>
      </w:r>
    </w:p>
    <w:p w14:paraId="25E6AEAD"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Organizational structure of CPDS</w:t>
      </w:r>
    </w:p>
    <w:p w14:paraId="1DC7E6CF"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feeder automation system (FA) is a key technology for enhancing the reliability of distribution networks. Its core lies in shortening the fault handling cycle. With the increasing demands of users for power quality, FA systems are evolving from the traditional local control to centralized control. The centralized FA system, with its global perspective, can achieve more accurate and rapid fault diagnosis and restoration. However, its efficiency is highly dependent on the information system, which also exposes it to the risk of information attacks and increases the vulnerability of the system. Therefore, this paper focuses on the interference of information attacks on the fault handling process of the centralized FA system.</w:t>
      </w:r>
    </w:p>
    <w:p w14:paraId="18EE636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operation mechanism of the centralized FA system is a typical information-physical closed loop: Remote terminal units collect feeder information and upload it to the control center via the communication network; The control center, as the decision-making core, completes fault location and generates remote control instructions; After the instructions are issued, they drive the RTU to operate the switches, implementing fault isolation and power restoration.</w:t>
      </w:r>
    </w:p>
    <w:p w14:paraId="0C671AFE"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section analyzes two types of effects of information attacks on this process: direct effects and indirect effects. Direct effects refer to the direct impact of the attack on physical equipment and the resulting abnormal state, such as tampering with control instructions causing the switch to malfunction. Indirect effects refer to the attack eroding the observability and controllability of the information system, indirectly weakening the normal operation of the system. A typical scenario is the destruction of the communication link, causing the control center and the terminal to lose contact, resulting in severe delays in fault isolation and restoration.</w:t>
      </w:r>
    </w:p>
    <w:p w14:paraId="6A832FD4" w14:textId="77777777" w:rsidR="00055865" w:rsidRPr="00463734" w:rsidRDefault="00000000">
      <w:pPr>
        <w:pStyle w:val="TSP21heading1"/>
        <w:tabs>
          <w:tab w:val="left" w:pos="0"/>
          <w:tab w:val="left" w:pos="42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1.1.2 </w:t>
      </w:r>
      <w:r w:rsidRPr="00463734">
        <w:rPr>
          <w:rFonts w:cs="Minion Pro"/>
          <w:b w:val="0"/>
          <w:bCs/>
          <w:i/>
          <w:iCs/>
          <w:color w:val="auto"/>
          <w:lang w:eastAsia="zh-CN"/>
        </w:rPr>
        <w:t>Information Attacks on the Distribution Network</w:t>
      </w:r>
    </w:p>
    <w:p w14:paraId="45CEC2A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distribution network information system is facing increasingly severe security challenges. To systematically understand these threats, this section adopts the Information Assurance Technology Framework (IATF) proposed by the National Security Agency (NSA) of the United States, which classifies information attacks into five basic types: active attack, passive attack, proximity attack, internal personnel attack, and software/hardware integration attack. Among them, an active attack refers to the attacker actively bypassing security mechanisms with the intention of destroying the availability and integrity of data. Its typical technical means include false data injection (FDI), denial of service, man-in-the-middle and replay attacks. Passive attack focuses on the secret theft of information, such as illegally obtaining sensitive data through eavesdropping on communications or sniffing passwords. Proxim</w:t>
      </w:r>
      <w:r w:rsidRPr="00463734">
        <w:rPr>
          <w:rFonts w:eastAsia="宋体" w:cs="Minion Pro"/>
          <w:bCs/>
          <w:color w:val="auto"/>
          <w:lang w:eastAsia="zh-CN"/>
        </w:rPr>
        <w:lastRenderedPageBreak/>
        <w:t>ity attack takes advantage of the convenience of physical contact to directly intervene in the target device, such as physical damage and on-site data tampering. Internal personnel attack stems from the illegal operations of authorized users, which can be caused by unintentional mistakes or malicious sabotage, such as data tampering or network abuse. Software/hardware integration attack is a threat at the supply chain level, referring to the implantation of malicious backdoors during equipment production or distribution.</w:t>
      </w:r>
    </w:p>
    <w:p w14:paraId="280DD34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In this specific application scenario of the power system, the threat levels are different. Active attack is the most significant threat, and its attackers are usually internal personnel or their accomplices with both network technology and power grid knowledge. The destructive effects of proximity attack and internal personnel attack often manifest as direct damage to physical equipment, which is similar to traditional equipment failures or human operational errors and is prone to confusion. Given the direct and significant impact of these three types of attacks on the operation of the distribution network, this section will summarize and compare them from the perspective of attack effects. The specific content is shown in </w:t>
      </w:r>
      <w:r w:rsidRPr="00463734">
        <w:rPr>
          <w:rFonts w:eastAsia="宋体" w:cs="Minion Pro" w:hint="eastAsia"/>
          <w:bCs/>
          <w:color w:val="auto"/>
          <w:lang w:eastAsia="zh-CN"/>
        </w:rPr>
        <w:t>Table S1</w:t>
      </w:r>
      <w:r w:rsidRPr="00463734">
        <w:rPr>
          <w:rFonts w:eastAsia="宋体" w:cs="Minion Pro"/>
          <w:bCs/>
          <w:color w:val="auto"/>
          <w:lang w:eastAsia="zh-CN"/>
        </w:rPr>
        <w:t>.</w:t>
      </w:r>
    </w:p>
    <w:p w14:paraId="356E8855"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Correspondence between typical attack types and attack effects</w:t>
      </w:r>
    </w:p>
    <w:tbl>
      <w:tblPr>
        <w:tblW w:w="82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1841"/>
        <w:gridCol w:w="1961"/>
        <w:gridCol w:w="1870"/>
        <w:gridCol w:w="2568"/>
      </w:tblGrid>
      <w:tr w:rsidR="00055865" w:rsidRPr="00463734" w14:paraId="69D1CA12" w14:textId="77777777">
        <w:trPr>
          <w:trHeight w:val="330"/>
        </w:trPr>
        <w:tc>
          <w:tcPr>
            <w:tcW w:w="1841" w:type="dxa"/>
            <w:tcBorders>
              <w:tl2br w:val="nil"/>
              <w:tr2bl w:val="nil"/>
            </w:tcBorders>
            <w:vAlign w:val="center"/>
          </w:tcPr>
          <w:p w14:paraId="6C70FA4B"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Attack Type</w:t>
            </w:r>
          </w:p>
        </w:tc>
        <w:tc>
          <w:tcPr>
            <w:tcW w:w="1961" w:type="dxa"/>
            <w:tcBorders>
              <w:tl2br w:val="nil"/>
              <w:tr2bl w:val="nil"/>
            </w:tcBorders>
            <w:vAlign w:val="center"/>
          </w:tcPr>
          <w:p w14:paraId="453F1225"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Tampering/</w:t>
            </w:r>
          </w:p>
          <w:p w14:paraId="1FA7FBDF"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Replacing Data</w:t>
            </w:r>
          </w:p>
        </w:tc>
        <w:tc>
          <w:tcPr>
            <w:tcW w:w="1870" w:type="dxa"/>
            <w:tcBorders>
              <w:tl2br w:val="nil"/>
              <w:tr2bl w:val="nil"/>
            </w:tcBorders>
            <w:vAlign w:val="center"/>
          </w:tcPr>
          <w:p w14:paraId="0A76591B"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Communication Hijacking/Disguise</w:t>
            </w:r>
          </w:p>
        </w:tc>
        <w:tc>
          <w:tcPr>
            <w:tcW w:w="2568" w:type="dxa"/>
            <w:tcBorders>
              <w:tl2br w:val="nil"/>
              <w:tr2bl w:val="nil"/>
            </w:tcBorders>
            <w:vAlign w:val="center"/>
          </w:tcPr>
          <w:p w14:paraId="79451209"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Denial Of Service</w:t>
            </w:r>
          </w:p>
        </w:tc>
      </w:tr>
      <w:tr w:rsidR="00055865" w:rsidRPr="00463734" w14:paraId="6D8EAE9C" w14:textId="77777777">
        <w:trPr>
          <w:trHeight w:val="330"/>
        </w:trPr>
        <w:tc>
          <w:tcPr>
            <w:tcW w:w="1841" w:type="dxa"/>
            <w:tcBorders>
              <w:tl2br w:val="nil"/>
              <w:tr2bl w:val="nil"/>
            </w:tcBorders>
            <w:vAlign w:val="center"/>
          </w:tcPr>
          <w:p w14:paraId="3041F679"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Active Attack</w:t>
            </w:r>
          </w:p>
        </w:tc>
        <w:tc>
          <w:tcPr>
            <w:tcW w:w="1961" w:type="dxa"/>
            <w:tcBorders>
              <w:tl2br w:val="nil"/>
              <w:tr2bl w:val="nil"/>
            </w:tcBorders>
            <w:vAlign w:val="center"/>
          </w:tcPr>
          <w:p w14:paraId="6D9942F1"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w:t>
            </w:r>
          </w:p>
        </w:tc>
        <w:tc>
          <w:tcPr>
            <w:tcW w:w="1870" w:type="dxa"/>
            <w:tcBorders>
              <w:tl2br w:val="nil"/>
              <w:tr2bl w:val="nil"/>
            </w:tcBorders>
            <w:vAlign w:val="center"/>
          </w:tcPr>
          <w:p w14:paraId="2BAA003A"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w:t>
            </w:r>
          </w:p>
        </w:tc>
        <w:tc>
          <w:tcPr>
            <w:tcW w:w="2568" w:type="dxa"/>
            <w:tcBorders>
              <w:tl2br w:val="nil"/>
              <w:tr2bl w:val="nil"/>
            </w:tcBorders>
            <w:vAlign w:val="center"/>
          </w:tcPr>
          <w:p w14:paraId="33D78178"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w:t>
            </w:r>
          </w:p>
        </w:tc>
      </w:tr>
      <w:tr w:rsidR="00055865" w:rsidRPr="00463734" w14:paraId="22DFA5BE" w14:textId="77777777">
        <w:trPr>
          <w:trHeight w:val="330"/>
        </w:trPr>
        <w:tc>
          <w:tcPr>
            <w:tcW w:w="1841" w:type="dxa"/>
            <w:tcBorders>
              <w:tl2br w:val="nil"/>
              <w:tr2bl w:val="nil"/>
            </w:tcBorders>
            <w:vAlign w:val="center"/>
          </w:tcPr>
          <w:p w14:paraId="15CD8498"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Close-in Attack</w:t>
            </w:r>
          </w:p>
        </w:tc>
        <w:tc>
          <w:tcPr>
            <w:tcW w:w="1961" w:type="dxa"/>
            <w:tcBorders>
              <w:tl2br w:val="nil"/>
              <w:tr2bl w:val="nil"/>
            </w:tcBorders>
            <w:vAlign w:val="center"/>
          </w:tcPr>
          <w:p w14:paraId="086480AE"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w:t>
            </w:r>
          </w:p>
        </w:tc>
        <w:tc>
          <w:tcPr>
            <w:tcW w:w="1870" w:type="dxa"/>
            <w:tcBorders>
              <w:tl2br w:val="nil"/>
              <w:tr2bl w:val="nil"/>
            </w:tcBorders>
            <w:vAlign w:val="center"/>
          </w:tcPr>
          <w:p w14:paraId="12A9554D" w14:textId="77777777" w:rsidR="00055865" w:rsidRPr="00463734" w:rsidRDefault="00055865">
            <w:pPr>
              <w:jc w:val="center"/>
              <w:rPr>
                <w:rFonts w:ascii="Minion Pro" w:hAnsi="Minion Pro" w:cs="Minion Pro"/>
                <w:sz w:val="15"/>
                <w:szCs w:val="15"/>
              </w:rPr>
            </w:pPr>
          </w:p>
        </w:tc>
        <w:tc>
          <w:tcPr>
            <w:tcW w:w="2568" w:type="dxa"/>
            <w:tcBorders>
              <w:tl2br w:val="nil"/>
              <w:tr2bl w:val="nil"/>
            </w:tcBorders>
            <w:vAlign w:val="center"/>
          </w:tcPr>
          <w:p w14:paraId="053A2665"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w:t>
            </w:r>
          </w:p>
        </w:tc>
      </w:tr>
      <w:tr w:rsidR="00055865" w:rsidRPr="00463734" w14:paraId="3020D5A2" w14:textId="77777777">
        <w:trPr>
          <w:trHeight w:val="330"/>
        </w:trPr>
        <w:tc>
          <w:tcPr>
            <w:tcW w:w="1841" w:type="dxa"/>
            <w:tcBorders>
              <w:tl2br w:val="nil"/>
              <w:tr2bl w:val="nil"/>
            </w:tcBorders>
            <w:vAlign w:val="center"/>
          </w:tcPr>
          <w:p w14:paraId="78E63493"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Insider Attacks</w:t>
            </w:r>
          </w:p>
        </w:tc>
        <w:tc>
          <w:tcPr>
            <w:tcW w:w="1961" w:type="dxa"/>
            <w:tcBorders>
              <w:tl2br w:val="nil"/>
              <w:tr2bl w:val="nil"/>
            </w:tcBorders>
            <w:vAlign w:val="center"/>
          </w:tcPr>
          <w:p w14:paraId="327BE157"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w:t>
            </w:r>
          </w:p>
        </w:tc>
        <w:tc>
          <w:tcPr>
            <w:tcW w:w="1870" w:type="dxa"/>
            <w:tcBorders>
              <w:tl2br w:val="nil"/>
              <w:tr2bl w:val="nil"/>
            </w:tcBorders>
            <w:vAlign w:val="center"/>
          </w:tcPr>
          <w:p w14:paraId="55809CD9" w14:textId="77777777" w:rsidR="00055865" w:rsidRPr="00463734" w:rsidRDefault="00055865">
            <w:pPr>
              <w:jc w:val="center"/>
              <w:rPr>
                <w:rFonts w:ascii="Minion Pro" w:hAnsi="Minion Pro" w:cs="Minion Pro"/>
                <w:sz w:val="15"/>
                <w:szCs w:val="15"/>
              </w:rPr>
            </w:pPr>
          </w:p>
        </w:tc>
        <w:tc>
          <w:tcPr>
            <w:tcW w:w="2568" w:type="dxa"/>
            <w:tcBorders>
              <w:tl2br w:val="nil"/>
              <w:tr2bl w:val="nil"/>
            </w:tcBorders>
            <w:vAlign w:val="center"/>
          </w:tcPr>
          <w:p w14:paraId="420E0D4B" w14:textId="77777777" w:rsidR="00055865" w:rsidRPr="00463734" w:rsidRDefault="00055865">
            <w:pPr>
              <w:jc w:val="center"/>
              <w:rPr>
                <w:rFonts w:ascii="Minion Pro" w:hAnsi="Minion Pro" w:cs="Minion Pro"/>
                <w:sz w:val="15"/>
                <w:szCs w:val="15"/>
              </w:rPr>
            </w:pPr>
          </w:p>
        </w:tc>
      </w:tr>
      <w:tr w:rsidR="00055865" w:rsidRPr="00463734" w14:paraId="27182BD6" w14:textId="77777777">
        <w:trPr>
          <w:trHeight w:val="330"/>
        </w:trPr>
        <w:tc>
          <w:tcPr>
            <w:tcW w:w="1841" w:type="dxa"/>
            <w:tcBorders>
              <w:tl2br w:val="nil"/>
              <w:tr2bl w:val="nil"/>
            </w:tcBorders>
            <w:vAlign w:val="center"/>
          </w:tcPr>
          <w:p w14:paraId="76B06417" w14:textId="77777777" w:rsidR="00055865" w:rsidRPr="00463734" w:rsidRDefault="00000000">
            <w:pPr>
              <w:widowControl/>
              <w:jc w:val="center"/>
              <w:rPr>
                <w:rFonts w:ascii="Minion Pro" w:hAnsi="Minion Pro" w:cs="Minion Pro"/>
                <w:kern w:val="0"/>
                <w:sz w:val="15"/>
                <w:szCs w:val="15"/>
              </w:rPr>
            </w:pPr>
            <w:r w:rsidRPr="00463734">
              <w:rPr>
                <w:rFonts w:ascii="Minion Pro" w:hAnsi="Minion Pro" w:cs="Minion Pro"/>
                <w:kern w:val="0"/>
                <w:sz w:val="15"/>
                <w:szCs w:val="15"/>
              </w:rPr>
              <w:t>Attack Types</w:t>
            </w:r>
          </w:p>
        </w:tc>
        <w:tc>
          <w:tcPr>
            <w:tcW w:w="3831" w:type="dxa"/>
            <w:gridSpan w:val="2"/>
            <w:tcBorders>
              <w:tl2br w:val="nil"/>
              <w:tr2bl w:val="nil"/>
            </w:tcBorders>
            <w:vAlign w:val="center"/>
          </w:tcPr>
          <w:p w14:paraId="67FCC80E"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Integrity Attack</w:t>
            </w:r>
          </w:p>
        </w:tc>
        <w:tc>
          <w:tcPr>
            <w:tcW w:w="2568" w:type="dxa"/>
            <w:tcBorders>
              <w:tl2br w:val="nil"/>
              <w:tr2bl w:val="nil"/>
            </w:tcBorders>
            <w:vAlign w:val="center"/>
          </w:tcPr>
          <w:p w14:paraId="6793AB1B"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Availability Attack</w:t>
            </w:r>
          </w:p>
        </w:tc>
      </w:tr>
    </w:tbl>
    <w:p w14:paraId="65568256" w14:textId="77777777" w:rsidR="00055865" w:rsidRPr="00463734" w:rsidRDefault="00000000">
      <w:pPr>
        <w:adjustRightInd w:val="0"/>
        <w:snapToGrid w:val="0"/>
        <w:spacing w:after="60" w:line="240" w:lineRule="atLeast"/>
        <w:rPr>
          <w:rFonts w:ascii="Minion Pro" w:hAnsi="Minion Pro" w:cs="Minion Pro"/>
          <w:kern w:val="0"/>
          <w:sz w:val="22"/>
          <w:szCs w:val="22"/>
        </w:rPr>
      </w:pPr>
      <w:r w:rsidRPr="00463734">
        <w:rPr>
          <w:rFonts w:ascii="Minion Pro" w:hAnsi="Minion Pro" w:cs="Minion Pro"/>
          <w:kern w:val="0"/>
          <w:sz w:val="22"/>
          <w:szCs w:val="22"/>
        </w:rPr>
        <w:t>Note: ● Indicates the correspondence between information attacks and attack effects as well as attack types.</w:t>
      </w:r>
    </w:p>
    <w:p w14:paraId="42D31607"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section focuses on two types of critical information attacks - integrity attacks and availability attacks, and then analyzes the disturbance mechanisms they have on the fault handling process of the FA system. The core of integrity attacks lies in the destruction of information authenticity. Attackers manipulate measurement data, control instructions, or software codes to cause the power system to deviate from a stable operating state. Typical technical paths for such attacks include false data injection attacks, replay attacks, and man-in-the-middle attacks. Their essence is to maliciously forge information exchanges between terminals and the control center by exploiting system vulnerabilities.</w:t>
      </w:r>
    </w:p>
    <w:p w14:paraId="3700DCE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contrast, availability attacks aim to disrupt the normal flow of information. They undermine the perception and regulation capabilities of the control center over the distribution network by paralyzing the status monitoring and data transmission functions of terminal devices. This poses a potential threat to grid security. Denial-of-service attacks are representative methods, which disrupt services by injecting massive redundant traffic into the network or system, depleting its resources and causing service interruption.</w:t>
      </w:r>
    </w:p>
    <w:p w14:paraId="3726E23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At the protocol stack level, availability attacks can occur at all levels from the physical layer to the application layer. This study focuses on application layer attacks. The attack mechanism is to exhaust the communication bandwidth or computing resources of remote terminal units, causing them to lose the ability to respond to control instructions. The impact of such attacks on the FA system is conditional: when the grid is operating normally, the failure of the RTU only manifests as a monitoring blind spot and does not directly affect user power supply; however, once a line fails, the failed RTU will be unable to execute isolation and </w:t>
      </w:r>
      <w:r w:rsidRPr="00463734">
        <w:rPr>
          <w:rFonts w:eastAsia="宋体" w:cs="Minion Pro"/>
          <w:bCs/>
          <w:color w:val="auto"/>
          <w:lang w:eastAsia="zh-CN"/>
        </w:rPr>
        <w:lastRenderedPageBreak/>
        <w:t>recovery instructions, thereby causing the fault handling chain to break and ultimately leading to an expansion of the power outage area.</w:t>
      </w:r>
    </w:p>
    <w:p w14:paraId="69C0DAC0" w14:textId="77777777" w:rsidR="00055865" w:rsidRPr="00463734" w:rsidRDefault="00000000">
      <w:pPr>
        <w:pStyle w:val="TSP21heading1"/>
        <w:tabs>
          <w:tab w:val="left" w:pos="0"/>
          <w:tab w:val="left" w:pos="420"/>
        </w:tabs>
        <w:outlineLvl w:val="9"/>
        <w:rPr>
          <w:rFonts w:cs="Minion Pro"/>
          <w:i/>
          <w:iCs/>
          <w:color w:val="auto"/>
          <w:lang w:eastAsia="zh-CN"/>
        </w:rPr>
      </w:pPr>
      <w:r w:rsidRPr="00463734">
        <w:rPr>
          <w:rFonts w:eastAsiaTheme="minorEastAsia" w:cs="Minion Pro" w:hint="eastAsia"/>
          <w:i/>
          <w:iCs/>
          <w:color w:val="auto"/>
          <w:lang w:eastAsia="zh-CN"/>
        </w:rPr>
        <w:t xml:space="preserve">1.2 </w:t>
      </w:r>
      <w:r w:rsidRPr="00463734">
        <w:rPr>
          <w:rFonts w:cs="Minion Pro"/>
          <w:i/>
          <w:iCs/>
          <w:color w:val="auto"/>
          <w:lang w:eastAsia="zh-CN"/>
        </w:rPr>
        <w:t>Analysis of the Impact of Information Attacks on Distribution Networks</w:t>
      </w:r>
    </w:p>
    <w:p w14:paraId="2694ED3D"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section analyzes the fault handling process of the FA system using a simple feeder system as an example. The topology of the feeder system is shown in Figure </w:t>
      </w:r>
      <w:r w:rsidRPr="00463734">
        <w:rPr>
          <w:rFonts w:eastAsia="宋体" w:cs="Minion Pro" w:hint="eastAsia"/>
          <w:bCs/>
          <w:color w:val="auto"/>
          <w:lang w:eastAsia="zh-CN"/>
        </w:rPr>
        <w:t>S3</w:t>
      </w:r>
      <w:r w:rsidRPr="00463734">
        <w:rPr>
          <w:rFonts w:eastAsia="宋体" w:cs="Minion Pro"/>
          <w:bCs/>
          <w:color w:val="auto"/>
          <w:lang w:eastAsia="zh-CN"/>
        </w:rPr>
        <w:t xml:space="preserve">, where CB, S, R, and B represent circuit breaker, sectionalizing switch (linking switch), RTU, and line, respectively. </w:t>
      </w:r>
    </w:p>
    <w:p w14:paraId="3A5E0FCF" w14:textId="77777777" w:rsidR="00055865" w:rsidRPr="00463734" w:rsidRDefault="00000000">
      <w:pPr>
        <w:pStyle w:val="TSP31text"/>
        <w:ind w:firstLine="0"/>
        <w:jc w:val="center"/>
        <w:rPr>
          <w:rFonts w:cs="Minion Pro"/>
          <w:color w:val="auto"/>
          <w:lang w:eastAsia="zh-CN"/>
        </w:rPr>
      </w:pPr>
      <w:r w:rsidRPr="00463734">
        <w:rPr>
          <w:rFonts w:cs="Minion Pro"/>
          <w:noProof/>
          <w:color w:val="auto"/>
          <w:lang w:eastAsia="zh-CN"/>
        </w:rPr>
        <w:drawing>
          <wp:inline distT="0" distB="0" distL="114300" distR="114300" wp14:anchorId="63B16F28" wp14:editId="2902338A">
            <wp:extent cx="3959860" cy="1666875"/>
            <wp:effectExtent l="0" t="0" r="2540" b="9525"/>
            <wp:docPr id="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1"/>
                    <pic:cNvPicPr>
                      <a:picLocks noChangeAspect="1"/>
                    </pic:cNvPicPr>
                  </pic:nvPicPr>
                  <pic:blipFill>
                    <a:blip r:embed="rId9"/>
                    <a:stretch>
                      <a:fillRect/>
                    </a:stretch>
                  </pic:blipFill>
                  <pic:spPr>
                    <a:xfrm>
                      <a:off x="0" y="0"/>
                      <a:ext cx="3959860" cy="1666875"/>
                    </a:xfrm>
                    <a:prstGeom prst="rect">
                      <a:avLst/>
                    </a:prstGeom>
                    <a:noFill/>
                    <a:ln>
                      <a:noFill/>
                    </a:ln>
                  </pic:spPr>
                </pic:pic>
              </a:graphicData>
            </a:graphic>
          </wp:inline>
        </w:drawing>
      </w:r>
    </w:p>
    <w:p w14:paraId="45913916"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Example of Fault Handling Procedure</w:t>
      </w:r>
    </w:p>
    <w:p w14:paraId="6F47E65E"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Under the premise of a fully functional information system, when a short-circuit fault occurs in the line segment B4, the system will follow the following standard procedure: First, the outlet circuit breaker trips due to protection action, cutting off the fault current. Subsequently, the control center, based on the status information transmitted by each RTU, accurately locates the fault point at the B4 section and immediately issues instructions to the R3 and R4 terminals to drive the sectionalizing switches S3 and S4 to open, thereby achieving electrical isolation of the fault area. After the isolation is completed, the outlet circuit breaker performs a reclosing operation to restore power supply to the upstream area of the fault. Finally, to restore power supply to the downstream area of the fault, the control center sends an instruction to R10, closes the linking switch S10, completes load transfer, and thus the entire fault handling process is completed.</w:t>
      </w:r>
    </w:p>
    <w:p w14:paraId="345D9B23" w14:textId="77777777" w:rsidR="00055865" w:rsidRPr="00463734" w:rsidRDefault="00000000">
      <w:pPr>
        <w:pStyle w:val="TSP21heading1"/>
        <w:tabs>
          <w:tab w:val="left" w:pos="0"/>
          <w:tab w:val="left" w:pos="42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1.2.1 </w:t>
      </w:r>
      <w:r w:rsidRPr="00463734">
        <w:rPr>
          <w:rFonts w:cs="Minion Pro"/>
          <w:b w:val="0"/>
          <w:bCs/>
          <w:i/>
          <w:iCs/>
          <w:color w:val="auto"/>
          <w:lang w:eastAsia="zh-CN"/>
        </w:rPr>
        <w:t>The Impact of Availability Attacks on the Distribution Network</w:t>
      </w:r>
    </w:p>
    <w:p w14:paraId="06155247" w14:textId="77777777" w:rsidR="00055865" w:rsidRPr="00463734" w:rsidRDefault="00000000">
      <w:pPr>
        <w:pStyle w:val="TSP31text"/>
        <w:spacing w:after="0"/>
        <w:rPr>
          <w:rFonts w:eastAsia="宋体" w:cs="Minion Pro"/>
          <w:bCs/>
          <w:color w:val="auto"/>
          <w:lang w:eastAsia="zh-CN"/>
        </w:rPr>
      </w:pPr>
      <w:r w:rsidRPr="00463734">
        <w:rPr>
          <w:rFonts w:eastAsia="宋体" w:cs="Minion Pro"/>
          <w:bCs/>
          <w:color w:val="auto"/>
          <w:lang w:eastAsia="zh-CN"/>
        </w:rPr>
        <w:t>The availability of RTU is the key to ensuring the effective operation of the automatic fault handling system for the distribution network. Once the RTU is subjected to an availability attack, its core function (the ability to respond and execute instructions from the control center) will be lost. In the context of a physical fault in the power grid, such attacks will seriously disrupt the fault handling process, not only preventing the faulty line from being restored, but also potentially spreading the power outage from the fault point to upstream, downstream, and even adjacent feeder branches through a chain reaction. To quantify this risk, this section constructs an analysis scenario based on the failure of line B4, and defines the relevant areas: B1-B3 are the upstream area of the fault, B5-B7 are the downstream area of the fault, and B8-B10 constitute the adjacent feeder area.</w:t>
      </w:r>
    </w:p>
    <w:p w14:paraId="7B0228FC" w14:textId="77777777" w:rsidR="00055865" w:rsidRPr="00463734" w:rsidRDefault="00000000">
      <w:pPr>
        <w:pStyle w:val="TSP31text"/>
        <w:spacing w:after="0"/>
        <w:rPr>
          <w:rFonts w:eastAsia="宋体" w:cs="Minion Pro"/>
          <w:bCs/>
          <w:color w:val="auto"/>
          <w:lang w:eastAsia="zh-CN"/>
        </w:rPr>
      </w:pPr>
      <w:r w:rsidRPr="00463734">
        <w:rPr>
          <w:rFonts w:eastAsia="宋体" w:cs="Minion Pro"/>
          <w:bCs/>
          <w:color w:val="auto"/>
          <w:lang w:eastAsia="zh-CN"/>
        </w:rPr>
        <w:t xml:space="preserve">When line B4 fails, if the terminal device R4 refuses to receive control instructions due to an availability attack, the corresponding sectional switch S4 will remain closed, preventing the fault from being isolated at the predetermined location. At this time, the feeder automation system will activate the backup protection logic, instructing the lower-level switch S5 to trip to isolate the fault. If S5 successfully operates, the system will restore power to the upstream area </w:t>
      </w:r>
      <w:r w:rsidRPr="00463734">
        <w:rPr>
          <w:rFonts w:eastAsia="宋体" w:cs="Minion Pro"/>
          <w:bCs/>
          <w:color w:val="auto"/>
          <w:lang w:eastAsia="zh-CN"/>
        </w:rPr>
        <w:lastRenderedPageBreak/>
        <w:t xml:space="preserve">and restore power to the non-fault downstream area through the tie switch, ultimately expanding the affected fault area to B4 and B5 (as shown in Figure </w:t>
      </w:r>
      <w:r w:rsidRPr="00463734">
        <w:rPr>
          <w:rFonts w:eastAsia="宋体" w:cs="Minion Pro" w:hint="eastAsia"/>
          <w:bCs/>
          <w:color w:val="auto"/>
          <w:lang w:eastAsia="zh-CN"/>
        </w:rPr>
        <w:t>S4</w:t>
      </w:r>
      <w:r w:rsidRPr="00463734">
        <w:rPr>
          <w:rFonts w:eastAsia="宋体" w:cs="Minion Pro"/>
          <w:bCs/>
          <w:color w:val="auto"/>
          <w:lang w:eastAsia="zh-CN"/>
        </w:rPr>
        <w:t xml:space="preserve">). Given that the damage range of a single-point attack is limited, attackers have a stronger motivation to carry out multi-point coordinated attacks to cause more severe power outage incidents. For example, when line B4 fails and R4 and R5 fail simultaneously, the FA system will be forced to instruct S6 to trip, causing the fault area to further spread to B4-B6 (as shown in Figure </w:t>
      </w:r>
      <w:r w:rsidRPr="00463734">
        <w:rPr>
          <w:rFonts w:eastAsia="宋体" w:cs="Minion Pro" w:hint="eastAsia"/>
          <w:bCs/>
          <w:color w:val="auto"/>
          <w:lang w:eastAsia="zh-CN"/>
        </w:rPr>
        <w:t>S5</w:t>
      </w:r>
      <w:r w:rsidRPr="00463734">
        <w:rPr>
          <w:rFonts w:eastAsia="宋体" w:cs="Minion Pro"/>
          <w:bCs/>
          <w:color w:val="auto"/>
          <w:lang w:eastAsia="zh-CN"/>
        </w:rPr>
        <w:t>). From the perspective of user impact, the duration of power outage in the non-fault area depends on the Remote Switch Time (RST); while the average repair time (MTTR) of the fault area is a composite indicator that covers multiple aspects such as manual inspection, network attack traceability, and equipment repair.</w:t>
      </w:r>
    </w:p>
    <w:p w14:paraId="1CEB386C" w14:textId="77777777" w:rsidR="00055865" w:rsidRPr="00463734" w:rsidRDefault="00000000">
      <w:pPr>
        <w:pStyle w:val="NormalWeb"/>
        <w:spacing w:before="0" w:beforeAutospacing="0" w:after="0" w:afterAutospacing="0"/>
        <w:jc w:val="center"/>
        <w:rPr>
          <w:rFonts w:ascii="Minion Pro" w:hAnsi="Minion Pro" w:cs="Minion Pro"/>
        </w:rPr>
      </w:pPr>
      <w:r w:rsidRPr="00463734">
        <w:rPr>
          <w:rFonts w:ascii="Minion Pro" w:hAnsi="Minion Pro" w:cs="Minion Pro"/>
          <w:noProof/>
        </w:rPr>
        <w:drawing>
          <wp:inline distT="0" distB="0" distL="114300" distR="114300" wp14:anchorId="547FFF16" wp14:editId="4D69D38C">
            <wp:extent cx="3959860" cy="1626870"/>
            <wp:effectExtent l="0" t="0" r="2540" b="11430"/>
            <wp:docPr id="65"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29"/>
                    <pic:cNvPicPr>
                      <a:picLocks noChangeAspect="1"/>
                    </pic:cNvPicPr>
                  </pic:nvPicPr>
                  <pic:blipFill>
                    <a:blip r:embed="rId10"/>
                    <a:stretch>
                      <a:fillRect/>
                    </a:stretch>
                  </pic:blipFill>
                  <pic:spPr>
                    <a:xfrm>
                      <a:off x="0" y="0"/>
                      <a:ext cx="3959860" cy="1626870"/>
                    </a:xfrm>
                    <a:prstGeom prst="rect">
                      <a:avLst/>
                    </a:prstGeom>
                    <a:noFill/>
                    <a:ln>
                      <a:noFill/>
                    </a:ln>
                  </pic:spPr>
                </pic:pic>
              </a:graphicData>
            </a:graphic>
          </wp:inline>
        </w:drawing>
      </w:r>
    </w:p>
    <w:p w14:paraId="06E037DE"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Availability attack on single RTU</w:t>
      </w:r>
    </w:p>
    <w:p w14:paraId="62CBEEB4"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22"/>
          <w:szCs w:val="22"/>
          <w:lang w:bidi="en-US"/>
        </w:rPr>
      </w:pPr>
      <w:r w:rsidRPr="00463734">
        <w:rPr>
          <w:rFonts w:ascii="Minion Pro" w:eastAsia="Times New Roman" w:hAnsi="Minion Pro" w:cs="Minion Pro"/>
          <w:noProof/>
          <w:snapToGrid w:val="0"/>
          <w:sz w:val="22"/>
          <w:szCs w:val="22"/>
          <w:lang w:bidi="en-US"/>
        </w:rPr>
        <w:drawing>
          <wp:inline distT="0" distB="0" distL="114300" distR="114300" wp14:anchorId="6FE5728E" wp14:editId="5068A37A">
            <wp:extent cx="3959860" cy="1623060"/>
            <wp:effectExtent l="0" t="0" r="2540" b="2540"/>
            <wp:docPr id="66"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30"/>
                    <pic:cNvPicPr>
                      <a:picLocks noChangeAspect="1"/>
                    </pic:cNvPicPr>
                  </pic:nvPicPr>
                  <pic:blipFill>
                    <a:blip r:embed="rId11"/>
                    <a:stretch>
                      <a:fillRect/>
                    </a:stretch>
                  </pic:blipFill>
                  <pic:spPr>
                    <a:xfrm>
                      <a:off x="0" y="0"/>
                      <a:ext cx="3959860" cy="1623060"/>
                    </a:xfrm>
                    <a:prstGeom prst="rect">
                      <a:avLst/>
                    </a:prstGeom>
                    <a:noFill/>
                    <a:ln>
                      <a:noFill/>
                    </a:ln>
                  </pic:spPr>
                </pic:pic>
              </a:graphicData>
            </a:graphic>
          </wp:inline>
        </w:drawing>
      </w:r>
    </w:p>
    <w:p w14:paraId="44914BED" w14:textId="77777777" w:rsidR="00055865" w:rsidRPr="00463734" w:rsidRDefault="00000000">
      <w:pPr>
        <w:pStyle w:val="figurecaption"/>
        <w:numPr>
          <w:ilvl w:val="0"/>
          <w:numId w:val="5"/>
        </w:numPr>
        <w:adjustRightInd w:val="0"/>
        <w:snapToGrid w:val="0"/>
        <w:spacing w:after="60"/>
        <w:jc w:val="center"/>
        <w:rPr>
          <w:rFonts w:ascii="Minion Pro" w:hAnsi="Minion Pro" w:cs="Minion Pro"/>
          <w:lang w:bidi="en-US"/>
        </w:rPr>
      </w:pPr>
      <w:r w:rsidRPr="00463734">
        <w:rPr>
          <w:rFonts w:ascii="Minion Pro" w:hAnsi="Minion Pro" w:cs="Minion Pro"/>
          <w:lang w:bidi="en-US"/>
        </w:rPr>
        <w:t>Availability attack on multiple RTUs</w:t>
      </w:r>
    </w:p>
    <w:p w14:paraId="151AA97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Based on the above analysis, the impact of availability attacks on the downstream areas of the failure can be expressed as:</w:t>
      </w:r>
    </w:p>
    <w:p w14:paraId="3AE37F43"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eastAsia="Times New Roman" w:hAnsi="Minion Pro" w:cs="Minion Pro"/>
          <w:snapToGrid w:val="0"/>
          <w:sz w:val="22"/>
          <w:szCs w:val="22"/>
          <w:lang w:bidi="en-US"/>
        </w:rPr>
        <w:tab/>
      </w:r>
      <w:r w:rsidRPr="00463734">
        <w:rPr>
          <w:rFonts w:ascii="Minion Pro" w:eastAsia="Times New Roman" w:hAnsi="Minion Pro" w:cs="Minion Pro"/>
          <w:snapToGrid w:val="0"/>
          <w:position w:val="-32"/>
          <w:sz w:val="22"/>
          <w:szCs w:val="22"/>
          <w:lang w:bidi="en-US"/>
        </w:rPr>
        <w:object w:dxaOrig="4050" w:dyaOrig="585" w14:anchorId="557D75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9.25pt" o:ole="">
            <v:imagedata r:id="rId12" o:title=""/>
          </v:shape>
          <o:OLEObject Type="Embed" ProgID="Equation.3" ShapeID="_x0000_i1025" DrawAspect="Content" ObjectID="_1826958690" r:id="rId13"/>
        </w:object>
      </w:r>
      <w:r w:rsidRPr="00463734">
        <w:rPr>
          <w:rFonts w:ascii="Minion Pro" w:eastAsia="Times New Roman" w:hAnsi="Minion Pro" w:cs="Minion Pro"/>
          <w:snapToGrid w:val="0"/>
          <w:sz w:val="22"/>
          <w:szCs w:val="22"/>
          <w:lang w:bidi="en-US"/>
        </w:rPr>
        <w:tab/>
      </w:r>
      <w:r w:rsidRPr="00463734">
        <w:rPr>
          <w:rFonts w:ascii="Minion Pro" w:eastAsiaTheme="minorEastAsia" w:hAnsi="Minion Pro" w:cs="Minion Pro" w:hint="eastAsia"/>
          <w:snapToGrid w:val="0"/>
          <w:sz w:val="22"/>
          <w:szCs w:val="22"/>
          <w:lang w:bidi="en-US"/>
        </w:rPr>
        <w:t>(S</w:t>
      </w:r>
      <w:r w:rsidRPr="00463734">
        <w:rPr>
          <w:rFonts w:ascii="Minion Pro" w:hAnsi="Minion Pro" w:cs="Minion Pro" w:hint="eastAsia"/>
          <w:snapToGrid w:val="0"/>
          <w:sz w:val="22"/>
          <w:szCs w:val="22"/>
          <w:lang w:bidi="en-US"/>
        </w:rPr>
        <w:t>1)</w:t>
      </w:r>
    </w:p>
    <w:p w14:paraId="4496090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eastAsia="Times New Roman" w:hAnsi="Minion Pro" w:cs="Minion Pro"/>
          <w:snapToGrid w:val="0"/>
          <w:sz w:val="22"/>
          <w:szCs w:val="22"/>
          <w:lang w:bidi="en-US"/>
        </w:rPr>
        <w:tab/>
      </w:r>
      <w:r w:rsidRPr="00463734">
        <w:rPr>
          <w:rFonts w:ascii="Minion Pro" w:eastAsia="Times New Roman" w:hAnsi="Minion Pro" w:cs="Minion Pro"/>
          <w:snapToGrid w:val="0"/>
          <w:position w:val="-14"/>
          <w:sz w:val="22"/>
          <w:szCs w:val="22"/>
          <w:lang w:bidi="en-US"/>
        </w:rPr>
        <w:object w:dxaOrig="2610" w:dyaOrig="405" w14:anchorId="450248CA">
          <v:shape id="_x0000_i1026" type="#_x0000_t75" style="width:130.5pt;height:20.25pt" o:ole="">
            <v:imagedata r:id="rId14" o:title=""/>
          </v:shape>
          <o:OLEObject Type="Embed" ProgID="Equation.3" ShapeID="_x0000_i1026" DrawAspect="Content" ObjectID="_1826958691" r:id="rId15"/>
        </w:object>
      </w:r>
      <w:r w:rsidRPr="00463734">
        <w:rPr>
          <w:rFonts w:ascii="Minion Pro" w:eastAsia="Times New Roman" w:hAnsi="Minion Pro" w:cs="Minion Pro"/>
          <w:snapToGrid w:val="0"/>
          <w:sz w:val="22"/>
          <w:szCs w:val="22"/>
          <w:lang w:bidi="en-US"/>
        </w:rPr>
        <w:tab/>
      </w:r>
      <w:r w:rsidRPr="00463734">
        <w:rPr>
          <w:rFonts w:ascii="Minion Pro" w:eastAsiaTheme="minorEastAsia" w:hAnsi="Minion Pro" w:cs="Minion Pro" w:hint="eastAsia"/>
          <w:snapToGrid w:val="0"/>
          <w:sz w:val="22"/>
          <w:szCs w:val="22"/>
          <w:lang w:bidi="en-US"/>
        </w:rPr>
        <w:t>(S</w:t>
      </w:r>
      <w:r w:rsidRPr="00463734">
        <w:rPr>
          <w:rFonts w:ascii="Minion Pro" w:hAnsi="Minion Pro" w:cs="Minion Pro" w:hint="eastAsia"/>
          <w:snapToGrid w:val="0"/>
          <w:sz w:val="22"/>
          <w:szCs w:val="22"/>
          <w:lang w:bidi="en-US"/>
        </w:rPr>
        <w:t>2)</w:t>
      </w:r>
    </w:p>
    <w:p w14:paraId="4AE61E2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eastAsia="Times New Roman" w:hAnsi="Minion Pro" w:cs="Minion Pro"/>
          <w:snapToGrid w:val="0"/>
          <w:sz w:val="22"/>
          <w:szCs w:val="22"/>
          <w:lang w:bidi="en-US"/>
        </w:rPr>
        <w:tab/>
      </w:r>
      <w:r w:rsidRPr="00463734">
        <w:rPr>
          <w:rFonts w:ascii="Minion Pro" w:eastAsia="Times New Roman" w:hAnsi="Minion Pro" w:cs="Minion Pro"/>
          <w:snapToGrid w:val="0"/>
          <w:position w:val="-34"/>
          <w:sz w:val="22"/>
          <w:szCs w:val="22"/>
          <w:lang w:bidi="en-US"/>
        </w:rPr>
        <w:object w:dxaOrig="1410" w:dyaOrig="600" w14:anchorId="5AD62704">
          <v:shape id="_x0000_i1027" type="#_x0000_t75" style="width:70.5pt;height:30pt" o:ole="">
            <v:imagedata r:id="rId16" o:title=""/>
          </v:shape>
          <o:OLEObject Type="Embed" ProgID="Equation.3" ShapeID="_x0000_i1027" DrawAspect="Content" ObjectID="_1826958692" r:id="rId17"/>
        </w:object>
      </w:r>
      <w:r w:rsidRPr="00463734">
        <w:rPr>
          <w:rFonts w:ascii="Minion Pro" w:eastAsia="Times New Roman" w:hAnsi="Minion Pro" w:cs="Minion Pro"/>
          <w:snapToGrid w:val="0"/>
          <w:sz w:val="22"/>
          <w:szCs w:val="22"/>
          <w:lang w:bidi="en-US"/>
        </w:rPr>
        <w:tab/>
      </w:r>
      <w:r w:rsidRPr="00463734">
        <w:rPr>
          <w:rFonts w:ascii="Minion Pro" w:hAnsi="Minion Pro" w:cs="Minion Pro" w:hint="eastAsia"/>
          <w:snapToGrid w:val="0"/>
          <w:sz w:val="22"/>
          <w:szCs w:val="22"/>
          <w:lang w:bidi="en-US"/>
        </w:rPr>
        <w:t>(S3)</w:t>
      </w:r>
    </w:p>
    <w:p w14:paraId="791F7D41" w14:textId="11E5D9C2"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w:r w:rsidRPr="00463734">
        <w:rPr>
          <w:rFonts w:ascii="Minion Pro" w:eastAsia="Times New Roman" w:hAnsi="Minion Pro" w:cs="Minion Pro"/>
          <w:snapToGrid w:val="0"/>
          <w:position w:val="-10"/>
          <w:sz w:val="22"/>
          <w:szCs w:val="22"/>
          <w:lang w:bidi="en-US"/>
        </w:rPr>
        <w:object w:dxaOrig="810" w:dyaOrig="360" w14:anchorId="22D7DAFD">
          <v:shape id="_x0000_i1028" type="#_x0000_t75" style="width:40.5pt;height:18pt" o:ole="">
            <v:imagedata r:id="rId18" o:title=""/>
          </v:shape>
          <o:OLEObject Type="Embed" ProgID="Equation.3" ShapeID="_x0000_i1028" DrawAspect="Content" ObjectID="_1826958693" r:id="rId19"/>
        </w:object>
      </w:r>
      <w:r w:rsidRPr="00463734">
        <w:rPr>
          <w:rFonts w:ascii="Minion Pro" w:eastAsia="Times New Roman" w:hAnsi="Minion Pro" w:cs="Minion Pro"/>
          <w:snapToGrid w:val="0"/>
          <w:sz w:val="22"/>
          <w:szCs w:val="22"/>
          <w:lang w:bidi="en-US"/>
        </w:rPr>
        <w:t xml:space="preserve"> represents the impact on the downstream power supply area caused by the failure of the i-th feeder line under an information attack. </w:t>
      </w:r>
      <w:r w:rsidRPr="00463734">
        <w:rPr>
          <w:rFonts w:ascii="Minion Pro" w:eastAsia="Times New Roman" w:hAnsi="Minion Pro" w:cs="Minion Pro"/>
          <w:snapToGrid w:val="0"/>
          <w:position w:val="-12"/>
          <w:sz w:val="22"/>
          <w:szCs w:val="22"/>
          <w:lang w:bidi="en-US"/>
        </w:rPr>
        <w:object w:dxaOrig="270" w:dyaOrig="360" w14:anchorId="7E6F9304">
          <v:shape id="_x0000_i1029" type="#_x0000_t75" style="width:13.5pt;height:18pt" o:ole="">
            <v:imagedata r:id="rId20" o:title=""/>
          </v:shape>
          <o:OLEObject Type="Embed" ProgID="Equation.3" ShapeID="_x0000_i1029" DrawAspect="Content" ObjectID="_1826958694" r:id="rId21"/>
        </w:object>
      </w:r>
      <w:r w:rsidRPr="00463734">
        <w:rPr>
          <w:rFonts w:ascii="Minion Pro" w:eastAsia="Times New Roman" w:hAnsi="Minion Pro" w:cs="Minion Pro"/>
          <w:snapToGrid w:val="0"/>
          <w:position w:val="-12"/>
          <w:sz w:val="22"/>
          <w:szCs w:val="22"/>
          <w:lang w:bidi="en-US"/>
        </w:rPr>
        <w:t xml:space="preserve"> </w:t>
      </w:r>
      <w:r w:rsidRPr="00463734">
        <w:rPr>
          <w:rFonts w:ascii="Minion Pro" w:eastAsia="Times New Roman" w:hAnsi="Minion Pro" w:cs="Minion Pro"/>
          <w:snapToGrid w:val="0"/>
          <w:sz w:val="22"/>
          <w:szCs w:val="22"/>
          <w:lang w:bidi="en-US"/>
        </w:rPr>
        <w:t xml:space="preserve">represents the load power on the </w:t>
      </w:r>
      <w:r w:rsidRPr="00463734">
        <w:rPr>
          <w:rFonts w:ascii="Minion Pro" w:eastAsia="Times New Roman" w:hAnsi="Minion Pro" w:cs="Minion Pro"/>
          <w:snapToGrid w:val="0"/>
          <w:position w:val="-6"/>
          <w:sz w:val="22"/>
          <w:szCs w:val="22"/>
          <w:lang w:bidi="en-US"/>
        </w:rPr>
        <w:object w:dxaOrig="180" w:dyaOrig="210" w14:anchorId="7FE1879C">
          <v:shape id="_x0000_i1030" type="#_x0000_t75" style="width:9pt;height:10.5pt" o:ole="">
            <v:imagedata r:id="rId22" o:title=""/>
          </v:shape>
          <o:OLEObject Type="Embed" ProgID="Equation.3" ShapeID="_x0000_i1030" DrawAspect="Content" ObjectID="_1826958695" r:id="rId23"/>
        </w:object>
      </w:r>
      <w:r w:rsidRPr="00463734">
        <w:rPr>
          <w:rFonts w:ascii="Minion Pro" w:eastAsia="Times New Roman" w:hAnsi="Minion Pro" w:cs="Minion Pro"/>
          <w:snapToGrid w:val="0"/>
          <w:sz w:val="22"/>
          <w:szCs w:val="22"/>
          <w:lang w:bidi="en-US"/>
        </w:rPr>
        <w:t xml:space="preserve">-th feeder line. </w:t>
      </w:r>
      <w:r w:rsidRPr="00463734">
        <w:rPr>
          <w:rFonts w:ascii="Minion Pro" w:eastAsia="Times New Roman" w:hAnsi="Minion Pro" w:cs="Minion Pro"/>
          <w:snapToGrid w:val="0"/>
          <w:position w:val="-12"/>
          <w:sz w:val="22"/>
          <w:szCs w:val="22"/>
          <w:lang w:bidi="en-US"/>
        </w:rPr>
        <w:object w:dxaOrig="225" w:dyaOrig="360" w14:anchorId="334C6131">
          <v:shape id="_x0000_i1031" type="#_x0000_t75" style="width:11.25pt;height:18pt" o:ole="">
            <v:imagedata r:id="rId24" o:title=""/>
          </v:shape>
          <o:OLEObject Type="Embed" ProgID="Equation.3" ShapeID="_x0000_i1031" DrawAspect="Content" ObjectID="_1826958696" r:id="rId25"/>
        </w:object>
      </w:r>
      <w:r w:rsidRPr="00463734">
        <w:rPr>
          <w:rFonts w:ascii="Minion Pro" w:eastAsia="Times New Roman" w:hAnsi="Minion Pro" w:cs="Minion Pro"/>
          <w:snapToGrid w:val="0"/>
          <w:position w:val="-12"/>
          <w:sz w:val="22"/>
          <w:szCs w:val="22"/>
          <w:lang w:bidi="en-US"/>
        </w:rPr>
        <w:t xml:space="preserve"> </w:t>
      </w:r>
      <w:r w:rsidRPr="00463734">
        <w:rPr>
          <w:rFonts w:ascii="Minion Pro" w:eastAsia="Times New Roman" w:hAnsi="Minion Pro" w:cs="Minion Pro"/>
          <w:snapToGrid w:val="0"/>
          <w:sz w:val="22"/>
          <w:szCs w:val="22"/>
          <w:lang w:bidi="en-US"/>
        </w:rPr>
        <w:t>represents the failure rate of the i-th feeder line.</w:t>
      </w:r>
      <w:r w:rsidR="00685FC8">
        <w:rPr>
          <w:rFonts w:ascii="Minion Pro" w:eastAsiaTheme="minorEastAsia" w:hAnsi="Minion Pro" w:cs="Minion Pro" w:hint="eastAsia"/>
          <w:snapToGrid w:val="0"/>
          <w:sz w:val="22"/>
          <w:szCs w:val="22"/>
          <w:lang w:bidi="en-US"/>
        </w:rPr>
        <w:t>s</w:t>
      </w:r>
      <w:r w:rsidRPr="00463734">
        <w:rPr>
          <w:rFonts w:ascii="Minion Pro" w:eastAsia="Times New Roman" w:hAnsi="Minion Pro" w:cs="Minion Pro"/>
          <w:snapToGrid w:val="0"/>
          <w:sz w:val="22"/>
          <w:szCs w:val="22"/>
          <w:lang w:bidi="en-US"/>
        </w:rPr>
        <w:t>represents the set of downstream feeder lines of the e-th feeder line segment.</w:t>
      </w:r>
      <w:r w:rsidRPr="00463734">
        <w:rPr>
          <w:rFonts w:ascii="Minion Pro" w:eastAsia="Times New Roman" w:hAnsi="Minion Pro" w:cs="Minion Pro"/>
          <w:snapToGrid w:val="0"/>
          <w:position w:val="-12"/>
          <w:sz w:val="22"/>
          <w:szCs w:val="22"/>
          <w:lang w:bidi="en-US"/>
        </w:rPr>
        <w:object w:dxaOrig="420" w:dyaOrig="390" w14:anchorId="5A36ABFA">
          <v:shape id="_x0000_i1033" type="#_x0000_t75" style="width:21pt;height:19.5pt" o:ole="">
            <v:imagedata r:id="rId26" o:title=""/>
          </v:shape>
          <o:OLEObject Type="Embed" ProgID="Equation.3" ShapeID="_x0000_i1033" DrawAspect="Content" ObjectID="_1826958697" r:id="rId27"/>
        </w:object>
      </w:r>
      <w:r w:rsidRPr="00463734">
        <w:rPr>
          <w:rFonts w:ascii="Minion Pro" w:eastAsia="Times New Roman" w:hAnsi="Minion Pro" w:cs="Minion Pro"/>
          <w:snapToGrid w:val="0"/>
          <w:sz w:val="22"/>
          <w:szCs w:val="22"/>
          <w:lang w:bidi="en-US"/>
        </w:rPr>
        <w:t>represents the failure probability of the transfer path for feeder line e. If there is no transferable line downstream of feeder line e, then PTie = 1; otherwise, its value is equal to the probability of the corresponding tie switch failing to operate.</w:t>
      </w:r>
      <w:r w:rsidRPr="00463734">
        <w:rPr>
          <w:rFonts w:ascii="Minion Pro" w:eastAsia="Times New Roman" w:hAnsi="Minion Pro" w:cs="Minion Pro"/>
          <w:snapToGrid w:val="0"/>
          <w:position w:val="-14"/>
          <w:sz w:val="22"/>
          <w:szCs w:val="22"/>
          <w:lang w:bidi="en-US"/>
        </w:rPr>
        <w:object w:dxaOrig="420" w:dyaOrig="405" w14:anchorId="68A29AF0">
          <v:shape id="_x0000_i1034" type="#_x0000_t75" style="width:21pt;height:20.25pt" o:ole="">
            <v:imagedata r:id="rId28" o:title=""/>
          </v:shape>
          <o:OLEObject Type="Embed" ProgID="Equation.3" ShapeID="_x0000_i1034" DrawAspect="Content" ObjectID="_1826958698" r:id="rId29"/>
        </w:object>
      </w:r>
      <w:r w:rsidRPr="00463734">
        <w:rPr>
          <w:rFonts w:ascii="Minion Pro" w:eastAsia="Times New Roman" w:hAnsi="Minion Pro" w:cs="Minion Pro"/>
          <w:snapToGrid w:val="0"/>
          <w:sz w:val="22"/>
          <w:szCs w:val="22"/>
          <w:lang w:bidi="en-US"/>
        </w:rPr>
        <w:t xml:space="preserve"> represents the probability that all the </w:t>
      </w:r>
      <w:r w:rsidRPr="00463734">
        <w:rPr>
          <w:rFonts w:ascii="Minion Pro" w:eastAsia="Times New Roman" w:hAnsi="Minion Pro" w:cs="Minion Pro"/>
          <w:snapToGrid w:val="0"/>
          <w:sz w:val="22"/>
          <w:szCs w:val="22"/>
          <w:lang w:bidi="en-US"/>
        </w:rPr>
        <w:lastRenderedPageBreak/>
        <w:t>switches along the path from feeder i to feeder e will fail to operate due to an attack.S</w:t>
      </w:r>
      <w:r w:rsidRPr="00463734">
        <w:rPr>
          <w:rFonts w:ascii="Minion Pro" w:eastAsia="Times New Roman" w:hAnsi="Minion Pro" w:cs="Minion Pro"/>
          <w:snapToGrid w:val="0"/>
          <w:sz w:val="22"/>
          <w:szCs w:val="22"/>
          <w:vertAlign w:val="subscript"/>
          <w:lang w:bidi="en-US"/>
        </w:rPr>
        <w:t>i,e</w:t>
      </w:r>
      <w:r w:rsidRPr="00463734">
        <w:rPr>
          <w:rFonts w:ascii="Minion Pro" w:eastAsia="Times New Roman" w:hAnsi="Minion Pro" w:cs="Minion Pro"/>
          <w:snapToGrid w:val="0"/>
          <w:sz w:val="22"/>
          <w:szCs w:val="22"/>
          <w:lang w:bidi="en-US"/>
        </w:rPr>
        <w:t xml:space="preserve"> represents the set of terminal devices corresponding to all the switches along the path from feeder i to feeder e. </w:t>
      </w:r>
      <w:r w:rsidRPr="00463734">
        <w:rPr>
          <w:rFonts w:ascii="Minion Pro" w:eastAsia="Times New Roman" w:hAnsi="Minion Pro" w:cs="Minion Pro"/>
          <w:snapToGrid w:val="0"/>
          <w:position w:val="-12"/>
          <w:sz w:val="22"/>
          <w:szCs w:val="22"/>
          <w:lang w:bidi="en-US"/>
        </w:rPr>
        <w:object w:dxaOrig="420" w:dyaOrig="390" w14:anchorId="021CE027">
          <v:shape id="_x0000_i1035" type="#_x0000_t75" style="width:21pt;height:19.5pt" o:ole="">
            <v:imagedata r:id="rId30" o:title=""/>
          </v:shape>
          <o:OLEObject Type="Embed" ProgID="Equation.3" ShapeID="_x0000_i1035" DrawAspect="Content" ObjectID="_1826958699" r:id="rId31"/>
        </w:object>
      </w:r>
      <w:r w:rsidRPr="00463734">
        <w:rPr>
          <w:rFonts w:ascii="Minion Pro" w:eastAsia="Times New Roman" w:hAnsi="Minion Pro" w:cs="Minion Pro"/>
          <w:snapToGrid w:val="0"/>
          <w:sz w:val="22"/>
          <w:szCs w:val="22"/>
          <w:lang w:bidi="en-US"/>
        </w:rPr>
        <w:t xml:space="preserve">represents the probability that the terminal device k fails due to an availability attack caused by the feeder line. </w:t>
      </w:r>
      <w:r w:rsidRPr="00463734">
        <w:rPr>
          <w:rFonts w:ascii="Minion Pro" w:eastAsia="Times New Roman" w:hAnsi="Minion Pro" w:cs="Minion Pro"/>
          <w:snapToGrid w:val="0"/>
          <w:position w:val="-12"/>
          <w:sz w:val="22"/>
          <w:szCs w:val="22"/>
          <w:lang w:bidi="en-US"/>
        </w:rPr>
        <w:object w:dxaOrig="465" w:dyaOrig="360" w14:anchorId="383B88CC">
          <v:shape id="_x0000_i1036" type="#_x0000_t75" style="width:23.25pt;height:18pt" o:ole="">
            <v:imagedata r:id="rId32" o:title=""/>
          </v:shape>
          <o:OLEObject Type="Embed" ProgID="Equation.3" ShapeID="_x0000_i1036" DrawAspect="Content" ObjectID="_1826958700" r:id="rId33"/>
        </w:object>
      </w:r>
      <w:r w:rsidRPr="00463734">
        <w:rPr>
          <w:rFonts w:ascii="Minion Pro" w:eastAsia="Times New Roman" w:hAnsi="Minion Pro" w:cs="Minion Pro"/>
          <w:snapToGrid w:val="0"/>
          <w:sz w:val="22"/>
          <w:szCs w:val="22"/>
          <w:lang w:bidi="en-US"/>
        </w:rPr>
        <w:t xml:space="preserve">represents the average repair time for the availability attack in the feeder line, which includes manual inspection, network forensics, and fault repair. </w:t>
      </w:r>
      <w:r w:rsidRPr="00463734">
        <w:rPr>
          <w:rFonts w:ascii="Minion Pro" w:eastAsia="Times New Roman" w:hAnsi="Minion Pro" w:cs="Minion Pro"/>
          <w:snapToGrid w:val="0"/>
          <w:position w:val="-12"/>
          <w:sz w:val="22"/>
          <w:szCs w:val="22"/>
          <w:lang w:bidi="en-US"/>
        </w:rPr>
        <w:object w:dxaOrig="390" w:dyaOrig="360" w14:anchorId="378D812D">
          <v:shape id="_x0000_i1037" type="#_x0000_t75" style="width:19.5pt;height:18pt" o:ole="">
            <v:imagedata r:id="rId34" o:title=""/>
          </v:shape>
          <o:OLEObject Type="Embed" ProgID="Equation.3" ShapeID="_x0000_i1037" DrawAspect="Content" ObjectID="_1826958701" r:id="rId35"/>
        </w:object>
      </w:r>
      <w:r w:rsidRPr="00463734">
        <w:rPr>
          <w:rFonts w:ascii="Minion Pro" w:eastAsia="Times New Roman" w:hAnsi="Minion Pro" w:cs="Minion Pro"/>
          <w:snapToGrid w:val="0"/>
          <w:sz w:val="22"/>
          <w:szCs w:val="22"/>
          <w:lang w:bidi="en-US"/>
        </w:rPr>
        <w:t>represents the time for the remote control switch.</w:t>
      </w:r>
    </w:p>
    <w:p w14:paraId="48152491"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Availability attacks may not only cause the failure range to spread upstream to the power supply, but even affect adjacent feeder branches. Taking the B4 line failure as an example, if RTU R3 refuses to receive control instructions due to being attacked, the FA system will trigger the backup protection mechanism and instruct R2 to disconnect S2. This will result in a double power outage consequence: first, the B3 area upstream of the failure loses power; second, due to the disconnection of the connection point, the adjacent B8-B10 feeder branches will also fall into a power outage state due to being separated from the main power supply. The specific impact range is shown in Figure </w:t>
      </w:r>
      <w:r w:rsidRPr="00463734">
        <w:rPr>
          <w:rFonts w:eastAsia="宋体" w:cs="Minion Pro" w:hint="eastAsia"/>
          <w:bCs/>
          <w:color w:val="auto"/>
          <w:lang w:eastAsia="zh-CN"/>
        </w:rPr>
        <w:t>S6</w:t>
      </w:r>
      <w:r w:rsidRPr="00463734">
        <w:rPr>
          <w:rFonts w:eastAsia="宋体" w:cs="Minion Pro"/>
          <w:bCs/>
          <w:color w:val="auto"/>
          <w:lang w:eastAsia="zh-CN"/>
        </w:rPr>
        <w:t>.</w:t>
      </w:r>
    </w:p>
    <w:p w14:paraId="6E28B58D"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22"/>
          <w:szCs w:val="22"/>
          <w:lang w:bidi="en-US"/>
        </w:rPr>
      </w:pPr>
      <w:r w:rsidRPr="00463734">
        <w:rPr>
          <w:rFonts w:ascii="Minion Pro" w:eastAsia="Times New Roman" w:hAnsi="Minion Pro" w:cs="Minion Pro"/>
          <w:noProof/>
          <w:snapToGrid w:val="0"/>
          <w:sz w:val="22"/>
          <w:szCs w:val="22"/>
          <w:lang w:bidi="en-US"/>
        </w:rPr>
        <w:drawing>
          <wp:inline distT="0" distB="0" distL="114300" distR="114300" wp14:anchorId="59545CC1" wp14:editId="1477455D">
            <wp:extent cx="3959860" cy="1715770"/>
            <wp:effectExtent l="0" t="0" r="2540" b="11430"/>
            <wp:docPr id="67"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1"/>
                    <pic:cNvPicPr>
                      <a:picLocks noChangeAspect="1"/>
                    </pic:cNvPicPr>
                  </pic:nvPicPr>
                  <pic:blipFill>
                    <a:blip r:embed="rId36"/>
                    <a:stretch>
                      <a:fillRect/>
                    </a:stretch>
                  </pic:blipFill>
                  <pic:spPr>
                    <a:xfrm>
                      <a:off x="0" y="0"/>
                      <a:ext cx="3959860" cy="1715770"/>
                    </a:xfrm>
                    <a:prstGeom prst="rect">
                      <a:avLst/>
                    </a:prstGeom>
                    <a:noFill/>
                    <a:ln>
                      <a:noFill/>
                    </a:ln>
                  </pic:spPr>
                </pic:pic>
              </a:graphicData>
            </a:graphic>
          </wp:inline>
        </w:drawing>
      </w:r>
    </w:p>
    <w:p w14:paraId="2AC9CB20" w14:textId="77777777" w:rsidR="00055865" w:rsidRPr="00463734" w:rsidRDefault="00000000">
      <w:pPr>
        <w:pStyle w:val="figurecaption"/>
        <w:numPr>
          <w:ilvl w:val="0"/>
          <w:numId w:val="5"/>
        </w:numPr>
        <w:adjustRightInd w:val="0"/>
        <w:snapToGrid w:val="0"/>
        <w:spacing w:after="60"/>
        <w:jc w:val="center"/>
        <w:rPr>
          <w:rFonts w:ascii="Minion Pro" w:hAnsi="Minion Pro" w:cs="Minion Pro"/>
          <w:lang w:bidi="en-US"/>
        </w:rPr>
      </w:pPr>
      <w:r w:rsidRPr="00463734">
        <w:rPr>
          <w:rFonts w:ascii="Minion Pro" w:hAnsi="Minion Pro" w:cs="Minion Pro"/>
          <w:lang w:bidi="en-US"/>
        </w:rPr>
        <w:t>Impact of availability attacks on upstream and adjacent feeder branches</w:t>
      </w:r>
    </w:p>
    <w:p w14:paraId="1A82497E"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impact of availability attacks on the upstream faulty area can be expressed as:</w:t>
      </w:r>
    </w:p>
    <w:p w14:paraId="134A297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UP,rej</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λ</m:t>
            </m:r>
          </m:e>
          <m:sub>
            <m:r>
              <m:rPr>
                <m:sty m:val="p"/>
              </m:rPr>
              <w:rPr>
                <w:rFonts w:ascii="Cambria Math" w:hAnsi="Cambria Math" w:cs="Minion Pro"/>
                <w:snapToGrid w:val="0"/>
                <w:sz w:val="22"/>
                <w:szCs w:val="22"/>
                <w:lang w:bidi="en-US"/>
              </w:rPr>
              <m:t>i</m:t>
            </m:r>
          </m:sub>
        </m:sSub>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f∈</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C</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Up</m:t>
                </m:r>
              </m:sup>
            </m:sSubSup>
          </m:sub>
          <m:sup/>
          <m:e>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L</m:t>
                </m:r>
              </m:e>
              <m:sub>
                <m:r>
                  <m:rPr>
                    <m:sty m:val="p"/>
                  </m:rPr>
                  <w:rPr>
                    <w:rFonts w:ascii="Cambria Math" w:hAnsi="Cambria Math" w:cs="Minion Pro"/>
                    <w:snapToGrid w:val="0"/>
                    <w:sz w:val="22"/>
                    <w:szCs w:val="22"/>
                    <w:lang w:bidi="en-US"/>
                  </w:rPr>
                  <m:t>f</m:t>
                </m:r>
              </m:sub>
            </m:sSub>
          </m:e>
        </m:nary>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i,f</m:t>
            </m:r>
          </m:sub>
          <m:sup>
            <m:r>
              <m:rPr>
                <m:sty m:val="p"/>
              </m:rPr>
              <w:rPr>
                <w:rFonts w:ascii="Cambria Math" w:hAnsi="Cambria Math" w:cs="Minion Pro"/>
                <w:snapToGrid w:val="0"/>
                <w:sz w:val="22"/>
                <w:szCs w:val="22"/>
                <w:lang w:bidi="en-US"/>
              </w:rPr>
              <m:t>rej</m:t>
            </m:r>
          </m:sup>
        </m:sSubSup>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mttr</m:t>
            </m:r>
          </m:sub>
        </m:sSub>
        <m:r>
          <m:rPr>
            <m:sty m:val="p"/>
          </m:rPr>
          <w:rPr>
            <w:rFonts w:ascii="Cambria Math" w:hAnsi="Cambria Math" w:cs="Minion Pro"/>
            <w:snapToGrid w:val="0"/>
            <w:sz w:val="22"/>
            <w:szCs w:val="22"/>
            <w:lang w:bidi="en-US"/>
          </w:rPr>
          <m:t>+(1-</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i,f</m:t>
            </m:r>
          </m:sub>
          <m:sup>
            <m:r>
              <m:rPr>
                <m:sty m:val="p"/>
              </m:rPr>
              <w:rPr>
                <w:rFonts w:ascii="Cambria Math" w:hAnsi="Cambria Math" w:cs="Minion Pro"/>
                <w:snapToGrid w:val="0"/>
                <w:sz w:val="22"/>
                <w:szCs w:val="22"/>
                <w:lang w:bidi="en-US"/>
              </w:rPr>
              <m:t>rej</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rst</m:t>
            </m:r>
          </m:sub>
        </m:sSub>
        <m:r>
          <m:rPr>
            <m:sty m:val="p"/>
          </m:rPr>
          <w:rPr>
            <w:rFonts w:ascii="Cambria Math" w:hAnsi="Cambria Math" w:cs="Minion Pro"/>
            <w:snapToGrid w:val="0"/>
            <w:sz w:val="22"/>
            <w:szCs w:val="22"/>
            <w:lang w:bidi="en-US"/>
          </w:rPr>
          <m:t>]</m:t>
        </m:r>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w:t>
      </w:r>
    </w:p>
    <w:p w14:paraId="1F2560AC"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R</m:t>
            </m:r>
          </m:e>
          <m:sub>
            <m:r>
              <m:rPr>
                <m:sty m:val="p"/>
              </m:rPr>
              <w:rPr>
                <w:rFonts w:ascii="Cambria Math" w:eastAsia="Times New Roman" w:hAnsi="Cambria Math" w:cs="Minion Pro"/>
                <w:snapToGrid w:val="0"/>
                <w:sz w:val="22"/>
                <w:szCs w:val="22"/>
                <w:lang w:bidi="en-US"/>
              </w:rPr>
              <m:t>i</m:t>
            </m:r>
          </m:sub>
          <m:sup>
            <m:r>
              <m:rPr>
                <m:sty m:val="p"/>
              </m:rPr>
              <w:rPr>
                <w:rFonts w:ascii="Cambria Math" w:eastAsia="Times New Roman" w:hAnsi="Cambria Math" w:cs="Minion Pro"/>
                <w:snapToGrid w:val="0"/>
                <w:sz w:val="22"/>
                <w:szCs w:val="22"/>
                <w:lang w:bidi="en-US"/>
              </w:rPr>
              <m:t>UP,rej</m:t>
            </m:r>
          </m:sup>
        </m:sSubSup>
      </m:oMath>
      <w:r w:rsidRPr="00463734">
        <w:rPr>
          <w:rFonts w:ascii="Minion Pro" w:eastAsia="Times New Roman" w:hAnsi="Minion Pro" w:cs="Minion Pro"/>
          <w:snapToGrid w:val="0"/>
          <w:sz w:val="22"/>
          <w:szCs w:val="22"/>
          <w:lang w:bidi="en-US"/>
        </w:rPr>
        <w:t xml:space="preserve"> represents the impact on the upstream power supply area caused by the failure of the i-th section of the feeder line under information attack;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C</m:t>
            </m:r>
          </m:e>
          <m:sub>
            <m:r>
              <m:rPr>
                <m:sty m:val="p"/>
              </m:rPr>
              <w:rPr>
                <w:rFonts w:ascii="Cambria Math" w:eastAsia="Times New Roman" w:hAnsi="Cambria Math" w:cs="Minion Pro"/>
                <w:snapToGrid w:val="0"/>
                <w:sz w:val="22"/>
                <w:szCs w:val="22"/>
                <w:lang w:bidi="en-US"/>
              </w:rPr>
              <m:t>i</m:t>
            </m:r>
          </m:sub>
          <m:sup>
            <m:r>
              <m:rPr>
                <m:sty m:val="p"/>
              </m:rPr>
              <w:rPr>
                <w:rFonts w:ascii="Cambria Math" w:eastAsia="Times New Roman" w:hAnsi="Cambria Math" w:cs="Minion Pro"/>
                <w:snapToGrid w:val="0"/>
                <w:sz w:val="22"/>
                <w:szCs w:val="22"/>
                <w:lang w:bidi="en-US"/>
              </w:rPr>
              <m:t>Up</m:t>
            </m:r>
          </m:sup>
        </m:sSubSup>
      </m:oMath>
      <w:r w:rsidRPr="00463734">
        <w:rPr>
          <w:rFonts w:ascii="Minion Pro" w:eastAsia="Times New Roman" w:hAnsi="Minion Pro" w:cs="Minion Pro"/>
          <w:snapToGrid w:val="0"/>
          <w:sz w:val="22"/>
          <w:szCs w:val="22"/>
          <w:lang w:bidi="en-US"/>
        </w:rPr>
        <w:t xml:space="preserve"> is the set of upstream feeder lines of the i-th section of the feeder line.</w:t>
      </w:r>
    </w:p>
    <w:p w14:paraId="77FA60ED"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The impact of availability attacks on the adjacent feeder lines of faults can be expressed as:</w:t>
      </w:r>
    </w:p>
    <w:p w14:paraId="5B655803"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Ad,rej</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λ</m:t>
            </m:r>
          </m:e>
          <m:sub>
            <m:r>
              <m:rPr>
                <m:sty m:val="p"/>
              </m:rPr>
              <w:rPr>
                <w:rFonts w:ascii="Cambria Math" w:hAnsi="Cambria Math" w:cs="Minion Pro"/>
                <w:snapToGrid w:val="0"/>
                <w:sz w:val="22"/>
                <w:szCs w:val="22"/>
                <w:lang w:bidi="en-US"/>
              </w:rPr>
              <m:t>i</m:t>
            </m:r>
          </m:sub>
        </m:sSub>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m∈</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B</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Ad</m:t>
                </m:r>
              </m:sup>
            </m:sSubSup>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i,m</m:t>
                </m:r>
              </m:sub>
              <m:sup>
                <m:r>
                  <m:rPr>
                    <m:sty m:val="p"/>
                  </m:rPr>
                  <w:rPr>
                    <w:rFonts w:ascii="Cambria Math" w:hAnsi="Cambria Math" w:cs="Minion Pro"/>
                    <w:snapToGrid w:val="0"/>
                    <w:sz w:val="22"/>
                    <w:szCs w:val="22"/>
                    <w:lang w:bidi="en-US"/>
                  </w:rPr>
                  <m:t>rej,Ad_branch</m:t>
                </m:r>
              </m:sup>
            </m:sSubSup>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f∈</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C</m:t>
                    </m:r>
                  </m:e>
                  <m:sub>
                    <m:r>
                      <m:rPr>
                        <m:sty m:val="p"/>
                      </m:rPr>
                      <w:rPr>
                        <w:rFonts w:ascii="Cambria Math" w:hAnsi="Cambria Math" w:cs="Minion Pro"/>
                        <w:snapToGrid w:val="0"/>
                        <w:sz w:val="22"/>
                        <w:szCs w:val="22"/>
                        <w:lang w:bidi="en-US"/>
                      </w:rPr>
                      <m:t>m</m:t>
                    </m:r>
                  </m:sub>
                  <m:sup>
                    <m:r>
                      <m:rPr>
                        <m:sty m:val="p"/>
                      </m:rPr>
                      <w:rPr>
                        <w:rFonts w:ascii="Cambria Math" w:hAnsi="Cambria Math" w:cs="Minion Pro"/>
                        <w:snapToGrid w:val="0"/>
                        <w:sz w:val="22"/>
                        <w:szCs w:val="22"/>
                        <w:lang w:bidi="en-US"/>
                      </w:rPr>
                      <m:t>branch</m:t>
                    </m:r>
                  </m:sup>
                </m:sSubSup>
              </m:sub>
              <m:sup/>
              <m:e>
                <m:sSubSup>
                  <m:sSubSupPr>
                    <m:ctrlPr>
                      <w:rPr>
                        <w:rFonts w:ascii="Cambria Math" w:hAnsi="Cambria Math" w:cs="Minion Pro"/>
                        <w:snapToGrid w:val="0"/>
                        <w:sz w:val="22"/>
                        <w:szCs w:val="22"/>
                        <w:lang w:bidi="en-US"/>
                      </w:rPr>
                    </m:ctrlPr>
                  </m:sSubSupPr>
                  <m:e>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L</m:t>
                        </m:r>
                      </m:e>
                      <m:sub>
                        <m:r>
                          <m:rPr>
                            <m:sty m:val="p"/>
                          </m:rPr>
                          <w:rPr>
                            <w:rFonts w:ascii="Cambria Math" w:hAnsi="Cambria Math" w:cs="Minion Pro"/>
                            <w:snapToGrid w:val="0"/>
                            <w:sz w:val="22"/>
                            <w:szCs w:val="22"/>
                            <w:lang w:bidi="en-US"/>
                          </w:rPr>
                          <m:t>f</m:t>
                        </m:r>
                      </m:sub>
                    </m:sSub>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f</m:t>
                    </m:r>
                  </m:sub>
                  <m:sup>
                    <m:r>
                      <m:rPr>
                        <m:sty m:val="p"/>
                      </m:rPr>
                      <w:rPr>
                        <w:rFonts w:ascii="Cambria Math" w:hAnsi="Cambria Math" w:cs="Minion Pro"/>
                        <w:snapToGrid w:val="0"/>
                        <w:sz w:val="22"/>
                        <w:szCs w:val="22"/>
                        <w:lang w:bidi="en-US"/>
                      </w:rPr>
                      <m:t>Tie</m:t>
                    </m:r>
                  </m:sup>
                </m:sSubSup>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mttr</m:t>
                    </m:r>
                  </m:sub>
                </m:sSub>
                <m:r>
                  <m:rPr>
                    <m:sty m:val="p"/>
                  </m:rPr>
                  <w:rPr>
                    <w:rFonts w:ascii="Cambria Math" w:hAnsi="Cambria Math" w:cs="Minion Pro"/>
                    <w:snapToGrid w:val="0"/>
                    <w:sz w:val="22"/>
                    <w:szCs w:val="22"/>
                    <w:lang w:bidi="en-US"/>
                  </w:rPr>
                  <m:t>+(1-</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f</m:t>
                    </m:r>
                  </m:sub>
                  <m:sup>
                    <m:r>
                      <m:rPr>
                        <m:sty m:val="p"/>
                      </m:rPr>
                      <w:rPr>
                        <w:rFonts w:ascii="Cambria Math" w:hAnsi="Cambria Math" w:cs="Minion Pro"/>
                        <w:snapToGrid w:val="0"/>
                        <w:sz w:val="22"/>
                        <w:szCs w:val="22"/>
                        <w:lang w:bidi="en-US"/>
                      </w:rPr>
                      <m:t>Tie</m:t>
                    </m:r>
                  </m:sup>
                </m:sSubSup>
              </m:e>
            </m:nary>
          </m:e>
        </m:nary>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2</m:t>
            </m:r>
          </m:sub>
        </m:sSub>
        <m:r>
          <m:rPr>
            <m:sty m:val="p"/>
          </m:rPr>
          <w:rPr>
            <w:rFonts w:ascii="Cambria Math" w:hAnsi="Cambria Math" w:cs="Minion Pro"/>
            <w:snapToGrid w:val="0"/>
            <w:sz w:val="22"/>
            <w:szCs w:val="22"/>
            <w:lang w:bidi="en-US"/>
          </w:rPr>
          <m:t>]</m:t>
        </m:r>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(S5)</w:t>
      </w:r>
    </w:p>
    <w:p w14:paraId="59EE44E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2</m:t>
            </m:r>
          </m:sub>
        </m:sSub>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f</m:t>
            </m:r>
          </m:sub>
          <m:sup>
            <m:r>
              <m:rPr>
                <m:sty m:val="p"/>
              </m:rPr>
              <w:rPr>
                <w:rFonts w:ascii="Cambria Math" w:hAnsi="Cambria Math" w:cs="Minion Pro"/>
                <w:snapToGrid w:val="0"/>
                <w:sz w:val="22"/>
                <w:szCs w:val="22"/>
                <w:lang w:bidi="en-US"/>
              </w:rPr>
              <m:t>rej,Ad_branch</m:t>
            </m:r>
          </m:sup>
        </m:sSubSup>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mttr</m:t>
            </m:r>
          </m:sub>
        </m:sSub>
        <m:r>
          <m:rPr>
            <m:sty m:val="p"/>
          </m:rPr>
          <w:rPr>
            <w:rFonts w:ascii="Cambria Math" w:hAnsi="Cambria Math" w:cs="Minion Pro"/>
            <w:snapToGrid w:val="0"/>
            <w:sz w:val="22"/>
            <w:szCs w:val="22"/>
            <w:lang w:bidi="en-US"/>
          </w:rPr>
          <m:t>+(1-</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f</m:t>
            </m:r>
          </m:sub>
          <m:sup>
            <m:r>
              <m:rPr>
                <m:sty m:val="p"/>
              </m:rPr>
              <w:rPr>
                <w:rFonts w:ascii="Cambria Math" w:hAnsi="Cambria Math" w:cs="Minion Pro"/>
                <w:snapToGrid w:val="0"/>
                <w:sz w:val="22"/>
                <w:szCs w:val="22"/>
                <w:lang w:bidi="en-US"/>
              </w:rPr>
              <m:t>rej,Ad_branch</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rst</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(S6)</w:t>
      </w:r>
    </w:p>
    <w:p w14:paraId="24D73022"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i,m</m:t>
            </m:r>
          </m:sub>
          <m:sup>
            <m:r>
              <m:rPr>
                <m:sty m:val="p"/>
              </m:rPr>
              <w:rPr>
                <w:rFonts w:ascii="Cambria Math" w:hAnsi="Cambria Math" w:cs="Minion Pro"/>
                <w:snapToGrid w:val="0"/>
                <w:sz w:val="22"/>
                <w:szCs w:val="22"/>
                <w:lang w:bidi="en-US"/>
              </w:rPr>
              <m:t>rej,Ad_branch</m:t>
            </m:r>
          </m:sup>
        </m:sSubSup>
        <m:r>
          <m:rPr>
            <m:sty m:val="p"/>
          </m:rPr>
          <w:rPr>
            <w:rFonts w:ascii="Cambria Math" w:hAnsi="Cambria Math" w:cs="Minion Pro"/>
            <w:snapToGrid w:val="0"/>
            <w:sz w:val="22"/>
            <w:szCs w:val="22"/>
            <w:lang w:bidi="en-US"/>
          </w:rPr>
          <m:t>=</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n∈</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S</m:t>
                </m:r>
              </m:e>
              <m:sub>
                <m:r>
                  <m:rPr>
                    <m:sty m:val="p"/>
                  </m:rPr>
                  <w:rPr>
                    <w:rFonts w:ascii="Cambria Math" w:hAnsi="Cambria Math" w:cs="Minion Pro"/>
                    <w:snapToGrid w:val="0"/>
                    <w:sz w:val="22"/>
                    <w:szCs w:val="22"/>
                    <w:lang w:bidi="en-US"/>
                  </w:rPr>
                  <m:t>i,m</m:t>
                </m:r>
              </m:sub>
              <m:sup>
                <m:r>
                  <m:rPr>
                    <m:sty m:val="p"/>
                  </m:rPr>
                  <w:rPr>
                    <w:rFonts w:ascii="Cambria Math" w:hAnsi="Cambria Math" w:cs="Minion Pro"/>
                    <w:snapToGrid w:val="0"/>
                    <w:sz w:val="22"/>
                    <w:szCs w:val="22"/>
                    <w:lang w:bidi="en-US"/>
                  </w:rPr>
                  <m:t>Ad_branch</m:t>
                </m:r>
              </m:sup>
            </m:sSubSup>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n</m:t>
                </m:r>
              </m:sub>
              <m:sup>
                <m:r>
                  <m:rPr>
                    <m:sty m:val="p"/>
                  </m:rPr>
                  <w:rPr>
                    <w:rFonts w:ascii="Cambria Math" w:hAnsi="Cambria Math" w:cs="Minion Pro"/>
                    <w:snapToGrid w:val="0"/>
                    <w:sz w:val="22"/>
                    <w:szCs w:val="22"/>
                    <w:lang w:bidi="en-US"/>
                  </w:rPr>
                  <m:t>rej</m:t>
                </m:r>
              </m:sup>
            </m:sSubSup>
          </m:e>
        </m:nary>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(S7)</w:t>
      </w:r>
    </w:p>
    <w:p w14:paraId="6E5E61B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f</m:t>
            </m:r>
          </m:sub>
          <m:sup>
            <m:r>
              <m:rPr>
                <m:sty m:val="p"/>
              </m:rPr>
              <w:rPr>
                <w:rFonts w:ascii="Cambria Math" w:hAnsi="Cambria Math" w:cs="Minion Pro"/>
                <w:snapToGrid w:val="0"/>
                <w:sz w:val="22"/>
                <w:szCs w:val="22"/>
                <w:lang w:bidi="en-US"/>
              </w:rPr>
              <m:t>rej,branch</m:t>
            </m:r>
          </m:sup>
        </m:sSubSup>
        <m:r>
          <m:rPr>
            <m:sty m:val="p"/>
          </m:rPr>
          <w:rPr>
            <w:rFonts w:ascii="Cambria Math" w:hAnsi="Cambria Math" w:cs="Minion Pro"/>
            <w:snapToGrid w:val="0"/>
            <w:sz w:val="22"/>
            <w:szCs w:val="22"/>
            <w:lang w:bidi="en-US"/>
          </w:rPr>
          <m:t>=</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l∈</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S</m:t>
                </m:r>
              </m:e>
              <m:sub>
                <m:r>
                  <m:rPr>
                    <m:sty m:val="p"/>
                  </m:rPr>
                  <w:rPr>
                    <w:rFonts w:ascii="Cambria Math" w:hAnsi="Cambria Math" w:cs="Minion Pro"/>
                    <w:snapToGrid w:val="0"/>
                    <w:sz w:val="22"/>
                    <w:szCs w:val="22"/>
                    <w:lang w:bidi="en-US"/>
                  </w:rPr>
                  <m:t>f</m:t>
                </m:r>
              </m:sub>
              <m:sup>
                <m:r>
                  <m:rPr>
                    <m:sty m:val="p"/>
                  </m:rPr>
                  <w:rPr>
                    <w:rFonts w:ascii="Cambria Math" w:hAnsi="Cambria Math" w:cs="Minion Pro"/>
                    <w:snapToGrid w:val="0"/>
                    <w:sz w:val="22"/>
                    <w:szCs w:val="22"/>
                    <w:lang w:bidi="en-US"/>
                  </w:rPr>
                  <m:t>Branch</m:t>
                </m:r>
              </m:sup>
            </m:sSubSup>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l</m:t>
                </m:r>
              </m:sub>
              <m:sup>
                <m:r>
                  <m:rPr>
                    <m:sty m:val="p"/>
                  </m:rPr>
                  <w:rPr>
                    <w:rFonts w:ascii="Cambria Math" w:hAnsi="Cambria Math" w:cs="Minion Pro"/>
                    <w:snapToGrid w:val="0"/>
                    <w:sz w:val="22"/>
                    <w:szCs w:val="22"/>
                    <w:lang w:bidi="en-US"/>
                  </w:rPr>
                  <m:t>rej</m:t>
                </m:r>
              </m:sup>
            </m:sSubSup>
          </m:e>
        </m:nary>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(S8)</w:t>
      </w:r>
    </w:p>
    <w:p w14:paraId="35D88440"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In the formula:</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R</m:t>
            </m:r>
          </m:e>
          <m:sub>
            <m:r>
              <m:rPr>
                <m:sty m:val="p"/>
              </m:rPr>
              <w:rPr>
                <w:rFonts w:ascii="Cambria Math" w:eastAsia="Times New Roman" w:hAnsi="Cambria Math" w:cs="Minion Pro"/>
                <w:snapToGrid w:val="0"/>
                <w:sz w:val="22"/>
                <w:szCs w:val="22"/>
                <w:lang w:bidi="en-US"/>
              </w:rPr>
              <m:t>i</m:t>
            </m:r>
          </m:sub>
          <m:sup>
            <m:r>
              <m:rPr>
                <m:sty m:val="p"/>
              </m:rPr>
              <w:rPr>
                <w:rFonts w:ascii="Cambria Math" w:eastAsia="Times New Roman" w:hAnsi="Cambria Math" w:cs="Minion Pro"/>
                <w:snapToGrid w:val="0"/>
                <w:sz w:val="22"/>
                <w:szCs w:val="22"/>
                <w:lang w:bidi="en-US"/>
              </w:rPr>
              <m:t>Ad,rej</m:t>
            </m:r>
          </m:sup>
        </m:sSubSup>
      </m:oMath>
      <w:r w:rsidRPr="00463734">
        <w:rPr>
          <w:rFonts w:ascii="Minion Pro" w:eastAsia="Times New Roman" w:hAnsi="Minion Pro" w:cs="Minion Pro"/>
          <w:snapToGrid w:val="0"/>
          <w:sz w:val="22"/>
          <w:szCs w:val="22"/>
          <w:lang w:bidi="en-US"/>
        </w:rPr>
        <w:t xml:space="preserve">represents the impact on the adjacent power supply area caused by the failure of the i-th feeder line in the event of an information attack.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B</m:t>
            </m:r>
          </m:e>
          <m:sub>
            <m:r>
              <m:rPr>
                <m:sty m:val="p"/>
              </m:rPr>
              <w:rPr>
                <w:rFonts w:ascii="Cambria Math" w:eastAsia="Times New Roman" w:hAnsi="Cambria Math" w:cs="Minion Pro"/>
                <w:snapToGrid w:val="0"/>
                <w:sz w:val="22"/>
                <w:szCs w:val="22"/>
                <w:lang w:bidi="en-US"/>
              </w:rPr>
              <m:t>i</m:t>
            </m:r>
          </m:sub>
          <m:sup>
            <m:r>
              <m:rPr>
                <m:sty m:val="p"/>
              </m:rPr>
              <w:rPr>
                <w:rFonts w:ascii="Cambria Math" w:eastAsia="Times New Roman" w:hAnsi="Cambria Math" w:cs="Minion Pro"/>
                <w:snapToGrid w:val="0"/>
                <w:sz w:val="22"/>
                <w:szCs w:val="22"/>
                <w:lang w:bidi="en-US"/>
              </w:rPr>
              <m:t>Ad</m:t>
            </m:r>
          </m:sup>
        </m:sSubSup>
      </m:oMath>
      <w:r w:rsidRPr="00463734">
        <w:rPr>
          <w:rFonts w:ascii="Minion Pro" w:eastAsia="Times New Roman" w:hAnsi="Minion Pro" w:cs="Minion Pro"/>
          <w:snapToGrid w:val="0"/>
          <w:sz w:val="22"/>
          <w:szCs w:val="22"/>
          <w:lang w:bidi="en-US"/>
        </w:rPr>
        <w:t>represents the set of adjacent feeder lines for the i-th feeder line.</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i,m</m:t>
            </m:r>
          </m:sub>
          <m:sup>
            <m:r>
              <m:rPr>
                <m:sty m:val="p"/>
              </m:rPr>
              <w:rPr>
                <w:rFonts w:ascii="Cambria Math" w:eastAsia="Times New Roman" w:hAnsi="Cambria Math" w:cs="Minion Pro"/>
                <w:snapToGrid w:val="0"/>
                <w:sz w:val="22"/>
                <w:szCs w:val="22"/>
                <w:lang w:bidi="en-US"/>
              </w:rPr>
              <m:t>rej,Ad_branch</m:t>
            </m:r>
          </m:sup>
        </m:sSubSup>
      </m:oMath>
      <w:r w:rsidRPr="00463734">
        <w:rPr>
          <w:rFonts w:ascii="Minion Pro" w:eastAsia="Times New Roman" w:hAnsi="Minion Pro" w:cs="Minion Pro"/>
          <w:snapToGrid w:val="0"/>
          <w:sz w:val="22"/>
          <w:szCs w:val="22"/>
          <w:lang w:bidi="en-US"/>
        </w:rPr>
        <w:t xml:space="preserve">represents the probability that all switches within the branch range of the adjacent feeder m, which is connected to the i-th feeder, will fail to operate due to an attack.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C</m:t>
            </m:r>
          </m:e>
          <m:sub>
            <m:r>
              <m:rPr>
                <m:sty m:val="p"/>
              </m:rPr>
              <w:rPr>
                <w:rFonts w:ascii="Cambria Math" w:eastAsia="Times New Roman" w:hAnsi="Cambria Math" w:cs="Minion Pro"/>
                <w:snapToGrid w:val="0"/>
                <w:sz w:val="22"/>
                <w:szCs w:val="22"/>
                <w:lang w:bidi="en-US"/>
              </w:rPr>
              <m:t>m</m:t>
            </m:r>
          </m:sub>
          <m:sup>
            <m:r>
              <m:rPr>
                <m:sty m:val="p"/>
              </m:rPr>
              <w:rPr>
                <w:rFonts w:ascii="Cambria Math" w:eastAsia="Times New Roman" w:hAnsi="Cambria Math" w:cs="Minion Pro"/>
                <w:snapToGrid w:val="0"/>
                <w:sz w:val="22"/>
                <w:szCs w:val="22"/>
                <w:lang w:bidi="en-US"/>
              </w:rPr>
              <m:t>branch</m:t>
            </m:r>
          </m:sup>
        </m:sSubSup>
      </m:oMath>
      <w:r w:rsidRPr="00463734">
        <w:rPr>
          <w:rFonts w:ascii="Minion Pro" w:eastAsia="Times New Roman" w:hAnsi="Minion Pro" w:cs="Minion Pro"/>
          <w:snapToGrid w:val="0"/>
          <w:sz w:val="22"/>
          <w:szCs w:val="22"/>
          <w:lang w:bidi="en-US"/>
        </w:rPr>
        <w:t xml:space="preserve"> is the set of all feeder segments on the adjacent feeder m.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S</m:t>
            </m:r>
          </m:e>
          <m:sub>
            <m:r>
              <m:rPr>
                <m:sty m:val="p"/>
              </m:rPr>
              <w:rPr>
                <w:rFonts w:ascii="Cambria Math" w:eastAsia="Times New Roman" w:hAnsi="Cambria Math" w:cs="Minion Pro"/>
                <w:snapToGrid w:val="0"/>
                <w:sz w:val="22"/>
                <w:szCs w:val="22"/>
                <w:lang w:bidi="en-US"/>
              </w:rPr>
              <m:t>i,m</m:t>
            </m:r>
          </m:sub>
          <m:sup>
            <m:r>
              <m:rPr>
                <m:sty m:val="p"/>
              </m:rPr>
              <w:rPr>
                <w:rFonts w:ascii="Cambria Math" w:eastAsia="Times New Roman" w:hAnsi="Cambria Math" w:cs="Minion Pro"/>
                <w:snapToGrid w:val="0"/>
                <w:sz w:val="22"/>
                <w:szCs w:val="22"/>
                <w:lang w:bidi="en-US"/>
              </w:rPr>
              <m:t>Ad_branch</m:t>
            </m:r>
          </m:sup>
        </m:sSubSup>
      </m:oMath>
      <w:r w:rsidRPr="00463734">
        <w:rPr>
          <w:rFonts w:ascii="Minion Pro" w:eastAsia="Times New Roman" w:hAnsi="Minion Pro" w:cs="Minion Pro"/>
          <w:snapToGrid w:val="0"/>
          <w:sz w:val="22"/>
          <w:szCs w:val="22"/>
          <w:lang w:bidi="en-US"/>
        </w:rPr>
        <w:t xml:space="preserve"> is the set of terminal devices corresponding to all switches within the branch range of the adjacent feeder m from the feeder of the i-th section.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f</m:t>
            </m:r>
          </m:sub>
          <m:sup>
            <m:r>
              <m:rPr>
                <m:sty m:val="p"/>
              </m:rPr>
              <w:rPr>
                <w:rFonts w:ascii="Cambria Math" w:eastAsia="Times New Roman" w:hAnsi="Cambria Math" w:cs="Minion Pro"/>
                <w:snapToGrid w:val="0"/>
                <w:sz w:val="22"/>
                <w:szCs w:val="22"/>
                <w:lang w:bidi="en-US"/>
              </w:rPr>
              <m:t>rej,branch</m:t>
            </m:r>
          </m:sup>
        </m:sSubSup>
      </m:oMath>
      <w:r w:rsidRPr="00463734">
        <w:rPr>
          <w:rFonts w:ascii="Minion Pro" w:eastAsia="Times New Roman" w:hAnsi="Minion Pro" w:cs="Minion Pro"/>
          <w:snapToGrid w:val="0"/>
          <w:sz w:val="22"/>
          <w:szCs w:val="22"/>
          <w:lang w:bidi="en-US"/>
        </w:rPr>
        <w:t>rep</w:t>
      </w:r>
      <w:r w:rsidRPr="00463734">
        <w:rPr>
          <w:rFonts w:ascii="Minion Pro" w:eastAsia="Times New Roman" w:hAnsi="Minion Pro" w:cs="Minion Pro"/>
          <w:snapToGrid w:val="0"/>
          <w:sz w:val="22"/>
          <w:szCs w:val="22"/>
          <w:lang w:bidi="en-US"/>
        </w:rPr>
        <w:lastRenderedPageBreak/>
        <w:t xml:space="preserve">resents the probability that all the switches upstream of feeder f on the feeder branch are blocked due to an attack.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S</m:t>
            </m:r>
          </m:e>
          <m:sub>
            <m:r>
              <m:rPr>
                <m:sty m:val="p"/>
              </m:rPr>
              <w:rPr>
                <w:rFonts w:ascii="Cambria Math" w:eastAsia="Times New Roman" w:hAnsi="Cambria Math" w:cs="Minion Pro"/>
                <w:snapToGrid w:val="0"/>
                <w:sz w:val="22"/>
                <w:szCs w:val="22"/>
                <w:lang w:bidi="en-US"/>
              </w:rPr>
              <m:t>f</m:t>
            </m:r>
          </m:sub>
          <m:sup>
            <m:r>
              <m:rPr>
                <m:sty m:val="p"/>
              </m:rPr>
              <w:rPr>
                <w:rFonts w:ascii="Cambria Math" w:eastAsia="Times New Roman" w:hAnsi="Cambria Math" w:cs="Minion Pro"/>
                <w:snapToGrid w:val="0"/>
                <w:sz w:val="22"/>
                <w:szCs w:val="22"/>
                <w:lang w:bidi="en-US"/>
              </w:rPr>
              <m:t>Branch</m:t>
            </m:r>
          </m:sup>
        </m:sSubSup>
      </m:oMath>
      <w:r w:rsidRPr="00463734">
        <w:rPr>
          <w:rFonts w:ascii="Minion Pro" w:eastAsia="Times New Roman" w:hAnsi="Minion Pro" w:cs="Minion Pro"/>
          <w:snapToGrid w:val="0"/>
          <w:sz w:val="22"/>
          <w:szCs w:val="22"/>
          <w:lang w:bidi="en-US"/>
        </w:rPr>
        <w:t xml:space="preserve"> represents the set of terminal devices corresponding to all switches upstream of the feeder f on the feeder branch. In Figure </w:t>
      </w:r>
      <w:r w:rsidRPr="00463734">
        <w:rPr>
          <w:rFonts w:ascii="Minion Pro" w:hAnsi="Minion Pro" w:cs="Minion Pro" w:hint="eastAsia"/>
          <w:snapToGrid w:val="0"/>
          <w:sz w:val="22"/>
          <w:szCs w:val="22"/>
          <w:lang w:bidi="en-US"/>
        </w:rPr>
        <w:t>S6</w:t>
      </w:r>
      <w:r w:rsidRPr="00463734">
        <w:rPr>
          <w:rFonts w:ascii="Minion Pro" w:eastAsia="Times New Roman" w:hAnsi="Minion Pro" w:cs="Minion Pro"/>
          <w:snapToGrid w:val="0"/>
          <w:sz w:val="22"/>
          <w:szCs w:val="22"/>
          <w:lang w:bidi="en-US"/>
        </w:rPr>
        <w:t xml:space="preserve">, if we analyze the impact of the failure of B4 on B9, then the elements in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S</m:t>
            </m:r>
          </m:e>
          <m:sub>
            <m:r>
              <m:rPr>
                <m:sty m:val="p"/>
              </m:rPr>
              <w:rPr>
                <w:rFonts w:ascii="Cambria Math" w:eastAsia="Times New Roman" w:hAnsi="Cambria Math" w:cs="Minion Pro"/>
                <w:snapToGrid w:val="0"/>
                <w:sz w:val="22"/>
                <w:szCs w:val="22"/>
                <w:lang w:bidi="en-US"/>
              </w:rPr>
              <m:t>B9</m:t>
            </m:r>
          </m:sub>
          <m:sup>
            <m:r>
              <m:rPr>
                <m:sty m:val="p"/>
              </m:rPr>
              <w:rPr>
                <w:rFonts w:ascii="Cambria Math" w:eastAsia="Times New Roman" w:hAnsi="Cambria Math" w:cs="Minion Pro"/>
                <w:snapToGrid w:val="0"/>
                <w:sz w:val="22"/>
                <w:szCs w:val="22"/>
                <w:lang w:bidi="en-US"/>
              </w:rPr>
              <m:t>Branch</m:t>
            </m:r>
          </m:sup>
        </m:sSubSup>
      </m:oMath>
      <w:r w:rsidRPr="00463734">
        <w:rPr>
          <w:rFonts w:ascii="Minion Pro" w:eastAsia="Times New Roman" w:hAnsi="Minion Pro" w:cs="Minion Pro"/>
          <w:snapToGrid w:val="0"/>
          <w:sz w:val="22"/>
          <w:szCs w:val="22"/>
          <w:lang w:bidi="en-US"/>
        </w:rPr>
        <w:t xml:space="preserve"> include R7 and R8.</w:t>
      </w:r>
    </w:p>
    <w:p w14:paraId="4E565701" w14:textId="77777777" w:rsidR="00055865" w:rsidRPr="00463734" w:rsidRDefault="00000000">
      <w:pPr>
        <w:adjustRightInd w:val="0"/>
        <w:snapToGrid w:val="0"/>
        <w:spacing w:after="60" w:line="240" w:lineRule="atLeast"/>
        <w:ind w:firstLine="425"/>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In summary, the risk of the distribution network under the attack of availability can be expressed as:</w:t>
      </w:r>
    </w:p>
    <w:p w14:paraId="61548D57"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rej</m:t>
            </m:r>
          </m:sup>
        </m:sSup>
        <m:r>
          <m:rPr>
            <m:sty m:val="p"/>
          </m:rPr>
          <w:rPr>
            <w:rFonts w:ascii="Cambria Math" w:hAnsi="Cambria Math" w:cs="Minion Pro"/>
            <w:snapToGrid w:val="0"/>
            <w:sz w:val="22"/>
            <w:szCs w:val="22"/>
            <w:lang w:bidi="en-US"/>
          </w:rPr>
          <m:t>=</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i∈B</m:t>
            </m:r>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Down,rej</m:t>
                </m:r>
              </m:sup>
            </m:sSubSup>
          </m:e>
        </m:nary>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Up,rej</m:t>
            </m:r>
          </m:sup>
        </m:sSubSup>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Ad,rej</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L</m:t>
            </m:r>
          </m:e>
          <m:sub>
            <m:r>
              <m:rPr>
                <m:sty m:val="p"/>
              </m:rPr>
              <w:rPr>
                <w:rFonts w:ascii="Cambria Math" w:hAnsi="Cambria Math" w:cs="Minion Pro"/>
                <w:snapToGrid w:val="0"/>
                <w:sz w:val="22"/>
                <w:szCs w:val="22"/>
                <w:lang w:bidi="en-US"/>
              </w:rPr>
              <m:t>i</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(S9)</w:t>
      </w:r>
    </w:p>
    <w:p w14:paraId="03BF237E"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In the formula: B represents the set of all feeder segments.</w:t>
      </w:r>
    </w:p>
    <w:p w14:paraId="56C146EE" w14:textId="77777777" w:rsidR="00055865" w:rsidRPr="00463734" w:rsidRDefault="00000000">
      <w:pPr>
        <w:pStyle w:val="TSP21heading1"/>
        <w:tabs>
          <w:tab w:val="left" w:pos="0"/>
          <w:tab w:val="left" w:pos="420"/>
        </w:tabs>
        <w:jc w:val="both"/>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1.2.2 </w:t>
      </w:r>
      <w:r w:rsidRPr="00463734">
        <w:rPr>
          <w:rFonts w:cs="Minion Pro"/>
          <w:b w:val="0"/>
          <w:bCs/>
          <w:i/>
          <w:iCs/>
          <w:color w:val="auto"/>
          <w:lang w:eastAsia="zh-CN"/>
        </w:rPr>
        <w:t>The Impact of Integrity Attacks on the Distribution Network</w:t>
      </w:r>
    </w:p>
    <w:p w14:paraId="4FCAEE1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Integrity attacks on terminal devices can cause unexpected actions of the associated switches. Such malfunctions not only interrupt the power supply of the distribution network in normal operation, but also may block the normal transfer paths during faults, thereby exacerbating the power outage area of the fault. When integrity attacks cause the switches controlled by the RTU to malfunction, regardless of the operating condition of the downstream lines, the downstream feeder will lose power due to the interruption of connection with the upper power source point. For example, an attack on R4 can cause the tie switch S4 of R4 to jump out of sequence, resulting in the downstream feeder area losing power regardless of the initial state, as shown in </w:t>
      </w:r>
      <w:r w:rsidRPr="00463734">
        <w:rPr>
          <w:rFonts w:eastAsia="宋体" w:cs="Minion Pro" w:hint="eastAsia"/>
          <w:bCs/>
          <w:color w:val="auto"/>
          <w:lang w:eastAsia="zh-CN"/>
        </w:rPr>
        <w:t>Figure S7</w:t>
      </w:r>
      <w:r w:rsidRPr="00463734">
        <w:rPr>
          <w:rFonts w:eastAsia="宋体" w:cs="Minion Pro"/>
          <w:bCs/>
          <w:color w:val="auto"/>
          <w:lang w:eastAsia="zh-CN"/>
        </w:rPr>
        <w:t>.</w:t>
      </w:r>
    </w:p>
    <w:p w14:paraId="371D4CE3"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22"/>
          <w:szCs w:val="22"/>
          <w:lang w:bidi="en-US"/>
        </w:rPr>
      </w:pPr>
      <w:r w:rsidRPr="00463734">
        <w:rPr>
          <w:rFonts w:ascii="Minion Pro" w:eastAsia="Times New Roman" w:hAnsi="Minion Pro" w:cs="Minion Pro"/>
          <w:noProof/>
          <w:snapToGrid w:val="0"/>
          <w:sz w:val="22"/>
          <w:szCs w:val="22"/>
          <w:lang w:bidi="en-US"/>
        </w:rPr>
        <w:drawing>
          <wp:inline distT="0" distB="0" distL="114300" distR="114300" wp14:anchorId="3EACADD1" wp14:editId="01950B23">
            <wp:extent cx="3959860" cy="1829435"/>
            <wp:effectExtent l="0" t="0" r="2540" b="12065"/>
            <wp:docPr id="68"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2"/>
                    <pic:cNvPicPr>
                      <a:picLocks noChangeAspect="1"/>
                    </pic:cNvPicPr>
                  </pic:nvPicPr>
                  <pic:blipFill>
                    <a:blip r:embed="rId37"/>
                    <a:stretch>
                      <a:fillRect/>
                    </a:stretch>
                  </pic:blipFill>
                  <pic:spPr>
                    <a:xfrm>
                      <a:off x="0" y="0"/>
                      <a:ext cx="3959860" cy="1829435"/>
                    </a:xfrm>
                    <a:prstGeom prst="rect">
                      <a:avLst/>
                    </a:prstGeom>
                    <a:noFill/>
                    <a:ln>
                      <a:noFill/>
                    </a:ln>
                  </pic:spPr>
                </pic:pic>
              </a:graphicData>
            </a:graphic>
          </wp:inline>
        </w:drawing>
      </w:r>
    </w:p>
    <w:p w14:paraId="7A1B7A73" w14:textId="77777777" w:rsidR="00055865" w:rsidRPr="00463734" w:rsidRDefault="00000000">
      <w:pPr>
        <w:pStyle w:val="figurecaption"/>
        <w:numPr>
          <w:ilvl w:val="0"/>
          <w:numId w:val="5"/>
        </w:numPr>
        <w:adjustRightInd w:val="0"/>
        <w:snapToGrid w:val="0"/>
        <w:spacing w:after="60"/>
        <w:jc w:val="center"/>
        <w:rPr>
          <w:rFonts w:ascii="Minion Pro" w:hAnsi="Minion Pro" w:cs="Minion Pro"/>
          <w:lang w:bidi="en-US"/>
        </w:rPr>
      </w:pPr>
      <w:r w:rsidRPr="00463734">
        <w:rPr>
          <w:rFonts w:ascii="Minion Pro" w:hAnsi="Minion Pro" w:cs="Minion Pro"/>
          <w:lang w:bidi="en-US"/>
        </w:rPr>
        <w:t>Impact of integrity attacks on downstream feeder areas</w:t>
      </w:r>
    </w:p>
    <w:p w14:paraId="0B3593C1"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impact of integrity attacks on the downstream feeder area of the attacked device terminal can be expressed as:</w:t>
      </w:r>
    </w:p>
    <w:p w14:paraId="2171FDE6" w14:textId="77777777" w:rsidR="00055865" w:rsidRPr="00463734" w:rsidRDefault="00000000">
      <w:pPr>
        <w:tabs>
          <w:tab w:val="center" w:pos="4200"/>
          <w:tab w:val="right" w:pos="8295"/>
        </w:tabs>
        <w:adjustRightInd w:val="0"/>
        <w:snapToGrid w:val="0"/>
        <w:spacing w:after="60" w:line="240" w:lineRule="atLeast"/>
        <w:ind w:firstLine="420"/>
        <w:textAlignment w:val="center"/>
        <w:rPr>
          <w:rFonts w:ascii="Minion Pro" w:hAnsi="Minion Pro" w:cs="Minion Pro"/>
          <w:snapToGrid w:val="0"/>
          <w:sz w:val="22"/>
          <w:szCs w:val="22"/>
          <w:lang w:bidi="en-US"/>
        </w:rPr>
      </w:pPr>
      <w:r w:rsidRPr="00463734">
        <w:rPr>
          <w:rFonts w:ascii="Minion Pro" w:eastAsia="Times New Roman" w:hAnsi="Minion Pro" w:cs="Minion Pro"/>
          <w:snapToGrid w:val="0"/>
          <w:position w:val="-34"/>
          <w:sz w:val="22"/>
          <w:szCs w:val="22"/>
          <w:lang w:bidi="en-US"/>
        </w:rPr>
        <w:tab/>
      </w:r>
      <w:r w:rsidRPr="00463734">
        <w:rPr>
          <w:rFonts w:ascii="Minion Pro" w:eastAsia="Times New Roman" w:hAnsi="Minion Pro" w:cs="Minion Pro"/>
          <w:snapToGrid w:val="0"/>
          <w:position w:val="-34"/>
          <w:sz w:val="22"/>
          <w:szCs w:val="22"/>
          <w:lang w:bidi="en-US"/>
        </w:rPr>
        <w:object w:dxaOrig="3345" w:dyaOrig="600" w14:anchorId="38CD9EDC">
          <v:shape id="_x0000_i1038" type="#_x0000_t75" style="width:167.25pt;height:30pt" o:ole="">
            <v:imagedata r:id="rId38" o:title=""/>
          </v:shape>
          <o:OLEObject Type="Embed" ProgID="Equation.3" ShapeID="_x0000_i1038" DrawAspect="Content" ObjectID="_1826958702" r:id="rId39"/>
        </w:object>
      </w:r>
      <w:r w:rsidRPr="00463734">
        <w:rPr>
          <w:rFonts w:ascii="Minion Pro" w:eastAsia="Times New Roman" w:hAnsi="Minion Pro" w:cs="Minion Pro"/>
          <w:snapToGrid w:val="0"/>
          <w:position w:val="-34"/>
          <w:sz w:val="22"/>
          <w:szCs w:val="22"/>
          <w:lang w:bidi="en-US"/>
        </w:rPr>
        <w:tab/>
      </w:r>
      <w:r w:rsidRPr="00463734">
        <w:rPr>
          <w:rFonts w:ascii="Minion Pro" w:hAnsi="Minion Pro" w:cs="Minion Pro" w:hint="eastAsia"/>
          <w:snapToGrid w:val="0"/>
          <w:position w:val="-34"/>
          <w:sz w:val="22"/>
          <w:szCs w:val="22"/>
          <w:lang w:bidi="en-US"/>
        </w:rPr>
        <w:t>(S10)</w:t>
      </w:r>
    </w:p>
    <w:p w14:paraId="2D262F88" w14:textId="77777777" w:rsidR="00055865" w:rsidRPr="00463734" w:rsidRDefault="00000000">
      <w:pPr>
        <w:tabs>
          <w:tab w:val="center" w:pos="4200"/>
          <w:tab w:val="right" w:pos="8295"/>
        </w:tabs>
        <w:adjustRightInd w:val="0"/>
        <w:snapToGrid w:val="0"/>
        <w:spacing w:after="60" w:line="240" w:lineRule="atLeast"/>
        <w:ind w:firstLine="420"/>
        <w:textAlignment w:val="center"/>
        <w:rPr>
          <w:rFonts w:ascii="Minion Pro" w:hAnsi="Minion Pro" w:cs="Minion Pro"/>
          <w:snapToGrid w:val="0"/>
          <w:position w:val="-34"/>
          <w:sz w:val="22"/>
          <w:szCs w:val="22"/>
          <w:lang w:bidi="en-US"/>
        </w:rPr>
      </w:pPr>
      <w:r w:rsidRPr="00463734">
        <w:rPr>
          <w:rFonts w:ascii="Minion Pro" w:eastAsia="Times New Roman" w:hAnsi="Minion Pro" w:cs="Minion Pro"/>
          <w:snapToGrid w:val="0"/>
          <w:position w:val="-34"/>
          <w:sz w:val="22"/>
          <w:szCs w:val="22"/>
          <w:lang w:bidi="en-US"/>
        </w:rPr>
        <w:tab/>
      </w:r>
      <w:r w:rsidRPr="00463734">
        <w:rPr>
          <w:rFonts w:ascii="Minion Pro" w:eastAsia="Times New Roman" w:hAnsi="Minion Pro" w:cs="Minion Pro"/>
          <w:snapToGrid w:val="0"/>
          <w:position w:val="-36"/>
          <w:sz w:val="22"/>
          <w:szCs w:val="22"/>
          <w:lang w:bidi="en-US"/>
        </w:rPr>
        <w:object w:dxaOrig="2250" w:dyaOrig="750" w14:anchorId="5D5851E4">
          <v:shape id="_x0000_i1039" type="#_x0000_t75" style="width:112.5pt;height:37.5pt" o:ole="">
            <v:imagedata r:id="rId40" o:title=""/>
          </v:shape>
          <o:OLEObject Type="Embed" ProgID="Equation.3" ShapeID="_x0000_i1039" DrawAspect="Content" ObjectID="_1826958703" r:id="rId41"/>
        </w:object>
      </w:r>
      <w:r w:rsidRPr="00463734">
        <w:rPr>
          <w:rFonts w:ascii="Minion Pro" w:eastAsia="Times New Roman" w:hAnsi="Minion Pro" w:cs="Minion Pro"/>
          <w:snapToGrid w:val="0"/>
          <w:position w:val="-34"/>
          <w:sz w:val="22"/>
          <w:szCs w:val="22"/>
          <w:lang w:bidi="en-US"/>
        </w:rPr>
        <w:tab/>
      </w:r>
      <w:r w:rsidRPr="00463734">
        <w:rPr>
          <w:rFonts w:ascii="Minion Pro" w:hAnsi="Minion Pro" w:cs="Minion Pro" w:hint="eastAsia"/>
          <w:snapToGrid w:val="0"/>
          <w:position w:val="-34"/>
          <w:sz w:val="22"/>
          <w:szCs w:val="22"/>
          <w:lang w:bidi="en-US"/>
        </w:rPr>
        <w:t>(S11)</w:t>
      </w:r>
    </w:p>
    <w:p w14:paraId="2CFA391E" w14:textId="77777777" w:rsidR="00055865" w:rsidRPr="00463734" w:rsidRDefault="00000000">
      <w:pPr>
        <w:tabs>
          <w:tab w:val="center" w:pos="4200"/>
          <w:tab w:val="right" w:pos="8295"/>
        </w:tabs>
        <w:adjustRightInd w:val="0"/>
        <w:snapToGrid w:val="0"/>
        <w:spacing w:after="60" w:line="240" w:lineRule="atLeast"/>
        <w:ind w:firstLine="420"/>
        <w:textAlignment w:val="center"/>
        <w:rPr>
          <w:rFonts w:ascii="Minion Pro" w:hAnsi="Minion Pro" w:cs="Minion Pro"/>
          <w:snapToGrid w:val="0"/>
          <w:position w:val="-34"/>
          <w:sz w:val="22"/>
          <w:szCs w:val="22"/>
          <w:lang w:bidi="en-US"/>
        </w:rPr>
      </w:pPr>
      <w:r w:rsidRPr="00463734">
        <w:rPr>
          <w:rFonts w:ascii="Minion Pro" w:eastAsia="Times New Roman" w:hAnsi="Minion Pro" w:cs="Minion Pro"/>
          <w:snapToGrid w:val="0"/>
          <w:position w:val="-34"/>
          <w:sz w:val="22"/>
          <w:szCs w:val="22"/>
          <w:lang w:bidi="en-US"/>
        </w:rPr>
        <w:tab/>
      </w:r>
      <w:r w:rsidRPr="00463734">
        <w:rPr>
          <w:rFonts w:ascii="Minion Pro" w:eastAsia="Times New Roman" w:hAnsi="Minion Pro" w:cs="Minion Pro"/>
          <w:snapToGrid w:val="0"/>
          <w:position w:val="-32"/>
          <w:sz w:val="22"/>
          <w:szCs w:val="22"/>
          <w:lang w:bidi="en-US"/>
        </w:rPr>
        <w:object w:dxaOrig="2925" w:dyaOrig="690" w14:anchorId="446FC39D">
          <v:shape id="_x0000_i1040" type="#_x0000_t75" style="width:146.25pt;height:34.5pt" o:ole="">
            <v:imagedata r:id="rId42" o:title=""/>
          </v:shape>
          <o:OLEObject Type="Embed" ProgID="Equation.3" ShapeID="_x0000_i1040" DrawAspect="Content" ObjectID="_1826958704" r:id="rId43"/>
        </w:object>
      </w:r>
      <w:r w:rsidRPr="00463734">
        <w:rPr>
          <w:rFonts w:ascii="Minion Pro" w:eastAsia="Times New Roman" w:hAnsi="Minion Pro" w:cs="Minion Pro"/>
          <w:snapToGrid w:val="0"/>
          <w:position w:val="-34"/>
          <w:sz w:val="22"/>
          <w:szCs w:val="22"/>
          <w:lang w:bidi="en-US"/>
        </w:rPr>
        <w:tab/>
      </w:r>
      <w:r w:rsidRPr="00463734">
        <w:rPr>
          <w:rFonts w:ascii="Minion Pro" w:hAnsi="Minion Pro" w:cs="Minion Pro" w:hint="eastAsia"/>
          <w:snapToGrid w:val="0"/>
          <w:position w:val="-34"/>
          <w:sz w:val="22"/>
          <w:szCs w:val="22"/>
          <w:lang w:bidi="en-US"/>
        </w:rPr>
        <w:t>(S12)</w:t>
      </w:r>
    </w:p>
    <w:p w14:paraId="166DFD08"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w:r w:rsidRPr="00463734">
        <w:rPr>
          <w:rFonts w:ascii="Minion Pro" w:eastAsia="Times New Roman" w:hAnsi="Minion Pro" w:cs="Minion Pro"/>
          <w:snapToGrid w:val="0"/>
          <w:position w:val="-14"/>
          <w:sz w:val="22"/>
          <w:szCs w:val="22"/>
          <w:lang w:bidi="en-US"/>
        </w:rPr>
        <w:object w:dxaOrig="840" w:dyaOrig="405" w14:anchorId="78F61DD2">
          <v:shape id="_x0000_i1041" type="#_x0000_t75" style="width:42pt;height:20.25pt" o:ole="">
            <v:imagedata r:id="rId44" o:title=""/>
          </v:shape>
          <o:OLEObject Type="Embed" ProgID="Equation.3" ShapeID="_x0000_i1041" DrawAspect="Content" ObjectID="_1826958705" r:id="rId45"/>
        </w:object>
      </w:r>
      <w:r w:rsidRPr="00463734">
        <w:rPr>
          <w:rFonts w:ascii="Minion Pro" w:eastAsia="Times New Roman" w:hAnsi="Minion Pro" w:cs="Minion Pro"/>
          <w:snapToGrid w:val="0"/>
          <w:sz w:val="22"/>
          <w:szCs w:val="22"/>
          <w:lang w:bidi="en-US"/>
        </w:rPr>
        <w:t>represents the impact on the downstream power supply area when the jth terminal device fails under an information attack.</w:t>
      </w:r>
      <w:r w:rsidRPr="00463734">
        <w:rPr>
          <w:rFonts w:ascii="Minion Pro" w:eastAsia="Times New Roman" w:hAnsi="Minion Pro" w:cs="Minion Pro"/>
          <w:snapToGrid w:val="0"/>
          <w:position w:val="-14"/>
          <w:sz w:val="22"/>
          <w:szCs w:val="22"/>
          <w:lang w:bidi="en-US"/>
        </w:rPr>
        <w:object w:dxaOrig="630" w:dyaOrig="405" w14:anchorId="18DEF027">
          <v:shape id="_x0000_i1042" type="#_x0000_t75" style="width:31.5pt;height:20.25pt" o:ole="">
            <v:imagedata r:id="rId46" o:title=""/>
          </v:shape>
          <o:OLEObject Type="Embed" ProgID="Equation.3" ShapeID="_x0000_i1042" DrawAspect="Content" ObjectID="_1826958706" r:id="rId47"/>
        </w:object>
      </w:r>
      <w:r w:rsidRPr="00463734">
        <w:rPr>
          <w:rFonts w:ascii="Minion Pro" w:eastAsia="Times New Roman" w:hAnsi="Minion Pro" w:cs="Minion Pro"/>
          <w:snapToGrid w:val="0"/>
          <w:sz w:val="22"/>
          <w:szCs w:val="22"/>
          <w:lang w:bidi="en-US"/>
        </w:rPr>
        <w:t>The availability rate of the upstream feeder area for the j-th terminal device, expressed in years.</w:t>
      </w:r>
      <w:r w:rsidRPr="00463734">
        <w:rPr>
          <w:rFonts w:ascii="Minion Pro" w:eastAsia="Times New Roman" w:hAnsi="Minion Pro" w:cs="Minion Pro"/>
          <w:snapToGrid w:val="0"/>
          <w:position w:val="-14"/>
          <w:sz w:val="22"/>
          <w:szCs w:val="22"/>
          <w:lang w:bidi="en-US"/>
        </w:rPr>
        <w:object w:dxaOrig="630" w:dyaOrig="405" w14:anchorId="536D37EA">
          <v:shape id="_x0000_i1043" type="#_x0000_t75" style="width:31.5pt;height:20.25pt" o:ole="">
            <v:imagedata r:id="rId48" o:title=""/>
          </v:shape>
          <o:OLEObject Type="Embed" ProgID="Equation.3" ShapeID="_x0000_i1043" DrawAspect="Content" ObjectID="_1826958707" r:id="rId49"/>
        </w:object>
      </w:r>
      <w:r w:rsidRPr="00463734">
        <w:rPr>
          <w:rFonts w:ascii="Minion Pro" w:eastAsia="Times New Roman" w:hAnsi="Minion Pro" w:cs="Minion Pro"/>
          <w:snapToGrid w:val="0"/>
          <w:sz w:val="22"/>
          <w:szCs w:val="22"/>
          <w:lang w:bidi="en-US"/>
        </w:rPr>
        <w:t xml:space="preserve">The probability that the jth terminal device is attacked, while all the upstream feeder area terminal devices are </w:t>
      </w:r>
      <w:r w:rsidRPr="00463734">
        <w:rPr>
          <w:rFonts w:ascii="Minion Pro" w:eastAsia="Times New Roman" w:hAnsi="Minion Pro" w:cs="Minion Pro"/>
          <w:snapToGrid w:val="0"/>
          <w:sz w:val="22"/>
          <w:szCs w:val="22"/>
          <w:lang w:bidi="en-US"/>
        </w:rPr>
        <w:lastRenderedPageBreak/>
        <w:t>operating normally;</w:t>
      </w:r>
      <w:r w:rsidRPr="00463734">
        <w:rPr>
          <w:rFonts w:ascii="Minion Pro" w:eastAsia="Times New Roman" w:hAnsi="Minion Pro" w:cs="Minion Pro"/>
          <w:snapToGrid w:val="0"/>
          <w:position w:val="-14"/>
          <w:sz w:val="22"/>
          <w:szCs w:val="22"/>
          <w:lang w:bidi="en-US"/>
        </w:rPr>
        <w:object w:dxaOrig="420" w:dyaOrig="405" w14:anchorId="1DE5F569">
          <v:shape id="_x0000_i1044" type="#_x0000_t75" style="width:21pt;height:20.25pt" o:ole="">
            <v:imagedata r:id="rId50" o:title=""/>
          </v:shape>
          <o:OLEObject Type="Embed" ProgID="Equation.3" ShapeID="_x0000_i1044" DrawAspect="Content" ObjectID="_1826958708" r:id="rId51"/>
        </w:object>
      </w:r>
      <w:r w:rsidRPr="00463734">
        <w:rPr>
          <w:rFonts w:ascii="Minion Pro" w:eastAsia="Times New Roman" w:hAnsi="Minion Pro" w:cs="Minion Pro"/>
          <w:snapToGrid w:val="0"/>
          <w:position w:val="-14"/>
          <w:sz w:val="22"/>
          <w:szCs w:val="22"/>
          <w:lang w:bidi="en-US"/>
        </w:rPr>
        <w:t xml:space="preserve"> </w:t>
      </w:r>
      <w:r w:rsidRPr="00463734">
        <w:rPr>
          <w:rFonts w:ascii="Minion Pro" w:eastAsia="Times New Roman" w:hAnsi="Minion Pro" w:cs="Minion Pro"/>
          <w:snapToGrid w:val="0"/>
          <w:sz w:val="22"/>
          <w:szCs w:val="22"/>
          <w:lang w:bidi="en-US"/>
        </w:rPr>
        <w:t xml:space="preserve">and </w:t>
      </w:r>
      <w:r w:rsidRPr="00463734">
        <w:rPr>
          <w:rFonts w:ascii="Minion Pro" w:eastAsia="Times New Roman" w:hAnsi="Minion Pro" w:cs="Minion Pro"/>
          <w:snapToGrid w:val="0"/>
          <w:position w:val="-14"/>
          <w:sz w:val="22"/>
          <w:szCs w:val="22"/>
          <w:lang w:bidi="en-US"/>
        </w:rPr>
        <w:object w:dxaOrig="600" w:dyaOrig="405" w14:anchorId="5D98C4B0">
          <v:shape id="_x0000_i1045" type="#_x0000_t75" style="width:30pt;height:20.25pt" o:ole="">
            <v:imagedata r:id="rId52" o:title=""/>
          </v:shape>
          <o:OLEObject Type="Embed" ProgID="Equation.3" ShapeID="_x0000_i1045" DrawAspect="Content" ObjectID="_1826958709" r:id="rId53"/>
        </w:object>
      </w:r>
      <w:r w:rsidRPr="00463734">
        <w:rPr>
          <w:rFonts w:ascii="Minion Pro" w:eastAsia="Times New Roman" w:hAnsi="Minion Pro" w:cs="Minion Pro"/>
          <w:snapToGrid w:val="0"/>
          <w:sz w:val="22"/>
          <w:szCs w:val="22"/>
          <w:lang w:bidi="en-US"/>
        </w:rPr>
        <w:t>represent the collection of all feeder lines in the upstream and downstream areas of the terminal equipment j, respectively;</w:t>
      </w:r>
      <w:r w:rsidRPr="00463734">
        <w:rPr>
          <w:rFonts w:ascii="Minion Pro" w:eastAsia="Times New Roman" w:hAnsi="Minion Pro" w:cs="Minion Pro"/>
          <w:snapToGrid w:val="0"/>
          <w:position w:val="-14"/>
          <w:sz w:val="22"/>
          <w:szCs w:val="22"/>
          <w:lang w:bidi="en-US"/>
        </w:rPr>
        <w:object w:dxaOrig="405" w:dyaOrig="405" w14:anchorId="7AC19F33">
          <v:shape id="_x0000_i1046" type="#_x0000_t75" style="width:20.25pt;height:20.25pt" o:ole="">
            <v:imagedata r:id="rId54" o:title=""/>
          </v:shape>
          <o:OLEObject Type="Embed" ProgID="Equation.3" ShapeID="_x0000_i1046" DrawAspect="Content" ObjectID="_1826958710" r:id="rId55"/>
        </w:object>
      </w:r>
      <w:r w:rsidRPr="00463734">
        <w:rPr>
          <w:rFonts w:ascii="Minion Pro" w:eastAsia="Times New Roman" w:hAnsi="Minion Pro" w:cs="Minion Pro"/>
          <w:snapToGrid w:val="0"/>
          <w:sz w:val="22"/>
          <w:szCs w:val="22"/>
          <w:lang w:bidi="en-US"/>
        </w:rPr>
        <w:t>represents the collection of all terminal devices in the upstream feeder area of the terminal equipment j;</w:t>
      </w:r>
      <w:r w:rsidRPr="00463734">
        <w:rPr>
          <w:rFonts w:ascii="Minion Pro" w:eastAsia="Times New Roman" w:hAnsi="Minion Pro" w:cs="Minion Pro"/>
          <w:snapToGrid w:val="0"/>
          <w:position w:val="-14"/>
          <w:sz w:val="22"/>
          <w:szCs w:val="22"/>
          <w:lang w:bidi="en-US"/>
        </w:rPr>
        <w:object w:dxaOrig="450" w:dyaOrig="405" w14:anchorId="4D4FA5F0">
          <v:shape id="_x0000_i1047" type="#_x0000_t75" style="width:22.5pt;height:20.25pt" o:ole="">
            <v:imagedata r:id="rId56" o:title=""/>
          </v:shape>
          <o:OLEObject Type="Embed" ProgID="Equation.3" ShapeID="_x0000_i1047" DrawAspect="Content" ObjectID="_1826958711" r:id="rId57"/>
        </w:object>
      </w:r>
      <w:r w:rsidRPr="00463734">
        <w:rPr>
          <w:rFonts w:ascii="Minion Pro" w:eastAsia="Times New Roman" w:hAnsi="Minion Pro" w:cs="Minion Pro"/>
          <w:snapToGrid w:val="0"/>
          <w:sz w:val="22"/>
          <w:szCs w:val="22"/>
          <w:lang w:bidi="en-US"/>
        </w:rPr>
        <w:t>represents the probability of terminal device j malfunctioning due to an integrity attack.</w:t>
      </w:r>
    </w:p>
    <w:p w14:paraId="1490DA2D"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After a distribution network line fails, if the downstream feeder has a transfer path, the control center will execute the operation of isolating the fault and transferring the load of the non-fault area. During this process, if the RTU of the downstream feeder experiencing the fault is attacked and malfunctions, it may block the transfer recovery process of the non-fault area, thereby causing an expansion of the power outage area. Under the premise of reliable information system, during a B4 fault, the control center will disconnect S3 and S4 to isolate the fault, and close S10 to transfer the load of the B5-B7 area to the adjacent feeder. However, when the B4 fault occurs and R6 trips due to an attack on S6, the established transfer path will be cut off. Eventually, only the B7 load in the downstream area of S4 can be successfully transferred, while the power supply of the other areas is interrupted. The specific impact area is shown in </w:t>
      </w:r>
      <w:r w:rsidRPr="00463734">
        <w:rPr>
          <w:rFonts w:eastAsia="宋体" w:cs="Minion Pro" w:hint="eastAsia"/>
          <w:bCs/>
          <w:color w:val="auto"/>
          <w:lang w:eastAsia="zh-CN"/>
        </w:rPr>
        <w:t>Figure S8</w:t>
      </w:r>
      <w:r w:rsidRPr="00463734">
        <w:rPr>
          <w:rFonts w:eastAsia="宋体" w:cs="Minion Pro"/>
          <w:bCs/>
          <w:color w:val="auto"/>
          <w:lang w:eastAsia="zh-CN"/>
        </w:rPr>
        <w:t>.</w:t>
      </w:r>
    </w:p>
    <w:p w14:paraId="140EA1A7"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22"/>
          <w:szCs w:val="22"/>
          <w:lang w:bidi="en-US"/>
        </w:rPr>
      </w:pPr>
      <w:r w:rsidRPr="00463734">
        <w:rPr>
          <w:rFonts w:ascii="Minion Pro" w:eastAsia="Times New Roman" w:hAnsi="Minion Pro" w:cs="Minion Pro"/>
          <w:noProof/>
          <w:snapToGrid w:val="0"/>
          <w:sz w:val="22"/>
          <w:szCs w:val="22"/>
          <w:lang w:bidi="en-US"/>
        </w:rPr>
        <w:drawing>
          <wp:inline distT="0" distB="0" distL="114300" distR="114300" wp14:anchorId="4DD8F9E2" wp14:editId="17F7277A">
            <wp:extent cx="3959860" cy="1614805"/>
            <wp:effectExtent l="0" t="0" r="2540" b="10795"/>
            <wp:docPr id="69"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3"/>
                    <pic:cNvPicPr>
                      <a:picLocks noChangeAspect="1"/>
                    </pic:cNvPicPr>
                  </pic:nvPicPr>
                  <pic:blipFill>
                    <a:blip r:embed="rId58"/>
                    <a:stretch>
                      <a:fillRect/>
                    </a:stretch>
                  </pic:blipFill>
                  <pic:spPr>
                    <a:xfrm>
                      <a:off x="0" y="0"/>
                      <a:ext cx="3959860" cy="1614805"/>
                    </a:xfrm>
                    <a:prstGeom prst="rect">
                      <a:avLst/>
                    </a:prstGeom>
                    <a:noFill/>
                    <a:ln>
                      <a:noFill/>
                    </a:ln>
                  </pic:spPr>
                </pic:pic>
              </a:graphicData>
            </a:graphic>
          </wp:inline>
        </w:drawing>
      </w:r>
    </w:p>
    <w:p w14:paraId="105C4B14" w14:textId="77777777" w:rsidR="00055865" w:rsidRPr="00463734" w:rsidRDefault="00000000">
      <w:pPr>
        <w:pStyle w:val="figurecaption"/>
        <w:numPr>
          <w:ilvl w:val="0"/>
          <w:numId w:val="5"/>
        </w:numPr>
        <w:adjustRightInd w:val="0"/>
        <w:snapToGrid w:val="0"/>
        <w:spacing w:after="60"/>
        <w:jc w:val="center"/>
        <w:rPr>
          <w:rFonts w:ascii="Minion Pro" w:hAnsi="Minion Pro" w:cs="Minion Pro"/>
          <w:lang w:bidi="en-US"/>
        </w:rPr>
      </w:pPr>
      <w:r w:rsidRPr="00463734">
        <w:rPr>
          <w:rFonts w:ascii="Minion Pro" w:hAnsi="Minion Pro" w:cs="Minion Pro"/>
          <w:lang w:bidi="en-US"/>
        </w:rPr>
        <w:t>Impact of integrity data attacks on power supply recovery</w:t>
      </w:r>
    </w:p>
    <w:p w14:paraId="3FB8F5B7" w14:textId="77777777" w:rsidR="00055865" w:rsidRPr="00463734" w:rsidRDefault="00000000">
      <w:pPr>
        <w:tabs>
          <w:tab w:val="center" w:pos="4200"/>
          <w:tab w:val="right" w:pos="8295"/>
        </w:tabs>
        <w:adjustRightInd w:val="0"/>
        <w:snapToGrid w:val="0"/>
        <w:spacing w:after="60" w:line="240" w:lineRule="atLeast"/>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ab/>
        <w:t>The impact of integrity attacks during a failure state on the recovery process can be expressed as:</w:t>
      </w:r>
    </w:p>
    <w:p w14:paraId="35B730D8"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i</m:t>
            </m:r>
          </m:sub>
          <m:sup>
            <m:r>
              <m:rPr>
                <m:sty m:val="p"/>
              </m:rPr>
              <w:rPr>
                <w:rFonts w:ascii="Cambria Math" w:hAnsi="Cambria Math" w:cs="Minion Pro"/>
                <w:snapToGrid w:val="0"/>
                <w:sz w:val="22"/>
                <w:szCs w:val="22"/>
                <w:lang w:bidi="en-US"/>
              </w:rPr>
              <m:t>Rec,mis</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λ</m:t>
            </m:r>
          </m:e>
          <m:sub>
            <m:r>
              <m:rPr>
                <m:sty m:val="p"/>
              </m:rPr>
              <w:rPr>
                <w:rFonts w:ascii="Cambria Math" w:hAnsi="Cambria Math" w:cs="Minion Pro"/>
                <w:snapToGrid w:val="0"/>
                <w:sz w:val="22"/>
                <w:szCs w:val="22"/>
                <w:lang w:bidi="en-US"/>
              </w:rPr>
              <m:t>i</m:t>
            </m:r>
          </m:sub>
        </m:sSub>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h∈</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C</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Down</m:t>
                </m:r>
              </m:sup>
            </m:sSubSup>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Tie</m:t>
                </m:r>
              </m:sup>
            </m:sSubSup>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mttr</m:t>
                </m:r>
              </m:sub>
            </m:sSub>
            <m:r>
              <m:rPr>
                <m:sty m:val="p"/>
              </m:rPr>
              <w:rPr>
                <w:rFonts w:ascii="Cambria Math" w:hAnsi="Cambria Math" w:cs="Minion Pro"/>
                <w:snapToGrid w:val="0"/>
                <w:sz w:val="22"/>
                <w:szCs w:val="22"/>
                <w:lang w:bidi="en-US"/>
              </w:rPr>
              <m:t>+</m:t>
            </m:r>
          </m:e>
        </m:nary>
        <m:r>
          <m:rPr>
            <m:sty m:val="p"/>
          </m:rPr>
          <w:rPr>
            <w:rFonts w:ascii="Cambria Math" w:hAnsi="Cambria Math" w:cs="Minion Pro"/>
            <w:snapToGrid w:val="0"/>
            <w:sz w:val="22"/>
            <w:szCs w:val="22"/>
            <w:lang w:bidi="en-US"/>
          </w:rPr>
          <m:t>(1-</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Tie</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3</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(S13)</w:t>
      </w:r>
    </w:p>
    <w:p w14:paraId="4FD98D42"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3</m:t>
            </m:r>
          </m:sub>
        </m:sSub>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Down,mis</m:t>
            </m:r>
          </m:sup>
        </m:sSubSup>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mttr</m:t>
            </m:r>
          </m:sub>
        </m:sSub>
        <m:r>
          <m:rPr>
            <m:sty m:val="p"/>
          </m:rPr>
          <w:rPr>
            <w:rFonts w:ascii="Cambria Math" w:hAnsi="Cambria Math" w:cs="Minion Pro"/>
            <w:snapToGrid w:val="0"/>
            <w:sz w:val="22"/>
            <w:szCs w:val="22"/>
            <w:lang w:bidi="en-US"/>
          </w:rPr>
          <m:t>+(1-</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Down,mis</m:t>
            </m:r>
          </m:sup>
        </m:sSubSup>
        <m:r>
          <m:rPr>
            <m:sty m:val="p"/>
          </m:rPr>
          <w:rPr>
            <w:rFonts w:ascii="Cambria Math" w:hAnsi="Cambria Math" w:cs="Minion Pro"/>
            <w:snapToGrid w:val="0"/>
            <w:sz w:val="22"/>
            <w:szCs w:val="22"/>
            <w:lang w:bidi="en-US"/>
          </w:rPr>
          <m:t>)</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d</m:t>
            </m:r>
          </m:e>
          <m:sub>
            <m:r>
              <m:rPr>
                <m:sty m:val="p"/>
              </m:rPr>
              <w:rPr>
                <w:rFonts w:ascii="Cambria Math" w:hAnsi="Cambria Math" w:cs="Minion Pro"/>
                <w:snapToGrid w:val="0"/>
                <w:sz w:val="22"/>
                <w:szCs w:val="22"/>
                <w:lang w:bidi="en-US"/>
              </w:rPr>
              <m:t>rst</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(S14)</w:t>
      </w:r>
    </w:p>
    <w:p w14:paraId="680CFF0E"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Down,mis</m:t>
            </m:r>
          </m:sup>
        </m:sSubSup>
        <m:r>
          <m:rPr>
            <m:sty m:val="p"/>
          </m:rPr>
          <w:rPr>
            <w:rFonts w:ascii="Cambria Math" w:hAnsi="Cambria Math" w:cs="Minion Pro"/>
            <w:snapToGrid w:val="0"/>
            <w:sz w:val="22"/>
            <w:szCs w:val="22"/>
            <w:lang w:bidi="en-US"/>
          </w:rPr>
          <m:t>=1-</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S</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Down</m:t>
                </m:r>
              </m:sup>
            </m:sSubSup>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(1-P</m:t>
                </m:r>
              </m:e>
              <m:sub>
                <m:r>
                  <m:rPr>
                    <m:sty m:val="p"/>
                  </m:rPr>
                  <w:rPr>
                    <w:rFonts w:ascii="Cambria Math" w:hAnsi="Cambria Math" w:cs="Minion Pro"/>
                    <w:snapToGrid w:val="0"/>
                    <w:sz w:val="22"/>
                    <w:szCs w:val="22"/>
                    <w:lang w:bidi="en-US"/>
                  </w:rPr>
                  <m:t>t</m:t>
                </m:r>
              </m:sub>
              <m:sup>
                <m:r>
                  <m:rPr>
                    <m:sty m:val="p"/>
                  </m:rPr>
                  <w:rPr>
                    <w:rFonts w:ascii="Cambria Math" w:hAnsi="Cambria Math" w:cs="Minion Pro"/>
                    <w:snapToGrid w:val="0"/>
                    <w:sz w:val="22"/>
                    <w:szCs w:val="22"/>
                    <w:lang w:bidi="en-US"/>
                  </w:rPr>
                  <m:t>mis</m:t>
                </m:r>
              </m:sup>
            </m:sSubSup>
            <m:r>
              <m:rPr>
                <m:sty m:val="p"/>
              </m:rPr>
              <w:rPr>
                <w:rFonts w:ascii="Cambria Math" w:hAnsi="Cambria Math" w:cs="Minion Pro"/>
                <w:snapToGrid w:val="0"/>
                <w:sz w:val="22"/>
                <w:szCs w:val="22"/>
                <w:lang w:bidi="en-US"/>
              </w:rPr>
              <m:t>)</m:t>
            </m:r>
          </m:e>
        </m:nary>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(S15)</w:t>
      </w:r>
    </w:p>
    <w:p w14:paraId="55A1B35F" w14:textId="77777777" w:rsidR="00055865" w:rsidRPr="00463734" w:rsidRDefault="00000000">
      <w:pPr>
        <w:adjustRightInd w:val="0"/>
        <w:snapToGrid w:val="0"/>
        <w:spacing w:after="60" w:line="240" w:lineRule="atLeast"/>
        <w:textAlignment w:val="center"/>
        <w:rPr>
          <w:rFonts w:ascii="Minion Pro" w:hAnsi="Minion Pro" w:cs="Minion Pro"/>
          <w:kern w:val="0"/>
          <w:sz w:val="22"/>
          <w:szCs w:val="22"/>
        </w:rPr>
      </w:pPr>
      <w:r w:rsidRPr="00463734">
        <w:rPr>
          <w:rFonts w:ascii="Minion Pro" w:hAnsi="Minion Pro" w:cs="Minion Pro" w:hint="eastAsia"/>
          <w:kern w:val="0"/>
          <w:sz w:val="22"/>
          <w:szCs w:val="22"/>
        </w:rPr>
        <w:tab/>
      </w:r>
      <w:r w:rsidRPr="00463734">
        <w:rPr>
          <w:rFonts w:ascii="Minion Pro" w:hAnsi="Minion Pro" w:cs="Minion Pro"/>
          <w:kern w:val="0"/>
          <w:sz w:val="22"/>
          <w:szCs w:val="22"/>
        </w:rPr>
        <w:t xml:space="preserve">In the formula: </w:t>
      </w:r>
      <m:oMath>
        <m:sSubSup>
          <m:sSubSupPr>
            <m:ctrlPr>
              <w:rPr>
                <w:rFonts w:ascii="Cambria Math" w:hAnsi="Cambria Math" w:cs="Minion Pro"/>
                <w:kern w:val="0"/>
                <w:sz w:val="22"/>
                <w:szCs w:val="22"/>
              </w:rPr>
            </m:ctrlPr>
          </m:sSubSupPr>
          <m:e>
            <m:r>
              <m:rPr>
                <m:sty m:val="p"/>
              </m:rPr>
              <w:rPr>
                <w:rFonts w:ascii="Cambria Math" w:hAnsi="Cambria Math" w:cs="Minion Pro"/>
                <w:kern w:val="0"/>
                <w:sz w:val="22"/>
                <w:szCs w:val="22"/>
              </w:rPr>
              <m:t>R</m:t>
            </m:r>
          </m:e>
          <m:sub>
            <m:r>
              <m:rPr>
                <m:sty m:val="p"/>
              </m:rPr>
              <w:rPr>
                <w:rFonts w:ascii="Cambria Math" w:hAnsi="Cambria Math" w:cs="Minion Pro"/>
                <w:kern w:val="0"/>
                <w:sz w:val="22"/>
                <w:szCs w:val="22"/>
              </w:rPr>
              <m:t>i</m:t>
            </m:r>
          </m:sub>
          <m:sup>
            <m:r>
              <m:rPr>
                <m:sty m:val="p"/>
              </m:rPr>
              <w:rPr>
                <w:rFonts w:ascii="Cambria Math" w:hAnsi="Cambria Math" w:cs="Minion Pro"/>
                <w:kern w:val="0"/>
                <w:sz w:val="22"/>
                <w:szCs w:val="22"/>
              </w:rPr>
              <m:t>Rec,mis</m:t>
            </m:r>
          </m:sup>
        </m:sSubSup>
      </m:oMath>
      <w:r w:rsidRPr="00463734">
        <w:rPr>
          <w:rFonts w:ascii="Minion Pro" w:hAnsi="Minion Pro" w:cs="Minion Pro"/>
          <w:kern w:val="0"/>
          <w:sz w:val="22"/>
          <w:szCs w:val="22"/>
        </w:rPr>
        <w:t xml:space="preserve"> represents the impact of the failure recovery of the i-th feeder line under information attack; </w:t>
      </w:r>
      <m:oMath>
        <m:sSubSup>
          <m:sSubSupPr>
            <m:ctrlPr>
              <w:rPr>
                <w:rFonts w:ascii="Cambria Math" w:hAnsi="Cambria Math" w:cs="Minion Pro"/>
                <w:kern w:val="0"/>
                <w:sz w:val="22"/>
                <w:szCs w:val="22"/>
              </w:rPr>
            </m:ctrlPr>
          </m:sSubSupPr>
          <m:e>
            <m:r>
              <m:rPr>
                <m:sty m:val="p"/>
              </m:rPr>
              <w:rPr>
                <w:rFonts w:ascii="Cambria Math" w:hAnsi="Cambria Math" w:cs="Minion Pro"/>
                <w:kern w:val="0"/>
                <w:sz w:val="22"/>
                <w:szCs w:val="22"/>
              </w:rPr>
              <m:t>P</m:t>
            </m:r>
          </m:e>
          <m:sub>
            <m:r>
              <m:rPr>
                <m:sty m:val="p"/>
              </m:rPr>
              <w:rPr>
                <w:rFonts w:ascii="Cambria Math" w:hAnsi="Cambria Math" w:cs="Minion Pro"/>
                <w:kern w:val="0"/>
                <w:sz w:val="22"/>
                <w:szCs w:val="22"/>
              </w:rPr>
              <m:t>h</m:t>
            </m:r>
          </m:sub>
          <m:sup>
            <m:r>
              <m:rPr>
                <m:sty m:val="p"/>
              </m:rPr>
              <w:rPr>
                <w:rFonts w:ascii="Cambria Math" w:hAnsi="Cambria Math" w:cs="Minion Pro"/>
                <w:kern w:val="0"/>
                <w:sz w:val="22"/>
                <w:szCs w:val="22"/>
              </w:rPr>
              <m:t>Down,mis</m:t>
            </m:r>
          </m:sup>
        </m:sSubSup>
      </m:oMath>
      <w:r w:rsidRPr="00463734">
        <w:rPr>
          <w:rFonts w:ascii="Minion Pro" w:hAnsi="Minion Pro" w:cs="Minion Pro"/>
          <w:kern w:val="0"/>
          <w:sz w:val="22"/>
          <w:szCs w:val="22"/>
        </w:rPr>
        <w:t xml:space="preserve"> is the probability that any terminal device in the downstream area of feeder line h fails due to the attack; represents the set of all terminal devices downstream of the feeder line; represents the probability of terminal device failure caused by information attack. In summary, the risk of the distribution network under integrity attack can be expressed as:</w:t>
      </w:r>
    </w:p>
    <w:p w14:paraId="376B23F2"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kern w:val="0"/>
          <w:sz w:val="22"/>
          <w:szCs w:val="22"/>
        </w:rPr>
      </w:pPr>
      <w:r w:rsidRPr="00463734">
        <w:rPr>
          <w:rFonts w:ascii="Minion Pro" w:hAnsi="Minion Pro" w:cs="Minion Pro"/>
          <w:kern w:val="0"/>
          <w:sz w:val="22"/>
          <w:szCs w:val="22"/>
        </w:rPr>
        <w:tab/>
      </w:r>
      <m:oMath>
        <m:sSup>
          <m:sSupPr>
            <m:ctrlPr>
              <w:rPr>
                <w:rFonts w:ascii="Cambria Math" w:hAnsi="Cambria Math" w:cs="Minion Pro"/>
                <w:kern w:val="0"/>
                <w:sz w:val="22"/>
                <w:szCs w:val="22"/>
              </w:rPr>
            </m:ctrlPr>
          </m:sSupPr>
          <m:e>
            <m:r>
              <m:rPr>
                <m:sty m:val="p"/>
              </m:rPr>
              <w:rPr>
                <w:rFonts w:ascii="Cambria Math" w:hAnsi="Cambria Math" w:cs="Minion Pro"/>
                <w:kern w:val="0"/>
                <w:sz w:val="22"/>
                <w:szCs w:val="22"/>
              </w:rPr>
              <m:t>R</m:t>
            </m:r>
          </m:e>
          <m:sup>
            <m:r>
              <m:rPr>
                <m:sty m:val="p"/>
              </m:rPr>
              <w:rPr>
                <w:rFonts w:ascii="Cambria Math" w:hAnsi="Cambria Math" w:cs="Minion Pro"/>
                <w:kern w:val="0"/>
                <w:sz w:val="22"/>
                <w:szCs w:val="22"/>
              </w:rPr>
              <m:t>mis</m:t>
            </m:r>
          </m:sup>
        </m:sSup>
        <m:r>
          <m:rPr>
            <m:sty m:val="p"/>
          </m:rPr>
          <w:rPr>
            <w:rFonts w:ascii="Cambria Math" w:hAnsi="Cambria Math" w:cs="Minion Pro"/>
            <w:kern w:val="0"/>
            <w:sz w:val="22"/>
            <w:szCs w:val="22"/>
          </w:rPr>
          <m:t>=</m:t>
        </m:r>
        <m:nary>
          <m:naryPr>
            <m:chr m:val="∑"/>
            <m:limLoc m:val="undOvr"/>
            <m:supHide m:val="1"/>
            <m:ctrlPr>
              <w:rPr>
                <w:rFonts w:ascii="Cambria Math" w:hAnsi="Cambria Math" w:cs="Minion Pro"/>
                <w:kern w:val="0"/>
                <w:sz w:val="22"/>
                <w:szCs w:val="22"/>
              </w:rPr>
            </m:ctrlPr>
          </m:naryPr>
          <m:sub>
            <m:r>
              <m:rPr>
                <m:sty m:val="p"/>
              </m:rPr>
              <w:rPr>
                <w:rFonts w:ascii="Cambria Math" w:hAnsi="Cambria Math" w:cs="Minion Pro"/>
                <w:kern w:val="0"/>
                <w:sz w:val="22"/>
                <w:szCs w:val="22"/>
              </w:rPr>
              <m:t>j∈S</m:t>
            </m:r>
          </m:sub>
          <m:sup/>
          <m:e>
            <m:sSubSup>
              <m:sSubSupPr>
                <m:ctrlPr>
                  <w:rPr>
                    <w:rFonts w:ascii="Cambria Math" w:hAnsi="Cambria Math" w:cs="Minion Pro"/>
                    <w:kern w:val="0"/>
                    <w:sz w:val="22"/>
                    <w:szCs w:val="22"/>
                  </w:rPr>
                </m:ctrlPr>
              </m:sSubSupPr>
              <m:e>
                <m:r>
                  <m:rPr>
                    <m:sty m:val="p"/>
                  </m:rPr>
                  <w:rPr>
                    <w:rFonts w:ascii="Cambria Math" w:hAnsi="Cambria Math" w:cs="Minion Pro"/>
                    <w:kern w:val="0"/>
                    <w:sz w:val="22"/>
                    <w:szCs w:val="22"/>
                  </w:rPr>
                  <m:t>R</m:t>
                </m:r>
              </m:e>
              <m:sub>
                <m:r>
                  <m:rPr>
                    <m:sty m:val="p"/>
                  </m:rPr>
                  <w:rPr>
                    <w:rFonts w:ascii="Cambria Math" w:hAnsi="Cambria Math" w:cs="Minion Pro"/>
                    <w:kern w:val="0"/>
                    <w:sz w:val="22"/>
                    <w:szCs w:val="22"/>
                  </w:rPr>
                  <m:t>j</m:t>
                </m:r>
              </m:sub>
              <m:sup>
                <m:r>
                  <m:rPr>
                    <m:sty m:val="p"/>
                  </m:rPr>
                  <w:rPr>
                    <w:rFonts w:ascii="Cambria Math" w:hAnsi="Cambria Math" w:cs="Minion Pro"/>
                    <w:kern w:val="0"/>
                    <w:sz w:val="22"/>
                    <w:szCs w:val="22"/>
                  </w:rPr>
                  <m:t>Down,mis</m:t>
                </m:r>
              </m:sup>
            </m:sSubSup>
            <m:r>
              <m:rPr>
                <m:sty m:val="p"/>
              </m:rPr>
              <w:rPr>
                <w:rFonts w:ascii="Cambria Math" w:hAnsi="Cambria Math" w:cs="Minion Pro"/>
                <w:kern w:val="0"/>
                <w:sz w:val="22"/>
                <w:szCs w:val="22"/>
              </w:rPr>
              <m:t>+</m:t>
            </m:r>
          </m:e>
        </m:nary>
        <m:nary>
          <m:naryPr>
            <m:chr m:val="∑"/>
            <m:limLoc m:val="undOvr"/>
            <m:supHide m:val="1"/>
            <m:ctrlPr>
              <w:rPr>
                <w:rFonts w:ascii="Cambria Math" w:hAnsi="Cambria Math" w:cs="Minion Pro"/>
                <w:kern w:val="0"/>
                <w:sz w:val="22"/>
                <w:szCs w:val="22"/>
              </w:rPr>
            </m:ctrlPr>
          </m:naryPr>
          <m:sub>
            <m:r>
              <m:rPr>
                <m:sty m:val="p"/>
              </m:rPr>
              <w:rPr>
                <w:rFonts w:ascii="Cambria Math" w:hAnsi="Cambria Math" w:cs="Minion Pro"/>
                <w:kern w:val="0"/>
                <w:sz w:val="22"/>
                <w:szCs w:val="22"/>
              </w:rPr>
              <m:t>j∈S</m:t>
            </m:r>
          </m:sub>
          <m:sup/>
          <m:e>
            <m:sSubSup>
              <m:sSubSupPr>
                <m:ctrlPr>
                  <w:rPr>
                    <w:rFonts w:ascii="Cambria Math" w:hAnsi="Cambria Math" w:cs="Minion Pro"/>
                    <w:kern w:val="0"/>
                    <w:sz w:val="22"/>
                    <w:szCs w:val="22"/>
                  </w:rPr>
                </m:ctrlPr>
              </m:sSubSupPr>
              <m:e>
                <m:r>
                  <m:rPr>
                    <m:sty m:val="p"/>
                  </m:rPr>
                  <w:rPr>
                    <w:rFonts w:ascii="Cambria Math" w:hAnsi="Cambria Math" w:cs="Minion Pro"/>
                    <w:kern w:val="0"/>
                    <w:sz w:val="22"/>
                    <w:szCs w:val="22"/>
                  </w:rPr>
                  <m:t>R</m:t>
                </m:r>
              </m:e>
              <m:sub>
                <m:r>
                  <m:rPr>
                    <m:sty m:val="p"/>
                  </m:rPr>
                  <w:rPr>
                    <w:rFonts w:ascii="Cambria Math" w:hAnsi="Cambria Math" w:cs="Minion Pro"/>
                    <w:kern w:val="0"/>
                    <w:sz w:val="22"/>
                    <w:szCs w:val="22"/>
                  </w:rPr>
                  <m:t>i</m:t>
                </m:r>
              </m:sub>
              <m:sup>
                <m:r>
                  <m:rPr>
                    <m:sty m:val="p"/>
                  </m:rPr>
                  <w:rPr>
                    <w:rFonts w:ascii="Cambria Math" w:hAnsi="Cambria Math" w:cs="Minion Pro"/>
                    <w:kern w:val="0"/>
                    <w:sz w:val="22"/>
                    <w:szCs w:val="22"/>
                  </w:rPr>
                  <m:t>Rec,mis</m:t>
                </m:r>
              </m:sup>
            </m:sSubSup>
          </m:e>
        </m:nary>
      </m:oMath>
      <w:r w:rsidRPr="00463734">
        <w:rPr>
          <w:rFonts w:ascii="Minion Pro" w:hAnsi="Minion Pro" w:cs="Minion Pro"/>
          <w:kern w:val="0"/>
          <w:sz w:val="22"/>
          <w:szCs w:val="22"/>
        </w:rPr>
        <w:tab/>
      </w:r>
      <w:r w:rsidRPr="00463734">
        <w:rPr>
          <w:rFonts w:ascii="Minion Pro" w:hAnsi="Minion Pro" w:cs="Minion Pro" w:hint="eastAsia"/>
          <w:kern w:val="0"/>
          <w:sz w:val="22"/>
          <w:szCs w:val="22"/>
        </w:rPr>
        <w:t>(S16)</w:t>
      </w:r>
    </w:p>
    <w:p w14:paraId="244ECBFD" w14:textId="77777777" w:rsidR="00055865" w:rsidRPr="00463734" w:rsidRDefault="00000000">
      <w:pPr>
        <w:adjustRightInd w:val="0"/>
        <w:snapToGrid w:val="0"/>
        <w:spacing w:after="60" w:line="240" w:lineRule="atLeast"/>
        <w:rPr>
          <w:rFonts w:ascii="Minion Pro" w:hAnsi="Minion Pro" w:cs="Minion Pro"/>
          <w:kern w:val="0"/>
          <w:sz w:val="22"/>
          <w:szCs w:val="22"/>
        </w:rPr>
      </w:pPr>
      <w:r w:rsidRPr="00463734">
        <w:rPr>
          <w:rFonts w:ascii="Minion Pro" w:hAnsi="Minion Pro" w:cs="Minion Pro"/>
          <w:kern w:val="0"/>
          <w:sz w:val="22"/>
          <w:szCs w:val="22"/>
        </w:rPr>
        <w:t>In the formula:S represents the set of all terminal devices.</w:t>
      </w:r>
    </w:p>
    <w:p w14:paraId="7DF470EA" w14:textId="77777777" w:rsidR="00055865" w:rsidRPr="00463734" w:rsidRDefault="00000000">
      <w:pPr>
        <w:pStyle w:val="TSP21heading1"/>
        <w:tabs>
          <w:tab w:val="left" w:pos="0"/>
          <w:tab w:val="left" w:pos="420"/>
        </w:tabs>
        <w:jc w:val="both"/>
        <w:outlineLvl w:val="9"/>
        <w:rPr>
          <w:rFonts w:cs="Minion Pro"/>
          <w:i/>
          <w:iCs/>
          <w:color w:val="auto"/>
          <w:lang w:eastAsia="zh-CN"/>
        </w:rPr>
      </w:pPr>
      <w:r w:rsidRPr="00463734">
        <w:rPr>
          <w:rFonts w:eastAsiaTheme="minorEastAsia" w:cs="Minion Pro" w:hint="eastAsia"/>
          <w:i/>
          <w:iCs/>
          <w:color w:val="auto"/>
          <w:lang w:eastAsia="zh-CN"/>
        </w:rPr>
        <w:t xml:space="preserve">1.3 </w:t>
      </w:r>
      <w:r w:rsidRPr="00463734">
        <w:rPr>
          <w:rFonts w:cs="Minion Pro"/>
          <w:i/>
          <w:iCs/>
          <w:color w:val="auto"/>
          <w:lang w:eastAsia="zh-CN"/>
        </w:rPr>
        <w:t>The Definition and Calculation of Risk Coupling Degree</w:t>
      </w:r>
    </w:p>
    <w:p w14:paraId="259CB034" w14:textId="77777777" w:rsidR="00055865" w:rsidRPr="00463734" w:rsidRDefault="00000000">
      <w:pPr>
        <w:pStyle w:val="TSP21heading1"/>
        <w:tabs>
          <w:tab w:val="left" w:pos="0"/>
          <w:tab w:val="left" w:pos="420"/>
        </w:tabs>
        <w:jc w:val="both"/>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1.3.1 </w:t>
      </w:r>
      <w:r w:rsidRPr="00463734">
        <w:rPr>
          <w:rFonts w:cs="Minion Pro"/>
          <w:b w:val="0"/>
          <w:bCs/>
          <w:i/>
          <w:iCs/>
          <w:color w:val="auto"/>
          <w:lang w:eastAsia="zh-CN"/>
        </w:rPr>
        <w:t>Calculation of System Risk Coupling Degree</w:t>
      </w:r>
    </w:p>
    <w:p w14:paraId="072083A6"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lastRenderedPageBreak/>
        <w:t>Distribution network risk refers to the degree of impact that sudden events have on the operational status of the system. Traditional risk assessment mainly focuses on issues such as overvoltage at nodes, load loss, equipment overload, and system safety operation capabilities caused by line or equipment failures under the existing control mode and topology structure. In the context of CPS, the scope of distribution network risk assessment needs to be further expanded. In addition to traditional physical failures, information attacks that lead to information risks must also be included. This risk will have direct or indirect impacts on the stable operation of the distribution network. Therefore, the comprehensive risk of CPDS can be expressed as:</w:t>
      </w:r>
    </w:p>
    <w:p w14:paraId="05673918"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p>
          <m:sSupPr>
            <m:ctrlPr>
              <w:rPr>
                <w:rFonts w:ascii="Cambria Math" w:hAnsi="Cambria Math" w:cs="Minion Pro"/>
                <w:i/>
                <w:snapToGrid w:val="0"/>
                <w:sz w:val="22"/>
                <w:szCs w:val="22"/>
                <w:lang w:bidi="en-US"/>
              </w:rPr>
            </m:ctrlPr>
          </m:sSupPr>
          <m:e>
            <m:r>
              <w:rPr>
                <w:rFonts w:ascii="Cambria Math" w:hAnsi="Cambria Math" w:cs="Minion Pro"/>
                <w:snapToGrid w:val="0"/>
                <w:sz w:val="22"/>
                <w:szCs w:val="22"/>
                <w:lang w:bidi="en-US"/>
              </w:rPr>
              <m:t>R</m:t>
            </m:r>
          </m:e>
          <m:sup>
            <m:r>
              <w:rPr>
                <w:rFonts w:ascii="Cambria Math" w:hAnsi="Cambria Math" w:cs="Minion Pro"/>
                <w:snapToGrid w:val="0"/>
                <w:sz w:val="22"/>
                <w:szCs w:val="22"/>
                <w:lang w:bidi="en-US"/>
              </w:rPr>
              <m:t>CPRS</m:t>
            </m:r>
          </m:sup>
        </m:sSup>
        <m:r>
          <w:rPr>
            <w:rFonts w:ascii="Cambria Math" w:hAnsi="Cambria Math" w:cs="Minion Pro"/>
            <w:snapToGrid w:val="0"/>
            <w:sz w:val="22"/>
            <w:szCs w:val="22"/>
            <w:lang w:bidi="en-US"/>
          </w:rPr>
          <m:t>=</m:t>
        </m:r>
        <m:sSup>
          <m:sSupPr>
            <m:ctrlPr>
              <w:rPr>
                <w:rFonts w:ascii="Cambria Math" w:hAnsi="Cambria Math" w:cs="Minion Pro"/>
                <w:i/>
                <w:snapToGrid w:val="0"/>
                <w:sz w:val="22"/>
                <w:szCs w:val="22"/>
                <w:lang w:bidi="en-US"/>
              </w:rPr>
            </m:ctrlPr>
          </m:sSupPr>
          <m:e>
            <m:r>
              <w:rPr>
                <w:rFonts w:ascii="Cambria Math" w:hAnsi="Cambria Math" w:cs="Minion Pro"/>
                <w:snapToGrid w:val="0"/>
                <w:sz w:val="22"/>
                <w:szCs w:val="22"/>
                <w:lang w:bidi="en-US"/>
              </w:rPr>
              <m:t>R</m:t>
            </m:r>
          </m:e>
          <m:sup>
            <m:r>
              <w:rPr>
                <w:rFonts w:ascii="Cambria Math" w:hAnsi="Cambria Math" w:cs="Minion Pro"/>
                <w:snapToGrid w:val="0"/>
                <w:sz w:val="22"/>
                <w:szCs w:val="22"/>
                <w:lang w:bidi="en-US"/>
              </w:rPr>
              <m:t>P</m:t>
            </m:r>
          </m:sup>
        </m:sSup>
        <m:r>
          <w:rPr>
            <w:rFonts w:ascii="Cambria Math" w:hAnsi="Cambria Math" w:cs="Minion Pro"/>
            <w:snapToGrid w:val="0"/>
            <w:sz w:val="22"/>
            <w:szCs w:val="22"/>
            <w:lang w:bidi="en-US"/>
          </w:rPr>
          <m:t>+</m:t>
        </m:r>
        <m:sSup>
          <m:sSupPr>
            <m:ctrlPr>
              <w:rPr>
                <w:rFonts w:ascii="Cambria Math" w:hAnsi="Cambria Math" w:cs="Minion Pro"/>
                <w:i/>
                <w:snapToGrid w:val="0"/>
                <w:sz w:val="22"/>
                <w:szCs w:val="22"/>
                <w:lang w:bidi="en-US"/>
              </w:rPr>
            </m:ctrlPr>
          </m:sSupPr>
          <m:e>
            <m:r>
              <w:rPr>
                <w:rFonts w:ascii="Cambria Math" w:hAnsi="Cambria Math" w:cs="Minion Pro"/>
                <w:snapToGrid w:val="0"/>
                <w:sz w:val="22"/>
                <w:szCs w:val="22"/>
                <w:lang w:bidi="en-US"/>
              </w:rPr>
              <m:t>R</m:t>
            </m:r>
          </m:e>
          <m:sup>
            <m:r>
              <w:rPr>
                <w:rFonts w:ascii="Cambria Math" w:hAnsi="Cambria Math" w:cs="Minion Pro"/>
                <w:snapToGrid w:val="0"/>
                <w:sz w:val="22"/>
                <w:szCs w:val="22"/>
                <w:lang w:bidi="en-US"/>
              </w:rPr>
              <m:t>C→P</m:t>
            </m:r>
          </m:sup>
        </m:sSup>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(S17)</w:t>
      </w:r>
    </w:p>
    <w:p w14:paraId="640613A0"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In the formula:</w:t>
      </w:r>
      <m:oMath>
        <m:sSup>
          <m:sSupPr>
            <m:ctrlPr>
              <w:rPr>
                <w:rFonts w:ascii="Cambria Math" w:eastAsia="Times New Roman" w:hAnsi="Cambria Math" w:cs="Minion Pro"/>
                <w:snapToGrid w:val="0"/>
                <w:sz w:val="22"/>
                <w:szCs w:val="22"/>
                <w:lang w:bidi="en-US"/>
              </w:rPr>
            </m:ctrlPr>
          </m:sSupPr>
          <m:e>
            <m:r>
              <m:rPr>
                <m:sty m:val="p"/>
              </m:rPr>
              <w:rPr>
                <w:rFonts w:ascii="Cambria Math" w:eastAsia="Times New Roman" w:hAnsi="Cambria Math" w:cs="Minion Pro"/>
                <w:snapToGrid w:val="0"/>
                <w:sz w:val="22"/>
                <w:szCs w:val="22"/>
                <w:lang w:bidi="en-US"/>
              </w:rPr>
              <m:t>R</m:t>
            </m:r>
          </m:e>
          <m:sup>
            <m:r>
              <m:rPr>
                <m:sty m:val="p"/>
              </m:rPr>
              <w:rPr>
                <w:rFonts w:ascii="Cambria Math" w:eastAsia="Times New Roman" w:hAnsi="Cambria Math" w:cs="Minion Pro"/>
                <w:snapToGrid w:val="0"/>
                <w:sz w:val="22"/>
                <w:szCs w:val="22"/>
                <w:lang w:bidi="en-US"/>
              </w:rPr>
              <m:t>CPRS</m:t>
            </m:r>
          </m:sup>
        </m:sSup>
      </m:oMath>
      <w:r w:rsidRPr="00463734">
        <w:rPr>
          <w:rFonts w:ascii="Minion Pro" w:eastAsia="Times New Roman" w:hAnsi="Minion Pro" w:cs="Minion Pro"/>
          <w:snapToGrid w:val="0"/>
          <w:sz w:val="22"/>
          <w:szCs w:val="22"/>
          <w:lang w:bidi="en-US"/>
        </w:rPr>
        <w:t xml:space="preserve">takes into account the risks of power grid attacks due to information-based threats; </w:t>
      </w:r>
      <m:oMath>
        <m:sSup>
          <m:sSupPr>
            <m:ctrlPr>
              <w:rPr>
                <w:rFonts w:ascii="Cambria Math" w:eastAsia="Times New Roman" w:hAnsi="Cambria Math" w:cs="Minion Pro"/>
                <w:snapToGrid w:val="0"/>
                <w:sz w:val="22"/>
                <w:szCs w:val="22"/>
                <w:lang w:bidi="en-US"/>
              </w:rPr>
            </m:ctrlPr>
          </m:sSupPr>
          <m:e>
            <m:r>
              <m:rPr>
                <m:sty m:val="p"/>
              </m:rPr>
              <w:rPr>
                <w:rFonts w:ascii="Cambria Math" w:eastAsia="Times New Roman" w:hAnsi="Cambria Math" w:cs="Minion Pro"/>
                <w:snapToGrid w:val="0"/>
                <w:sz w:val="22"/>
                <w:szCs w:val="22"/>
                <w:lang w:bidi="en-US"/>
              </w:rPr>
              <m:t>R</m:t>
            </m:r>
          </m:e>
          <m:sup>
            <m:r>
              <m:rPr>
                <m:sty m:val="p"/>
              </m:rPr>
              <w:rPr>
                <w:rFonts w:ascii="Cambria Math" w:eastAsia="Times New Roman" w:hAnsi="Cambria Math" w:cs="Minion Pro"/>
                <w:snapToGrid w:val="0"/>
                <w:sz w:val="22"/>
                <w:szCs w:val="22"/>
                <w:lang w:bidi="en-US"/>
              </w:rPr>
              <m:t>P</m:t>
            </m:r>
          </m:sup>
        </m:sSup>
      </m:oMath>
      <w:r w:rsidRPr="00463734">
        <w:rPr>
          <w:rFonts w:ascii="Minion Pro" w:eastAsia="Times New Roman" w:hAnsi="Minion Pro" w:cs="Minion Pro"/>
          <w:snapToGrid w:val="0"/>
          <w:sz w:val="22"/>
          <w:szCs w:val="22"/>
          <w:lang w:bidi="en-US"/>
        </w:rPr>
        <w:t xml:space="preserve">represents the risk of the traditional distribution network, that is, the risk of the distribution network without considering information attacks; </w:t>
      </w:r>
      <m:oMath>
        <m:sSup>
          <m:sSupPr>
            <m:ctrlPr>
              <w:rPr>
                <w:rFonts w:ascii="Cambria Math" w:eastAsia="Times New Roman" w:hAnsi="Cambria Math" w:cs="Minion Pro"/>
                <w:snapToGrid w:val="0"/>
                <w:sz w:val="22"/>
                <w:szCs w:val="22"/>
                <w:lang w:bidi="en-US"/>
              </w:rPr>
            </m:ctrlPr>
          </m:sSupPr>
          <m:e>
            <m:r>
              <m:rPr>
                <m:sty m:val="p"/>
              </m:rPr>
              <w:rPr>
                <w:rFonts w:ascii="Cambria Math" w:eastAsia="Times New Roman" w:hAnsi="Cambria Math" w:cs="Minion Pro"/>
                <w:snapToGrid w:val="0"/>
                <w:sz w:val="22"/>
                <w:szCs w:val="22"/>
                <w:lang w:bidi="en-US"/>
              </w:rPr>
              <m:t>R</m:t>
            </m:r>
          </m:e>
          <m:sup>
            <m:r>
              <m:rPr>
                <m:sty m:val="p"/>
              </m:rPr>
              <w:rPr>
                <w:rFonts w:ascii="Cambria Math" w:eastAsia="Times New Roman" w:hAnsi="Cambria Math" w:cs="Minion Pro"/>
                <w:snapToGrid w:val="0"/>
                <w:sz w:val="22"/>
                <w:szCs w:val="22"/>
                <w:lang w:bidi="en-US"/>
              </w:rPr>
              <m:t>C→P</m:t>
            </m:r>
          </m:sup>
        </m:sSup>
      </m:oMath>
      <w:r w:rsidRPr="00463734">
        <w:rPr>
          <w:rFonts w:ascii="Minion Pro" w:eastAsia="Times New Roman" w:hAnsi="Minion Pro" w:cs="Minion Pro"/>
          <w:snapToGrid w:val="0"/>
          <w:sz w:val="22"/>
          <w:szCs w:val="22"/>
          <w:lang w:bidi="en-US"/>
        </w:rPr>
        <w:t xml:space="preserve"> represents the risk gain brought to the distribution network by information attacks.</w:t>
      </w:r>
    </w:p>
    <w:p w14:paraId="582BCD05" w14:textId="77777777" w:rsidR="00055865" w:rsidRPr="00463734" w:rsidRDefault="00000000">
      <w:pPr>
        <w:adjustRightInd w:val="0"/>
        <w:snapToGrid w:val="0"/>
        <w:spacing w:after="60" w:line="240" w:lineRule="atLeast"/>
        <w:ind w:firstLine="425"/>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Equation </w:t>
      </w:r>
      <w:r w:rsidRPr="00463734">
        <w:rPr>
          <w:rFonts w:ascii="Minion Pro" w:hAnsi="Minion Pro" w:cs="Minion Pro" w:hint="eastAsia"/>
          <w:snapToGrid w:val="0"/>
          <w:sz w:val="22"/>
          <w:szCs w:val="22"/>
          <w:lang w:bidi="en-US"/>
        </w:rPr>
        <w:t>S17</w:t>
      </w:r>
      <w:r w:rsidRPr="00463734">
        <w:rPr>
          <w:rFonts w:ascii="Minion Pro" w:eastAsia="Times New Roman" w:hAnsi="Minion Pro" w:cs="Minion Pro"/>
          <w:snapToGrid w:val="0"/>
          <w:sz w:val="22"/>
          <w:szCs w:val="22"/>
          <w:lang w:bidi="en-US"/>
        </w:rPr>
        <w:t xml:space="preserve">, </w:t>
      </w:r>
      <m:oMath>
        <m:sSup>
          <m:sSupPr>
            <m:ctrlPr>
              <w:rPr>
                <w:rFonts w:ascii="Cambria Math" w:eastAsia="Times New Roman" w:hAnsi="Cambria Math" w:cs="Minion Pro"/>
                <w:snapToGrid w:val="0"/>
                <w:sz w:val="22"/>
                <w:szCs w:val="22"/>
                <w:lang w:bidi="en-US"/>
              </w:rPr>
            </m:ctrlPr>
          </m:sSupPr>
          <m:e>
            <m:r>
              <m:rPr>
                <m:sty m:val="p"/>
              </m:rPr>
              <w:rPr>
                <w:rFonts w:ascii="Cambria Math" w:eastAsia="Times New Roman" w:hAnsi="Cambria Math" w:cs="Minion Pro"/>
                <w:snapToGrid w:val="0"/>
                <w:sz w:val="22"/>
                <w:szCs w:val="22"/>
                <w:lang w:bidi="en-US"/>
              </w:rPr>
              <m:t>R</m:t>
            </m:r>
          </m:e>
          <m:sup>
            <m:r>
              <m:rPr>
                <m:sty m:val="p"/>
              </m:rPr>
              <w:rPr>
                <w:rFonts w:ascii="Cambria Math" w:eastAsia="Times New Roman" w:hAnsi="Cambria Math" w:cs="Minion Pro"/>
                <w:snapToGrid w:val="0"/>
                <w:sz w:val="22"/>
                <w:szCs w:val="22"/>
                <w:lang w:bidi="en-US"/>
              </w:rPr>
              <m:t>P</m:t>
            </m:r>
          </m:sup>
        </m:sSup>
      </m:oMath>
      <w:r w:rsidRPr="00463734">
        <w:rPr>
          <w:rFonts w:ascii="Minion Pro" w:eastAsia="Times New Roman" w:hAnsi="Minion Pro" w:cs="Minion Pro"/>
          <w:snapToGrid w:val="0"/>
          <w:sz w:val="22"/>
          <w:szCs w:val="22"/>
          <w:lang w:bidi="en-US"/>
        </w:rPr>
        <w:t xml:space="preserve"> is mainly determined by the topological structure and load distribution of the distribution network; </w:t>
      </w:r>
      <m:oMath>
        <m:sSup>
          <m:sSupPr>
            <m:ctrlPr>
              <w:rPr>
                <w:rFonts w:ascii="Cambria Math" w:eastAsia="Times New Roman" w:hAnsi="Cambria Math" w:cs="Minion Pro"/>
                <w:snapToGrid w:val="0"/>
                <w:sz w:val="22"/>
                <w:szCs w:val="22"/>
                <w:lang w:bidi="en-US"/>
              </w:rPr>
            </m:ctrlPr>
          </m:sSupPr>
          <m:e>
            <m:r>
              <m:rPr>
                <m:sty m:val="p"/>
              </m:rPr>
              <w:rPr>
                <w:rFonts w:ascii="Cambria Math" w:eastAsia="Times New Roman" w:hAnsi="Cambria Math" w:cs="Minion Pro"/>
                <w:snapToGrid w:val="0"/>
                <w:sz w:val="22"/>
                <w:szCs w:val="22"/>
                <w:lang w:bidi="en-US"/>
              </w:rPr>
              <m:t>R</m:t>
            </m:r>
          </m:e>
          <m:sup>
            <m:r>
              <m:rPr>
                <m:sty m:val="p"/>
              </m:rPr>
              <w:rPr>
                <w:rFonts w:ascii="Cambria Math" w:eastAsia="Times New Roman" w:hAnsi="Cambria Math" w:cs="Minion Pro"/>
                <w:snapToGrid w:val="0"/>
                <w:sz w:val="22"/>
                <w:szCs w:val="22"/>
                <w:lang w:bidi="en-US"/>
              </w:rPr>
              <m:t>C→P</m:t>
            </m:r>
          </m:sup>
        </m:sSup>
      </m:oMath>
      <w:r w:rsidRPr="00463734">
        <w:rPr>
          <w:rFonts w:ascii="Minion Pro" w:eastAsia="Times New Roman" w:hAnsi="Minion Pro" w:cs="Minion Pro"/>
          <w:snapToGrid w:val="0"/>
          <w:sz w:val="22"/>
          <w:szCs w:val="22"/>
          <w:lang w:bidi="en-US"/>
        </w:rPr>
        <w:t xml:space="preserve"> is influenced by the control algorithms in the information system, the types of information attacks, the operating status of the physical system, and the interaction mechanism between the information physical system. To more accurately depict the impact of information risks in CPDS on the operation status of the power system through the interaction of information flow and energy flow, as well as the superimposed effect of information and power system risks, this section defines the concept of system risk coupling degree from the perspective of risk gain, and proposes corresponding quantitative calculation methods in combination with specific application scenarios.</w:t>
      </w:r>
    </w:p>
    <w:p w14:paraId="2365283D"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Definition 1: System Risk Coupling Degree (SRCD). SRCD is used to characterize the risk gain brought to the power system by the abnormal state of the information system under the information-physical coupling condition. According to this definition, Equation </w:t>
      </w:r>
      <w:r w:rsidRPr="00463734">
        <w:rPr>
          <w:rFonts w:eastAsia="宋体" w:cs="Minion Pro" w:hint="eastAsia"/>
          <w:bCs/>
          <w:color w:val="auto"/>
          <w:lang w:eastAsia="zh-CN"/>
        </w:rPr>
        <w:t>S17</w:t>
      </w:r>
      <w:r w:rsidRPr="00463734">
        <w:rPr>
          <w:rFonts w:eastAsia="宋体" w:cs="Minion Pro"/>
          <w:bCs/>
          <w:color w:val="auto"/>
          <w:lang w:eastAsia="zh-CN"/>
        </w:rPr>
        <w:t xml:space="preserve"> can be restated as:</w:t>
      </w:r>
    </w:p>
    <w:p w14:paraId="7AC56374"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CPDS</m:t>
            </m:r>
          </m:sup>
        </m:sSup>
        <m:r>
          <m:rPr>
            <m:sty m:val="p"/>
          </m:rPr>
          <w:rPr>
            <w:rFonts w:ascii="Cambria Math" w:hAnsi="Cambria Math" w:cs="Minion Pro"/>
            <w:snapToGrid w:val="0"/>
            <w:sz w:val="22"/>
            <w:szCs w:val="22"/>
            <w:lang w:bidi="en-US"/>
          </w:rPr>
          <m:t>=(1+</m:t>
        </m:r>
        <m:sSup>
          <m:sSupPr>
            <m:ctrlPr>
              <w:rPr>
                <w:rFonts w:ascii="Cambria Math" w:hAnsi="Cambria Math" w:cs="Minion Pro"/>
                <w:snapToGrid w:val="0"/>
                <w:sz w:val="22"/>
                <w:szCs w:val="22"/>
                <w:lang w:bidi="en-US"/>
              </w:rPr>
            </m:ctrlPr>
          </m:sSupPr>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sys</m:t>
                </m:r>
              </m:sub>
              <m:sup>
                <m:r>
                  <m:rPr>
                    <m:sty m:val="p"/>
                  </m:rPr>
                  <w:rPr>
                    <w:rFonts w:ascii="Cambria Math" w:hAnsi="Cambria Math" w:cs="Minion Pro"/>
                    <w:snapToGrid w:val="0"/>
                    <w:sz w:val="22"/>
                    <w:szCs w:val="22"/>
                    <w:lang w:bidi="en-US"/>
                  </w:rPr>
                  <m:t>SRCD</m:t>
                </m:r>
              </m:sup>
            </m:sSubSup>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(S18)</w:t>
      </w:r>
    </w:p>
    <w:p w14:paraId="01855B4C"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sys</m:t>
            </m:r>
          </m:sub>
          <m:sup>
            <m:r>
              <m:rPr>
                <m:sty m:val="p"/>
              </m:rPr>
              <w:rPr>
                <w:rFonts w:ascii="Cambria Math" w:eastAsia="Times New Roman" w:hAnsi="Cambria Math" w:cs="Minion Pro"/>
                <w:snapToGrid w:val="0"/>
                <w:sz w:val="22"/>
                <w:szCs w:val="22"/>
                <w:lang w:bidi="en-US"/>
              </w:rPr>
              <m:t>SRCD</m:t>
            </m:r>
          </m:sup>
        </m:sSubSup>
      </m:oMath>
      <w:r w:rsidRPr="00463734">
        <w:rPr>
          <w:rFonts w:ascii="Minion Pro" w:eastAsia="Times New Roman" w:hAnsi="Minion Pro" w:cs="Minion Pro"/>
          <w:snapToGrid w:val="0"/>
          <w:sz w:val="22"/>
          <w:szCs w:val="22"/>
          <w:lang w:bidi="en-US"/>
        </w:rPr>
        <w:t xml:space="preserve"> represents the degree of system risk coupling, and its value range is [0, +]. The larger the value, the greater the risk gain of information threats to the power system; if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sys</m:t>
            </m:r>
          </m:sub>
          <m:sup>
            <m:r>
              <m:rPr>
                <m:sty m:val="p"/>
              </m:rPr>
              <w:rPr>
                <w:rFonts w:ascii="Cambria Math" w:eastAsia="Times New Roman" w:hAnsi="Cambria Math" w:cs="Minion Pro"/>
                <w:snapToGrid w:val="0"/>
                <w:sz w:val="22"/>
                <w:szCs w:val="22"/>
                <w:lang w:bidi="en-US"/>
              </w:rPr>
              <m:t>SRCD</m:t>
            </m:r>
          </m:sup>
        </m:sSubSup>
      </m:oMath>
      <w:r w:rsidRPr="00463734">
        <w:rPr>
          <w:rFonts w:ascii="Minion Pro" w:eastAsia="Times New Roman" w:hAnsi="Minion Pro" w:cs="Minion Pro"/>
          <w:snapToGrid w:val="0"/>
          <w:sz w:val="22"/>
          <w:szCs w:val="22"/>
          <w:lang w:bidi="en-US"/>
        </w:rPr>
        <w:t xml:space="preserve"> is 0, it indicates that information threats will not have any impact on the operation of the distribution network.</w:t>
      </w:r>
    </w:p>
    <w:p w14:paraId="740C135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the Cyber-Physical Distributed System (CPDS), the factors influencing the coupling degree of system risks include: the control algorithms of the information system (such as scheduling control, local control, and feeder automation algorithms, etc.), communication methods (such as Ethernet, wireless communication, power carrier, etc.), terminal devices (such as distributed energy controllers, RTU, etc.), the line models and controllable equipment of the physical system, and information attack methods. Therefore, in the calculation of coupling degree, the specific risk scenarios should be clearly defined first.</w:t>
      </w:r>
    </w:p>
    <w:p w14:paraId="0E4F4C0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study takes the distribution network under information attack as the research object, and focuses on analyzing the impact of availability attacks and integrity attacks on the fault handling process of the centralized feeder automation (FA) system. Based on Equations </w:t>
      </w:r>
      <w:r w:rsidRPr="00463734">
        <w:rPr>
          <w:rFonts w:eastAsia="宋体" w:cs="Minion Pro" w:hint="eastAsia"/>
          <w:bCs/>
          <w:color w:val="auto"/>
          <w:lang w:eastAsia="zh-CN"/>
        </w:rPr>
        <w:t>S1</w:t>
      </w:r>
      <w:r w:rsidRPr="00463734">
        <w:rPr>
          <w:rFonts w:eastAsia="宋体" w:cs="Minion Pro"/>
          <w:bCs/>
          <w:color w:val="auto"/>
          <w:lang w:eastAsia="zh-CN"/>
        </w:rPr>
        <w:t xml:space="preserve"> to </w:t>
      </w:r>
      <w:r w:rsidRPr="00463734">
        <w:rPr>
          <w:rFonts w:eastAsia="宋体" w:cs="Minion Pro" w:hint="eastAsia"/>
          <w:bCs/>
          <w:color w:val="auto"/>
          <w:lang w:eastAsia="zh-CN"/>
        </w:rPr>
        <w:t>S18</w:t>
      </w:r>
      <w:r w:rsidRPr="00463734">
        <w:rPr>
          <w:rFonts w:eastAsia="宋体" w:cs="Minion Pro"/>
          <w:bCs/>
          <w:color w:val="auto"/>
          <w:lang w:eastAsia="zh-CN"/>
        </w:rPr>
        <w:t>, the coupling degrees between systems under the two attack conditions can be respectively expressed as:</w:t>
      </w:r>
    </w:p>
    <w:p w14:paraId="1323550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lastRenderedPageBreak/>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sys</m:t>
            </m:r>
          </m:sub>
          <m:sup>
            <m:r>
              <m:rPr>
                <m:sty m:val="p"/>
              </m:rPr>
              <w:rPr>
                <w:rFonts w:ascii="Cambria Math" w:hAnsi="Cambria Math" w:cs="Minion Pro"/>
                <w:snapToGrid w:val="0"/>
                <w:sz w:val="22"/>
                <w:szCs w:val="22"/>
                <w:lang w:bidi="en-US"/>
              </w:rPr>
              <m:t>SRCD,rej</m:t>
            </m:r>
          </m:sup>
        </m:sSubSup>
        <m:r>
          <m:rPr>
            <m:sty m:val="p"/>
          </m:rPr>
          <w:rPr>
            <w:rFonts w:ascii="Cambria Math" w:hAnsi="Cambria Math" w:cs="Minion Pro"/>
            <w:snapToGrid w:val="0"/>
            <w:sz w:val="22"/>
            <w:szCs w:val="22"/>
            <w:lang w:bidi="en-US"/>
          </w:rPr>
          <m:t>=</m:t>
        </m:r>
        <m:f>
          <m:fPr>
            <m:ctrlPr>
              <w:rPr>
                <w:rFonts w:ascii="Cambria Math" w:hAnsi="Cambria Math" w:cs="Minion Pro"/>
                <w:snapToGrid w:val="0"/>
                <w:sz w:val="22"/>
                <w:szCs w:val="22"/>
                <w:lang w:bidi="en-US"/>
              </w:rPr>
            </m:ctrlPr>
          </m:fPr>
          <m:num>
            <m:sSup>
              <m:sSupPr>
                <m:ctrlPr>
                  <w:rPr>
                    <w:rFonts w:ascii="Cambria Math" w:hAnsi="Cambria Math" w:cs="Minion Pro"/>
                    <w:snapToGrid w:val="0"/>
                    <w:sz w:val="22"/>
                    <w:szCs w:val="22"/>
                    <w:lang w:bidi="en-US"/>
                  </w:rPr>
                </m:ctrlPr>
              </m:sSupPr>
              <m:e>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rej</m:t>
                    </m:r>
                  </m:sup>
                </m:sSup>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num>
          <m:den>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den>
        </m:f>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(S19)</w:t>
      </w:r>
    </w:p>
    <w:p w14:paraId="4D81836C"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sys</m:t>
            </m:r>
          </m:sub>
          <m:sup>
            <m:r>
              <m:rPr>
                <m:sty m:val="p"/>
              </m:rPr>
              <w:rPr>
                <w:rFonts w:ascii="Cambria Math" w:hAnsi="Cambria Math" w:cs="Minion Pro"/>
                <w:snapToGrid w:val="0"/>
                <w:sz w:val="22"/>
                <w:szCs w:val="22"/>
                <w:lang w:bidi="en-US"/>
              </w:rPr>
              <m:t>SRCD,mis</m:t>
            </m:r>
          </m:sup>
        </m:sSubSup>
        <m:r>
          <m:rPr>
            <m:sty m:val="p"/>
          </m:rPr>
          <w:rPr>
            <w:rFonts w:ascii="Cambria Math" w:hAnsi="Cambria Math" w:cs="Minion Pro"/>
            <w:snapToGrid w:val="0"/>
            <w:sz w:val="22"/>
            <w:szCs w:val="22"/>
            <w:lang w:bidi="en-US"/>
          </w:rPr>
          <m:t>=</m:t>
        </m:r>
        <m:f>
          <m:fPr>
            <m:ctrlPr>
              <w:rPr>
                <w:rFonts w:ascii="Cambria Math" w:hAnsi="Cambria Math" w:cs="Minion Pro"/>
                <w:snapToGrid w:val="0"/>
                <w:sz w:val="22"/>
                <w:szCs w:val="22"/>
                <w:lang w:bidi="en-US"/>
              </w:rPr>
            </m:ctrlPr>
          </m:fPr>
          <m:num>
            <m:sSup>
              <m:sSupPr>
                <m:ctrlPr>
                  <w:rPr>
                    <w:rFonts w:ascii="Cambria Math" w:hAnsi="Cambria Math" w:cs="Minion Pro"/>
                    <w:snapToGrid w:val="0"/>
                    <w:sz w:val="22"/>
                    <w:szCs w:val="22"/>
                    <w:lang w:bidi="en-US"/>
                  </w:rPr>
                </m:ctrlPr>
              </m:sSupPr>
              <m:e>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mis</m:t>
                    </m:r>
                  </m:sup>
                </m:sSup>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num>
          <m:den>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den>
        </m:f>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(S20)</w:t>
      </w:r>
    </w:p>
    <w:p w14:paraId="7C9BA192"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sys</m:t>
            </m:r>
          </m:sub>
          <m:sup>
            <m:r>
              <m:rPr>
                <m:sty m:val="p"/>
              </m:rPr>
              <w:rPr>
                <w:rFonts w:ascii="Cambria Math" w:eastAsia="Times New Roman" w:hAnsi="Cambria Math" w:cs="Minion Pro"/>
                <w:snapToGrid w:val="0"/>
                <w:sz w:val="22"/>
                <w:szCs w:val="22"/>
                <w:lang w:bidi="en-US"/>
              </w:rPr>
              <m:t>SRCD,rej</m:t>
            </m:r>
          </m:sup>
        </m:sSubSup>
      </m:oMath>
      <w:r w:rsidRPr="00463734">
        <w:rPr>
          <w:rFonts w:ascii="Minion Pro" w:eastAsia="Times New Roman" w:hAnsi="Minion Pro" w:cs="Minion Pro"/>
          <w:snapToGrid w:val="0"/>
          <w:sz w:val="22"/>
          <w:szCs w:val="22"/>
          <w:lang w:bidi="en-US"/>
        </w:rPr>
        <w:t xml:space="preserve"> and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sys</m:t>
            </m:r>
          </m:sub>
          <m:sup>
            <m:r>
              <m:rPr>
                <m:sty m:val="p"/>
              </m:rPr>
              <w:rPr>
                <w:rFonts w:ascii="Cambria Math" w:eastAsia="Times New Roman" w:hAnsi="Cambria Math" w:cs="Minion Pro"/>
                <w:snapToGrid w:val="0"/>
                <w:sz w:val="22"/>
                <w:szCs w:val="22"/>
                <w:lang w:bidi="en-US"/>
              </w:rPr>
              <m:t>SRCD,mis</m:t>
            </m:r>
          </m:sup>
        </m:sSubSup>
      </m:oMath>
      <w:r w:rsidRPr="00463734">
        <w:rPr>
          <w:rFonts w:ascii="Minion Pro" w:eastAsia="Times New Roman" w:hAnsi="Minion Pro" w:cs="Minion Pro"/>
          <w:snapToGrid w:val="0"/>
          <w:sz w:val="22"/>
          <w:szCs w:val="22"/>
          <w:lang w:bidi="en-US"/>
        </w:rPr>
        <w:t xml:space="preserve"> represent the system risk coupling degree under availability attack and integrity attack respectively. In this formula, </w:t>
      </w:r>
      <m:oMath>
        <m:sSup>
          <m:sSupPr>
            <m:ctrlPr>
              <w:rPr>
                <w:rFonts w:ascii="Cambria Math" w:eastAsia="Times New Roman" w:hAnsi="Cambria Math" w:cs="Minion Pro"/>
                <w:snapToGrid w:val="0"/>
                <w:sz w:val="22"/>
                <w:szCs w:val="22"/>
                <w:lang w:bidi="en-US"/>
              </w:rPr>
            </m:ctrlPr>
          </m:sSupPr>
          <m:e>
            <m:r>
              <m:rPr>
                <m:sty m:val="p"/>
              </m:rPr>
              <w:rPr>
                <w:rFonts w:ascii="Cambria Math" w:eastAsia="Times New Roman" w:hAnsi="Cambria Math" w:cs="Minion Pro"/>
                <w:snapToGrid w:val="0"/>
                <w:sz w:val="22"/>
                <w:szCs w:val="22"/>
                <w:lang w:bidi="en-US"/>
              </w:rPr>
              <m:t>R</m:t>
            </m:r>
          </m:e>
          <m:sup>
            <m:r>
              <m:rPr>
                <m:sty m:val="p"/>
              </m:rPr>
              <w:rPr>
                <w:rFonts w:ascii="Cambria Math" w:eastAsia="Times New Roman" w:hAnsi="Cambria Math" w:cs="Minion Pro"/>
                <w:snapToGrid w:val="0"/>
                <w:sz w:val="22"/>
                <w:szCs w:val="22"/>
                <w:lang w:bidi="en-US"/>
              </w:rPr>
              <m:t>P</m:t>
            </m:r>
          </m:sup>
        </m:sSup>
      </m:oMath>
      <w:r w:rsidRPr="00463734">
        <w:rPr>
          <w:rFonts w:ascii="Minion Pro" w:eastAsia="Times New Roman" w:hAnsi="Minion Pro" w:cs="Minion Pro"/>
          <w:snapToGrid w:val="0"/>
          <w:sz w:val="22"/>
          <w:szCs w:val="22"/>
          <w:lang w:bidi="en-US"/>
        </w:rPr>
        <w:t xml:space="preserve"> can be obtained by setting the probability of information attack success to 0 in equations </w:t>
      </w:r>
      <w:r w:rsidRPr="00463734">
        <w:rPr>
          <w:rFonts w:ascii="Minion Pro" w:hAnsi="Minion Pro" w:cs="Minion Pro" w:hint="eastAsia"/>
          <w:snapToGrid w:val="0"/>
          <w:sz w:val="22"/>
          <w:szCs w:val="22"/>
          <w:lang w:bidi="en-US"/>
        </w:rPr>
        <w:t>S1</w:t>
      </w:r>
      <w:r w:rsidRPr="00463734">
        <w:rPr>
          <w:rFonts w:ascii="Minion Pro" w:eastAsia="Times New Roman" w:hAnsi="Minion Pro" w:cs="Minion Pro"/>
          <w:snapToGrid w:val="0"/>
          <w:sz w:val="22"/>
          <w:szCs w:val="22"/>
          <w:lang w:bidi="en-US"/>
        </w:rPr>
        <w:t xml:space="preserve"> to </w:t>
      </w:r>
      <w:r w:rsidRPr="00463734">
        <w:rPr>
          <w:rFonts w:ascii="Minion Pro" w:hAnsi="Minion Pro" w:cs="Minion Pro" w:hint="eastAsia"/>
          <w:snapToGrid w:val="0"/>
          <w:sz w:val="22"/>
          <w:szCs w:val="22"/>
          <w:lang w:bidi="en-US"/>
        </w:rPr>
        <w:t>S9</w:t>
      </w:r>
      <w:r w:rsidRPr="00463734">
        <w:rPr>
          <w:rFonts w:ascii="Minion Pro" w:eastAsia="Times New Roman" w:hAnsi="Minion Pro" w:cs="Minion Pro"/>
          <w:snapToGrid w:val="0"/>
          <w:sz w:val="22"/>
          <w:szCs w:val="22"/>
          <w:lang w:bidi="en-US"/>
        </w:rPr>
        <w:t>, which means that information attack will not affect the fault handling process of the FA system.</w:t>
      </w:r>
    </w:p>
    <w:p w14:paraId="799247FC" w14:textId="77777777" w:rsidR="00055865" w:rsidRPr="00463734" w:rsidRDefault="00000000">
      <w:pPr>
        <w:pStyle w:val="TSP21heading1"/>
        <w:tabs>
          <w:tab w:val="left" w:pos="0"/>
          <w:tab w:val="left" w:pos="420"/>
        </w:tabs>
        <w:jc w:val="both"/>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1.3.2 </w:t>
      </w:r>
      <w:r w:rsidRPr="00463734">
        <w:rPr>
          <w:rFonts w:cs="Minion Pro"/>
          <w:b w:val="0"/>
          <w:bCs/>
          <w:i/>
          <w:iCs/>
          <w:color w:val="auto"/>
          <w:lang w:eastAsia="zh-CN"/>
        </w:rPr>
        <w:t>Calculation of Node Risk Coupling Degree</w:t>
      </w:r>
    </w:p>
    <w:p w14:paraId="7BE088C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Compared with the system risk coupling degree, the planning and operation personnel of the distribution network pay more attention to the coupling degree characteristics of information nodes, in order to promptly identify the weak links of the system. Similar to the system risk coupling degree, this section provides the definition and calculation method of node risk coupling degree.</w:t>
      </w:r>
    </w:p>
    <w:p w14:paraId="6FEB37D7"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Definition 2: Node Risk Coupling Degree (NRCD). NRCD is used to characterize the risk gain brought to the power system by the abnormal state of information nodes under the information-physical coupling state.</w:t>
      </w:r>
    </w:p>
    <w:p w14:paraId="2DCA2A51"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According to the above definition, the node risk coupling degree in the distribution network information system can be expressed as:</w:t>
      </w:r>
    </w:p>
    <w:p w14:paraId="3FC63EF7"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j</m:t>
            </m:r>
          </m:sub>
          <m:sup>
            <m:r>
              <m:rPr>
                <m:sty m:val="p"/>
              </m:rPr>
              <w:rPr>
                <w:rFonts w:ascii="Cambria Math" w:hAnsi="Cambria Math" w:cs="Minion Pro"/>
                <w:snapToGrid w:val="0"/>
                <w:sz w:val="22"/>
                <w:szCs w:val="22"/>
                <w:lang w:bidi="en-US"/>
              </w:rPr>
              <m:t>NRCD</m:t>
            </m:r>
          </m:sup>
        </m:sSubSup>
        <m:r>
          <m:rPr>
            <m:sty m:val="p"/>
          </m:rPr>
          <w:rPr>
            <w:rFonts w:ascii="Cambria Math" w:hAnsi="Cambria Math" w:cs="Minion Pro"/>
            <w:snapToGrid w:val="0"/>
            <w:sz w:val="22"/>
            <w:szCs w:val="22"/>
            <w:lang w:bidi="en-US"/>
          </w:rPr>
          <m:t>=</m:t>
        </m:r>
        <m:f>
          <m:fPr>
            <m:ctrlPr>
              <w:rPr>
                <w:rFonts w:ascii="Cambria Math" w:hAnsi="Cambria Math" w:cs="Minion Pro"/>
                <w:snapToGrid w:val="0"/>
                <w:sz w:val="22"/>
                <w:szCs w:val="22"/>
                <w:lang w:bidi="en-US"/>
              </w:rPr>
            </m:ctrlPr>
          </m:fPr>
          <m:num>
            <m:sSup>
              <m:sSupPr>
                <m:ctrlPr>
                  <w:rPr>
                    <w:rFonts w:ascii="Cambria Math" w:hAnsi="Cambria Math" w:cs="Minion Pro"/>
                    <w:snapToGrid w:val="0"/>
                    <w:sz w:val="22"/>
                    <w:szCs w:val="22"/>
                    <w:lang w:bidi="en-US"/>
                  </w:rPr>
                </m:ctrlPr>
              </m:sSupPr>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j</m:t>
                    </m:r>
                  </m:sub>
                  <m:sup>
                    <m:r>
                      <m:rPr>
                        <m:sty m:val="p"/>
                      </m:rPr>
                      <w:rPr>
                        <w:rFonts w:ascii="Cambria Math" w:hAnsi="Cambria Math" w:cs="Minion Pro"/>
                        <w:snapToGrid w:val="0"/>
                        <w:sz w:val="22"/>
                        <w:szCs w:val="22"/>
                        <w:lang w:bidi="en-US"/>
                      </w:rPr>
                      <m:t>CPS</m:t>
                    </m:r>
                  </m:sup>
                </m:sSubSup>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num>
          <m:den>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den>
        </m:f>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(S21)</w:t>
      </w:r>
    </w:p>
    <w:p w14:paraId="336A65E5" w14:textId="77777777" w:rsidR="00055865" w:rsidRPr="00463734" w:rsidRDefault="00000000">
      <w:pPr>
        <w:adjustRightInd w:val="0"/>
        <w:snapToGrid w:val="0"/>
        <w:spacing w:after="60" w:line="240" w:lineRule="atLeast"/>
        <w:ind w:firstLine="420"/>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j</m:t>
            </m:r>
          </m:sub>
          <m:sup>
            <m:r>
              <m:rPr>
                <m:sty m:val="p"/>
              </m:rPr>
              <w:rPr>
                <w:rFonts w:ascii="Cambria Math" w:eastAsia="Times New Roman" w:hAnsi="Cambria Math" w:cs="Minion Pro"/>
                <w:snapToGrid w:val="0"/>
                <w:sz w:val="22"/>
                <w:szCs w:val="22"/>
                <w:lang w:bidi="en-US"/>
              </w:rPr>
              <m:t>NRCD</m:t>
            </m:r>
          </m:sup>
        </m:sSubSup>
      </m:oMath>
      <w:r w:rsidRPr="00463734">
        <w:rPr>
          <w:rFonts w:ascii="Minion Pro" w:eastAsia="Times New Roman" w:hAnsi="Minion Pro" w:cs="Minion Pro"/>
          <w:snapToGrid w:val="0"/>
          <w:sz w:val="22"/>
          <w:szCs w:val="22"/>
          <w:lang w:bidi="en-US"/>
        </w:rPr>
        <w:t xml:space="preserve"> represents the coupling degree of information node j;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R</m:t>
            </m:r>
          </m:e>
          <m:sub>
            <m:r>
              <m:rPr>
                <m:sty m:val="p"/>
              </m:rPr>
              <w:rPr>
                <w:rFonts w:ascii="Cambria Math" w:eastAsia="Times New Roman" w:hAnsi="Cambria Math" w:cs="Minion Pro"/>
                <w:snapToGrid w:val="0"/>
                <w:sz w:val="22"/>
                <w:szCs w:val="22"/>
                <w:lang w:bidi="en-US"/>
              </w:rPr>
              <m:t>j</m:t>
            </m:r>
          </m:sub>
          <m:sup>
            <m:r>
              <m:rPr>
                <m:sty m:val="p"/>
              </m:rPr>
              <w:rPr>
                <w:rFonts w:ascii="Cambria Math" w:eastAsia="Times New Roman" w:hAnsi="Cambria Math" w:cs="Minion Pro"/>
                <w:snapToGrid w:val="0"/>
                <w:sz w:val="22"/>
                <w:szCs w:val="22"/>
                <w:lang w:bidi="en-US"/>
              </w:rPr>
              <m:t>CPS</m:t>
            </m:r>
          </m:sup>
        </m:sSubSup>
      </m:oMath>
      <w:r w:rsidRPr="00463734">
        <w:rPr>
          <w:rFonts w:ascii="Minion Pro" w:eastAsia="Times New Roman" w:hAnsi="Minion Pro" w:cs="Minion Pro"/>
          <w:snapToGrid w:val="0"/>
          <w:sz w:val="22"/>
          <w:szCs w:val="22"/>
          <w:lang w:bidi="en-US"/>
        </w:rPr>
        <w:t xml:space="preserve"> the impact of the abnormal state of information node j on the power grid, its value range is [2, +], the larger the value, the greater the risk gain caused by the abnormal state of information node j to the power system. If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j</m:t>
            </m:r>
          </m:sub>
          <m:sup>
            <m:r>
              <m:rPr>
                <m:sty m:val="p"/>
              </m:rPr>
              <w:rPr>
                <w:rFonts w:ascii="Cambria Math" w:eastAsia="Times New Roman" w:hAnsi="Cambria Math" w:cs="Minion Pro"/>
                <w:snapToGrid w:val="0"/>
                <w:sz w:val="22"/>
                <w:szCs w:val="22"/>
                <w:lang w:bidi="en-US"/>
              </w:rPr>
              <m:t>NRCD</m:t>
            </m:r>
          </m:sup>
        </m:sSubSup>
      </m:oMath>
      <w:r w:rsidRPr="00463734">
        <w:rPr>
          <w:rFonts w:ascii="Minion Pro" w:eastAsia="Times New Roman" w:hAnsi="Minion Pro" w:cs="Minion Pro"/>
          <w:snapToGrid w:val="0"/>
          <w:sz w:val="22"/>
          <w:szCs w:val="22"/>
          <w:lang w:bidi="en-US"/>
        </w:rPr>
        <w:t xml:space="preserve"> is 0, it indicates that the abnormal state of this node will not affect the operation of the power grid.</w:t>
      </w:r>
    </w:p>
    <w:p w14:paraId="13D3C5B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study focuses on CPDS under information attack. Information attack events can target a single information node, or they may involve multiple nodes. Given the independence among information system nodes, the attack on a single node will not affect the operation status of other nodes. Therefore, the probability of an attacker launching a combined attack on multiple targets can be expressed as the cumulative product of the attack probabilities of each target. Additionally, to quantify the increase in risk to the power grid caused by a node being subjected to information attack, all attack events involving that node need to be covered. In attack events involving multiple nodes, the system risk gain can be regarded as the result of the combined effect of multiple attacked nodes. This study adopts the proportional allocation method, based on the weight coefficients of each node, to allocate the harm caused by multi-node attacks. Based on this, Equation </w:t>
      </w:r>
      <w:r w:rsidRPr="00463734">
        <w:rPr>
          <w:rFonts w:eastAsia="宋体" w:cs="Minion Pro" w:hint="eastAsia"/>
          <w:bCs/>
          <w:color w:val="auto"/>
          <w:lang w:eastAsia="zh-CN"/>
        </w:rPr>
        <w:t>S21</w:t>
      </w:r>
      <w:r w:rsidRPr="00463734">
        <w:rPr>
          <w:rFonts w:eastAsia="宋体" w:cs="Minion Pro"/>
          <w:bCs/>
          <w:color w:val="auto"/>
          <w:lang w:eastAsia="zh-CN"/>
        </w:rPr>
        <w:t xml:space="preserve"> can be extended as:</w:t>
      </w:r>
    </w:p>
    <w:p w14:paraId="3E54571E"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j</m:t>
            </m:r>
          </m:sub>
          <m:sup>
            <m:r>
              <m:rPr>
                <m:sty m:val="p"/>
              </m:rPr>
              <w:rPr>
                <w:rFonts w:ascii="Cambria Math" w:hAnsi="Cambria Math" w:cs="Minion Pro"/>
                <w:snapToGrid w:val="0"/>
                <w:sz w:val="22"/>
                <w:szCs w:val="22"/>
                <w:lang w:bidi="en-US"/>
              </w:rPr>
              <m:t>NRCD</m:t>
            </m:r>
          </m:sup>
        </m:sSubSup>
        <m:r>
          <m:rPr>
            <m:sty m:val="p"/>
          </m:rPr>
          <w:rPr>
            <w:rFonts w:ascii="Cambria Math" w:hAnsi="Cambria Math" w:cs="Minion Pro"/>
            <w:snapToGrid w:val="0"/>
            <w:sz w:val="22"/>
            <w:szCs w:val="22"/>
            <w:lang w:bidi="en-US"/>
          </w:rPr>
          <m:t>=</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k∈</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K</m:t>
                </m:r>
              </m:e>
              <m:sub>
                <m:r>
                  <m:rPr>
                    <m:sty m:val="p"/>
                  </m:rPr>
                  <w:rPr>
                    <w:rFonts w:ascii="Cambria Math" w:hAnsi="Cambria Math" w:cs="Minion Pro"/>
                    <w:snapToGrid w:val="0"/>
                    <w:sz w:val="22"/>
                    <w:szCs w:val="22"/>
                    <w:lang w:bidi="en-US"/>
                  </w:rPr>
                  <m:t>j</m:t>
                </m:r>
              </m:sub>
              <m:sup>
                <m:r>
                  <m:rPr>
                    <m:sty m:val="p"/>
                  </m:rPr>
                  <w:rPr>
                    <w:rFonts w:ascii="Cambria Math" w:hAnsi="Cambria Math" w:cs="Minion Pro"/>
                    <w:snapToGrid w:val="0"/>
                    <w:sz w:val="22"/>
                    <w:szCs w:val="22"/>
                    <w:lang w:bidi="en-US"/>
                  </w:rPr>
                  <m:t>attack</m:t>
                </m:r>
              </m:sup>
            </m:sSubSup>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k</m:t>
                </m:r>
              </m:sub>
              <m:sup>
                <m:r>
                  <m:rPr>
                    <m:sty m:val="p"/>
                  </m:rPr>
                  <w:rPr>
                    <w:rFonts w:ascii="Cambria Math" w:hAnsi="Cambria Math" w:cs="Minion Pro"/>
                    <w:snapToGrid w:val="0"/>
                    <w:sz w:val="22"/>
                    <w:szCs w:val="22"/>
                    <w:lang w:bidi="en-US"/>
                  </w:rPr>
                  <m:t>attack</m:t>
                </m:r>
              </m:sup>
            </m:sSubSup>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Q</m:t>
                </m:r>
              </m:e>
              <m:sub>
                <m:r>
                  <m:rPr>
                    <m:sty m:val="p"/>
                  </m:rPr>
                  <w:rPr>
                    <w:rFonts w:ascii="Cambria Math" w:hAnsi="Cambria Math" w:cs="Minion Pro"/>
                    <w:snapToGrid w:val="0"/>
                    <w:sz w:val="22"/>
                    <w:szCs w:val="22"/>
                    <w:lang w:bidi="en-US"/>
                  </w:rPr>
                  <m:t>j,k</m:t>
                </m:r>
              </m:sub>
              <m:sup>
                <m:r>
                  <m:rPr>
                    <m:sty m:val="p"/>
                  </m:rPr>
                  <w:rPr>
                    <w:rFonts w:ascii="Cambria Math" w:hAnsi="Cambria Math" w:cs="Minion Pro"/>
                    <w:snapToGrid w:val="0"/>
                    <w:sz w:val="22"/>
                    <w:szCs w:val="22"/>
                    <w:lang w:bidi="en-US"/>
                  </w:rPr>
                  <m:t>attack</m:t>
                </m:r>
              </m:sup>
            </m:sSubSup>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k</m:t>
                </m:r>
              </m:sub>
              <m:sup>
                <m:r>
                  <m:rPr>
                    <m:sty m:val="p"/>
                  </m:rPr>
                  <w:rPr>
                    <w:rFonts w:ascii="Cambria Math" w:hAnsi="Cambria Math" w:cs="Minion Pro"/>
                    <w:snapToGrid w:val="0"/>
                    <w:sz w:val="22"/>
                    <w:szCs w:val="22"/>
                    <w:lang w:bidi="en-US"/>
                  </w:rPr>
                  <m:t>attack</m:t>
                </m:r>
              </m:sup>
            </m:sSubSup>
          </m:e>
        </m:nary>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(S22)</w:t>
      </w:r>
    </w:p>
    <w:p w14:paraId="449EF3B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k</m:t>
            </m:r>
          </m:sub>
          <m:sup>
            <m:r>
              <m:rPr>
                <m:sty m:val="p"/>
              </m:rPr>
              <w:rPr>
                <w:rFonts w:ascii="Cambria Math" w:hAnsi="Cambria Math" w:cs="Minion Pro"/>
                <w:snapToGrid w:val="0"/>
                <w:sz w:val="22"/>
                <w:szCs w:val="22"/>
                <w:lang w:bidi="en-US"/>
              </w:rPr>
              <m:t>attack</m:t>
            </m:r>
          </m:sup>
        </m:sSubSup>
        <m:r>
          <m:rPr>
            <m:sty m:val="p"/>
          </m:rPr>
          <w:rPr>
            <w:rFonts w:ascii="Cambria Math" w:hAnsi="Cambria Math" w:cs="Minion Pro"/>
            <w:snapToGrid w:val="0"/>
            <w:sz w:val="22"/>
            <w:szCs w:val="22"/>
            <w:lang w:bidi="en-US"/>
          </w:rPr>
          <m:t>=</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v∈</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S</m:t>
                </m:r>
              </m:e>
              <m:sub>
                <m:r>
                  <m:rPr>
                    <m:sty m:val="p"/>
                  </m:rPr>
                  <w:rPr>
                    <w:rFonts w:ascii="Cambria Math" w:hAnsi="Cambria Math" w:cs="Minion Pro"/>
                    <w:snapToGrid w:val="0"/>
                    <w:sz w:val="22"/>
                    <w:szCs w:val="22"/>
                    <w:lang w:bidi="en-US"/>
                  </w:rPr>
                  <m:t>k</m:t>
                </m:r>
              </m:sub>
            </m:sSub>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P</m:t>
                </m:r>
              </m:e>
              <m:sub>
                <m:r>
                  <m:rPr>
                    <m:sty m:val="p"/>
                  </m:rPr>
                  <w:rPr>
                    <w:rFonts w:ascii="Cambria Math" w:hAnsi="Cambria Math" w:cs="Minion Pro"/>
                    <w:snapToGrid w:val="0"/>
                    <w:sz w:val="22"/>
                    <w:szCs w:val="22"/>
                    <w:lang w:bidi="en-US"/>
                  </w:rPr>
                  <m:t>v</m:t>
                </m:r>
              </m:sub>
              <m:sup>
                <m:r>
                  <m:rPr>
                    <m:sty m:val="p"/>
                  </m:rPr>
                  <w:rPr>
                    <w:rFonts w:ascii="Cambria Math" w:hAnsi="Cambria Math" w:cs="Minion Pro"/>
                    <w:snapToGrid w:val="0"/>
                    <w:sz w:val="22"/>
                    <w:szCs w:val="22"/>
                    <w:lang w:bidi="en-US"/>
                  </w:rPr>
                  <m:t>attack</m:t>
                </m:r>
              </m:sup>
            </m:sSubSup>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z∉S\</m:t>
                </m:r>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S</m:t>
                    </m:r>
                  </m:e>
                  <m:sub>
                    <m:r>
                      <m:rPr>
                        <m:sty m:val="p"/>
                      </m:rPr>
                      <w:rPr>
                        <w:rFonts w:ascii="Cambria Math" w:hAnsi="Cambria Math" w:cs="Minion Pro"/>
                        <w:snapToGrid w:val="0"/>
                        <w:sz w:val="22"/>
                        <w:szCs w:val="22"/>
                        <w:lang w:bidi="en-US"/>
                      </w:rPr>
                      <m:t>k</m:t>
                    </m:r>
                  </m:sub>
                </m:sSub>
              </m:sub>
              <m:sup/>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(1-P</m:t>
                    </m:r>
                  </m:e>
                  <m:sub>
                    <m:r>
                      <m:rPr>
                        <m:sty m:val="p"/>
                      </m:rPr>
                      <w:rPr>
                        <w:rFonts w:ascii="Cambria Math" w:hAnsi="Cambria Math" w:cs="Minion Pro"/>
                        <w:snapToGrid w:val="0"/>
                        <w:sz w:val="22"/>
                        <w:szCs w:val="22"/>
                        <w:lang w:bidi="en-US"/>
                      </w:rPr>
                      <m:t>z</m:t>
                    </m:r>
                  </m:sub>
                  <m:sup>
                    <m:r>
                      <m:rPr>
                        <m:sty m:val="p"/>
                      </m:rPr>
                      <w:rPr>
                        <w:rFonts w:ascii="Cambria Math" w:hAnsi="Cambria Math" w:cs="Minion Pro"/>
                        <w:snapToGrid w:val="0"/>
                        <w:sz w:val="22"/>
                        <w:szCs w:val="22"/>
                        <w:lang w:bidi="en-US"/>
                      </w:rPr>
                      <m:t>attack</m:t>
                    </m:r>
                  </m:sup>
                </m:sSubSup>
              </m:e>
            </m:nary>
          </m:e>
        </m:nary>
        <m:r>
          <m:rPr>
            <m:sty m:val="p"/>
          </m:rPr>
          <w:rPr>
            <w:rFonts w:ascii="Cambria Math" w:hAnsi="Cambria Math" w:cs="Minion Pro"/>
            <w:snapToGrid w:val="0"/>
            <w:sz w:val="22"/>
            <w:szCs w:val="22"/>
            <w:lang w:bidi="en-US"/>
          </w:rPr>
          <m:t>)</m:t>
        </m:r>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(S23)</w:t>
      </w:r>
    </w:p>
    <w:p w14:paraId="20F96B5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Q</m:t>
            </m:r>
          </m:e>
          <m:sub>
            <m:r>
              <m:rPr>
                <m:sty m:val="p"/>
              </m:rPr>
              <w:rPr>
                <w:rFonts w:ascii="Cambria Math" w:hAnsi="Cambria Math" w:cs="Minion Pro"/>
                <w:snapToGrid w:val="0"/>
                <w:sz w:val="22"/>
                <w:szCs w:val="22"/>
                <w:lang w:bidi="en-US"/>
              </w:rPr>
              <m:t>j,k</m:t>
            </m:r>
          </m:sub>
          <m:sup>
            <m:r>
              <m:rPr>
                <m:sty m:val="p"/>
              </m:rPr>
              <w:rPr>
                <w:rFonts w:ascii="Cambria Math" w:hAnsi="Cambria Math" w:cs="Minion Pro"/>
                <w:snapToGrid w:val="0"/>
                <w:sz w:val="22"/>
                <w:szCs w:val="22"/>
                <w:lang w:bidi="en-US"/>
              </w:rPr>
              <m:t>attack</m:t>
            </m:r>
          </m:sup>
        </m:sSubSup>
        <m:r>
          <m:rPr>
            <m:sty m:val="p"/>
          </m:rPr>
          <w:rPr>
            <w:rFonts w:ascii="Cambria Math" w:hAnsi="Cambria Math" w:cs="Minion Pro"/>
            <w:snapToGrid w:val="0"/>
            <w:sz w:val="22"/>
            <w:szCs w:val="22"/>
            <w:lang w:bidi="en-US"/>
          </w:rPr>
          <m:t>=</m:t>
        </m:r>
        <m:f>
          <m:fPr>
            <m:ctrlPr>
              <w:rPr>
                <w:rFonts w:ascii="Cambria Math" w:hAnsi="Cambria Math" w:cs="Minion Pro"/>
                <w:snapToGrid w:val="0"/>
                <w:sz w:val="22"/>
                <w:szCs w:val="22"/>
                <w:lang w:bidi="en-US"/>
              </w:rPr>
            </m:ctrlPr>
          </m:fPr>
          <m:num>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C</m:t>
                </m:r>
              </m:e>
              <m:sub>
                <m:r>
                  <m:rPr>
                    <m:sty m:val="p"/>
                  </m:rPr>
                  <w:rPr>
                    <w:rFonts w:ascii="Cambria Math" w:hAnsi="Cambria Math" w:cs="Minion Pro"/>
                    <w:snapToGrid w:val="0"/>
                    <w:sz w:val="22"/>
                    <w:szCs w:val="22"/>
                    <w:lang w:bidi="en-US"/>
                  </w:rPr>
                  <m:t>j</m:t>
                </m:r>
              </m:sub>
            </m:sSub>
          </m:num>
          <m:den>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h∈</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C</m:t>
                    </m:r>
                  </m:e>
                  <m:sub>
                    <m:r>
                      <m:rPr>
                        <m:sty m:val="p"/>
                      </m:rPr>
                      <w:rPr>
                        <w:rFonts w:ascii="Cambria Math" w:hAnsi="Cambria Math" w:cs="Minion Pro"/>
                        <w:snapToGrid w:val="0"/>
                        <w:sz w:val="22"/>
                        <w:szCs w:val="22"/>
                        <w:lang w:bidi="en-US"/>
                      </w:rPr>
                      <m:t>h</m:t>
                    </m:r>
                  </m:sub>
                  <m:sup>
                    <m:r>
                      <m:rPr>
                        <m:sty m:val="p"/>
                      </m:rPr>
                      <w:rPr>
                        <w:rFonts w:ascii="Cambria Math" w:hAnsi="Cambria Math" w:cs="Minion Pro"/>
                        <w:snapToGrid w:val="0"/>
                        <w:sz w:val="22"/>
                        <w:szCs w:val="22"/>
                        <w:lang w:bidi="en-US"/>
                      </w:rPr>
                      <m:t>Down</m:t>
                    </m:r>
                  </m:sup>
                </m:sSubSup>
              </m:sub>
              <m:sup/>
              <m:e>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C</m:t>
                    </m:r>
                  </m:e>
                  <m:sub>
                    <m:r>
                      <m:rPr>
                        <m:sty m:val="p"/>
                      </m:rPr>
                      <w:rPr>
                        <w:rFonts w:ascii="Cambria Math" w:hAnsi="Cambria Math" w:cs="Minion Pro"/>
                        <w:snapToGrid w:val="0"/>
                        <w:sz w:val="22"/>
                        <w:szCs w:val="22"/>
                        <w:lang w:bidi="en-US"/>
                      </w:rPr>
                      <m:t>v</m:t>
                    </m:r>
                  </m:sub>
                </m:sSub>
              </m:e>
            </m:nary>
          </m:den>
        </m:f>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w:t>
      </w:r>
      <w:r w:rsidRPr="00463734">
        <w:rPr>
          <w:rFonts w:ascii="Minion Pro" w:hAnsi="Minion Pro" w:cs="Minion Pro"/>
          <w:snapToGrid w:val="0"/>
          <w:sz w:val="22"/>
          <w:szCs w:val="22"/>
          <w:lang w:bidi="en-US"/>
        </w:rPr>
        <w:t>24</w:t>
      </w:r>
      <w:r w:rsidRPr="00463734">
        <w:rPr>
          <w:rFonts w:ascii="Minion Pro" w:hAnsi="Minion Pro" w:cs="Minion Pro" w:hint="eastAsia"/>
          <w:snapToGrid w:val="0"/>
          <w:sz w:val="22"/>
          <w:szCs w:val="22"/>
          <w:lang w:bidi="en-US"/>
        </w:rPr>
        <w:t>)</w:t>
      </w:r>
    </w:p>
    <w:p w14:paraId="1B977545" w14:textId="77777777" w:rsidR="00055865" w:rsidRPr="00463734" w:rsidRDefault="00000000">
      <w:pPr>
        <w:tabs>
          <w:tab w:val="center" w:pos="4200"/>
          <w:tab w:val="right" w:pos="8295"/>
        </w:tabs>
        <w:adjustRightInd w:val="0"/>
        <w:snapToGrid w:val="0"/>
        <w:spacing w:after="60" w:line="240" w:lineRule="atLeast"/>
        <w:rPr>
          <w:rFonts w:ascii="Minion Pro" w:eastAsia="Times New Roman"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σ</m:t>
            </m:r>
          </m:e>
          <m:sub>
            <m:r>
              <m:rPr>
                <m:sty m:val="p"/>
              </m:rPr>
              <w:rPr>
                <w:rFonts w:ascii="Cambria Math" w:hAnsi="Cambria Math" w:cs="Minion Pro"/>
                <w:snapToGrid w:val="0"/>
                <w:sz w:val="22"/>
                <w:szCs w:val="22"/>
                <w:lang w:bidi="en-US"/>
              </w:rPr>
              <m:t>k</m:t>
            </m:r>
          </m:sub>
          <m:sup>
            <m:r>
              <m:rPr>
                <m:sty m:val="p"/>
              </m:rPr>
              <w:rPr>
                <w:rFonts w:ascii="Cambria Math" w:hAnsi="Cambria Math" w:cs="Minion Pro"/>
                <w:snapToGrid w:val="0"/>
                <w:sz w:val="22"/>
                <w:szCs w:val="22"/>
                <w:lang w:bidi="en-US"/>
              </w:rPr>
              <m:t>attack</m:t>
            </m:r>
          </m:sup>
        </m:sSubSup>
        <m:r>
          <m:rPr>
            <m:sty m:val="p"/>
          </m:rPr>
          <w:rPr>
            <w:rFonts w:ascii="Cambria Math" w:hAnsi="Cambria Math" w:cs="Minion Pro"/>
            <w:snapToGrid w:val="0"/>
            <w:sz w:val="22"/>
            <w:szCs w:val="22"/>
            <w:lang w:bidi="en-US"/>
          </w:rPr>
          <m:t>=</m:t>
        </m:r>
        <m:f>
          <m:fPr>
            <m:ctrlPr>
              <w:rPr>
                <w:rFonts w:ascii="Cambria Math" w:hAnsi="Cambria Math" w:cs="Minion Pro"/>
                <w:snapToGrid w:val="0"/>
                <w:sz w:val="22"/>
                <w:szCs w:val="22"/>
                <w:lang w:bidi="en-US"/>
              </w:rPr>
            </m:ctrlPr>
          </m:fPr>
          <m:num>
            <m:sSup>
              <m:sSupPr>
                <m:ctrlPr>
                  <w:rPr>
                    <w:rFonts w:ascii="Cambria Math" w:hAnsi="Cambria Math" w:cs="Minion Pro"/>
                    <w:snapToGrid w:val="0"/>
                    <w:sz w:val="22"/>
                    <w:szCs w:val="22"/>
                    <w:lang w:bidi="en-US"/>
                  </w:rPr>
                </m:ctrlPr>
              </m:sSupPr>
              <m:e>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k</m:t>
                    </m:r>
                  </m:sub>
                  <m:sup>
                    <m:r>
                      <m:rPr>
                        <m:sty m:val="p"/>
                      </m:rPr>
                      <w:rPr>
                        <w:rFonts w:ascii="Cambria Math" w:hAnsi="Cambria Math" w:cs="Minion Pro"/>
                        <w:snapToGrid w:val="0"/>
                        <w:sz w:val="22"/>
                        <w:szCs w:val="22"/>
                        <w:lang w:bidi="en-US"/>
                      </w:rPr>
                      <m:t>attack</m:t>
                    </m:r>
                  </m:sup>
                </m:sSubSup>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num>
          <m:den>
            <m:sSup>
              <m:sSupPr>
                <m:ctrlPr>
                  <w:rPr>
                    <w:rFonts w:ascii="Cambria Math" w:hAnsi="Cambria Math" w:cs="Minion Pro"/>
                    <w:snapToGrid w:val="0"/>
                    <w:sz w:val="22"/>
                    <w:szCs w:val="22"/>
                    <w:lang w:bidi="en-US"/>
                  </w:rPr>
                </m:ctrlPr>
              </m:sSupPr>
              <m:e>
                <m:r>
                  <m:rPr>
                    <m:sty m:val="p"/>
                  </m:rPr>
                  <w:rPr>
                    <w:rFonts w:ascii="Cambria Math" w:hAnsi="Cambria Math" w:cs="Minion Pro"/>
                    <w:snapToGrid w:val="0"/>
                    <w:sz w:val="22"/>
                    <w:szCs w:val="22"/>
                    <w:lang w:bidi="en-US"/>
                  </w:rPr>
                  <m:t>R</m:t>
                </m:r>
              </m:e>
              <m:sup>
                <m:r>
                  <m:rPr>
                    <m:sty m:val="p"/>
                  </m:rPr>
                  <w:rPr>
                    <w:rFonts w:ascii="Cambria Math" w:hAnsi="Cambria Math" w:cs="Minion Pro"/>
                    <w:snapToGrid w:val="0"/>
                    <w:sz w:val="22"/>
                    <w:szCs w:val="22"/>
                    <w:lang w:bidi="en-US"/>
                  </w:rPr>
                  <m:t>P</m:t>
                </m:r>
              </m:sup>
            </m:sSup>
          </m:den>
        </m:f>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w:t>
      </w:r>
      <w:r w:rsidRPr="00463734">
        <w:rPr>
          <w:rFonts w:ascii="Minion Pro" w:hAnsi="Minion Pro" w:cs="Minion Pro"/>
          <w:snapToGrid w:val="0"/>
          <w:sz w:val="22"/>
          <w:szCs w:val="22"/>
          <w:lang w:bidi="en-US"/>
        </w:rPr>
        <w:t>25</w:t>
      </w:r>
      <w:r w:rsidRPr="00463734">
        <w:rPr>
          <w:rFonts w:ascii="Minion Pro" w:hAnsi="Minion Pro" w:cs="Minion Pro" w:hint="eastAsia"/>
          <w:snapToGrid w:val="0"/>
          <w:sz w:val="22"/>
          <w:szCs w:val="22"/>
          <w:lang w:bidi="en-US"/>
        </w:rPr>
        <w:t>)</w:t>
      </w:r>
    </w:p>
    <w:p w14:paraId="284A5700" w14:textId="77777777" w:rsidR="00055865" w:rsidRPr="00463734" w:rsidRDefault="00000000">
      <w:pPr>
        <w:adjustRightInd w:val="0"/>
        <w:snapToGrid w:val="0"/>
        <w:spacing w:after="60" w:line="240" w:lineRule="atLeast"/>
        <w:ind w:firstLine="425"/>
        <w:rPr>
          <w:rFonts w:ascii="Minion Pro" w:eastAsia="Times New Roman" w:hAnsi="Minion Pro" w:cs="Minion Pro"/>
          <w:snapToGrid w:val="0"/>
          <w:sz w:val="22"/>
          <w:szCs w:val="22"/>
          <w:lang w:bidi="en-US"/>
        </w:rPr>
      </w:pPr>
      <w:r w:rsidRPr="00463734">
        <w:rPr>
          <w:rFonts w:ascii="Minion Pro" w:eastAsia="Times New Roman" w:hAnsi="Minion Pro" w:cs="Minion Pro"/>
          <w:snapToGrid w:val="0"/>
          <w:sz w:val="22"/>
          <w:szCs w:val="22"/>
          <w:lang w:bidi="en-US"/>
        </w:rPr>
        <w:t xml:space="preserve">In the formula: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K</m:t>
            </m:r>
          </m:e>
          <m:sub>
            <m:r>
              <m:rPr>
                <m:sty m:val="p"/>
              </m:rPr>
              <w:rPr>
                <w:rFonts w:ascii="Cambria Math" w:eastAsia="Times New Roman" w:hAnsi="Cambria Math" w:cs="Minion Pro"/>
                <w:snapToGrid w:val="0"/>
                <w:sz w:val="22"/>
                <w:szCs w:val="22"/>
                <w:lang w:bidi="en-US"/>
              </w:rPr>
              <m:t>j</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represents the set of all nodes j included in the information attack event;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k</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probability of the occurrence of attack event k; </w:t>
      </w:r>
      <m:oMath>
        <m:sSub>
          <m:sSubPr>
            <m:ctrlPr>
              <w:rPr>
                <w:rFonts w:ascii="Cambria Math" w:eastAsia="Times New Roman" w:hAnsi="Cambria Math" w:cs="Minion Pro"/>
                <w:snapToGrid w:val="0"/>
                <w:sz w:val="22"/>
                <w:szCs w:val="22"/>
                <w:lang w:bidi="en-US"/>
              </w:rPr>
            </m:ctrlPr>
          </m:sSubPr>
          <m:e>
            <m:r>
              <m:rPr>
                <m:sty m:val="p"/>
              </m:rPr>
              <w:rPr>
                <w:rFonts w:ascii="Cambria Math" w:eastAsia="Times New Roman" w:hAnsi="Cambria Math" w:cs="Minion Pro"/>
                <w:snapToGrid w:val="0"/>
                <w:sz w:val="22"/>
                <w:szCs w:val="22"/>
                <w:lang w:bidi="en-US"/>
              </w:rPr>
              <m:t>S</m:t>
            </m:r>
          </m:e>
          <m:sub>
            <m:r>
              <m:rPr>
                <m:sty m:val="p"/>
              </m:rPr>
              <w:rPr>
                <w:rFonts w:ascii="Cambria Math" w:eastAsia="Times New Roman" w:hAnsi="Cambria Math" w:cs="Minion Pro"/>
                <w:snapToGrid w:val="0"/>
                <w:sz w:val="22"/>
                <w:szCs w:val="22"/>
                <w:lang w:bidi="en-US"/>
              </w:rPr>
              <m:t>k</m:t>
            </m:r>
          </m:sub>
        </m:sSub>
      </m:oMath>
      <w:r w:rsidRPr="00463734">
        <w:rPr>
          <w:rFonts w:ascii="Minion Pro" w:eastAsia="Times New Roman" w:hAnsi="Minion Pro" w:cs="Minion Pro"/>
          <w:snapToGrid w:val="0"/>
          <w:sz w:val="22"/>
          <w:szCs w:val="22"/>
          <w:lang w:bidi="en-US"/>
        </w:rPr>
        <w:t xml:space="preserve"> indicates the </w:t>
      </w:r>
      <w:r w:rsidRPr="00463734">
        <w:rPr>
          <w:rFonts w:ascii="Minion Pro" w:eastAsia="Times New Roman" w:hAnsi="Minion Pro" w:cs="Minion Pro"/>
          <w:snapToGrid w:val="0"/>
          <w:sz w:val="22"/>
          <w:szCs w:val="22"/>
          <w:lang w:bidi="en-US"/>
        </w:rPr>
        <w:lastRenderedPageBreak/>
        <w:t xml:space="preserve">set of all target nodes in attack event k; </w:t>
      </w:r>
      <m:oMath>
        <m:r>
          <m:rPr>
            <m:sty m:val="p"/>
          </m:rPr>
          <w:rPr>
            <w:rFonts w:ascii="Cambria Math" w:eastAsia="Times New Roman" w:hAnsi="Cambria Math" w:cs="Minion Pro"/>
            <w:snapToGrid w:val="0"/>
            <w:sz w:val="22"/>
            <w:szCs w:val="22"/>
            <w:lang w:bidi="en-US"/>
          </w:rPr>
          <m:t>S\</m:t>
        </m:r>
        <m:sSub>
          <m:sSubPr>
            <m:ctrlPr>
              <w:rPr>
                <w:rFonts w:ascii="Cambria Math" w:eastAsia="Times New Roman" w:hAnsi="Cambria Math" w:cs="Minion Pro"/>
                <w:snapToGrid w:val="0"/>
                <w:sz w:val="22"/>
                <w:szCs w:val="22"/>
                <w:lang w:bidi="en-US"/>
              </w:rPr>
            </m:ctrlPr>
          </m:sSubPr>
          <m:e>
            <m:r>
              <m:rPr>
                <m:sty m:val="p"/>
              </m:rPr>
              <w:rPr>
                <w:rFonts w:ascii="Cambria Math" w:eastAsia="Times New Roman" w:hAnsi="Cambria Math" w:cs="Minion Pro"/>
                <w:snapToGrid w:val="0"/>
                <w:sz w:val="22"/>
                <w:szCs w:val="22"/>
                <w:lang w:bidi="en-US"/>
              </w:rPr>
              <m:t>S</m:t>
            </m:r>
          </m:e>
          <m:sub>
            <m:r>
              <m:rPr>
                <m:sty m:val="p"/>
              </m:rPr>
              <w:rPr>
                <w:rFonts w:ascii="Cambria Math" w:eastAsia="Times New Roman" w:hAnsi="Cambria Math" w:cs="Minion Pro"/>
                <w:snapToGrid w:val="0"/>
                <w:sz w:val="22"/>
                <w:szCs w:val="22"/>
                <w:lang w:bidi="en-US"/>
              </w:rPr>
              <m:t>k</m:t>
            </m:r>
          </m:sub>
        </m:sSub>
      </m:oMath>
      <w:r w:rsidRPr="00463734">
        <w:rPr>
          <w:rFonts w:ascii="Minion Pro" w:eastAsia="Times New Roman" w:hAnsi="Minion Pro" w:cs="Minion Pro"/>
          <w:snapToGrid w:val="0"/>
          <w:sz w:val="22"/>
          <w:szCs w:val="22"/>
          <w:lang w:bidi="en-US"/>
        </w:rPr>
        <w:t xml:space="preserve"> represents the set of nodes belonging to the set </w:t>
      </w:r>
      <m:oMath>
        <m:r>
          <m:rPr>
            <m:sty m:val="p"/>
          </m:rPr>
          <w:rPr>
            <w:rFonts w:ascii="Cambria Math" w:eastAsia="Times New Roman" w:hAnsi="Cambria Math" w:cs="Minion Pro"/>
            <w:snapToGrid w:val="0"/>
            <w:sz w:val="22"/>
            <w:szCs w:val="22"/>
            <w:lang w:bidi="en-US"/>
          </w:rPr>
          <m:t>S</m:t>
        </m:r>
      </m:oMath>
      <w:r w:rsidRPr="00463734">
        <w:rPr>
          <w:rFonts w:ascii="Minion Pro" w:eastAsia="Times New Roman" w:hAnsi="Minion Pro" w:cs="Minion Pro"/>
          <w:snapToGrid w:val="0"/>
          <w:sz w:val="22"/>
          <w:szCs w:val="22"/>
          <w:lang w:bidi="en-US"/>
        </w:rPr>
        <w:t xml:space="preserve"> but not to the set </w:t>
      </w:r>
      <m:oMath>
        <m:sSub>
          <m:sSubPr>
            <m:ctrlPr>
              <w:rPr>
                <w:rFonts w:ascii="Cambria Math" w:eastAsia="Times New Roman" w:hAnsi="Cambria Math" w:cs="Minion Pro"/>
                <w:snapToGrid w:val="0"/>
                <w:sz w:val="22"/>
                <w:szCs w:val="22"/>
                <w:lang w:bidi="en-US"/>
              </w:rPr>
            </m:ctrlPr>
          </m:sSubPr>
          <m:e>
            <m:r>
              <m:rPr>
                <m:sty m:val="p"/>
              </m:rPr>
              <w:rPr>
                <w:rFonts w:ascii="Cambria Math" w:eastAsia="Times New Roman" w:hAnsi="Cambria Math" w:cs="Minion Pro"/>
                <w:snapToGrid w:val="0"/>
                <w:sz w:val="22"/>
                <w:szCs w:val="22"/>
                <w:lang w:bidi="en-US"/>
              </w:rPr>
              <m:t>S</m:t>
            </m:r>
          </m:e>
          <m:sub>
            <m:r>
              <m:rPr>
                <m:sty m:val="p"/>
              </m:rPr>
              <w:rPr>
                <w:rFonts w:ascii="Cambria Math" w:eastAsia="Times New Roman" w:hAnsi="Cambria Math" w:cs="Minion Pro"/>
                <w:snapToGrid w:val="0"/>
                <w:sz w:val="22"/>
                <w:szCs w:val="22"/>
                <w:lang w:bidi="en-US"/>
              </w:rPr>
              <m:t>k</m:t>
            </m:r>
          </m:sub>
        </m:sSub>
      </m:oMath>
      <w:r w:rsidRPr="00463734">
        <w:rPr>
          <w:rFonts w:ascii="Minion Pro" w:eastAsia="Times New Roman" w:hAnsi="Minion Pro" w:cs="Minion Pro"/>
          <w:snapToGrid w:val="0"/>
          <w:sz w:val="22"/>
          <w:szCs w:val="22"/>
          <w:lang w:bidi="en-US"/>
        </w:rPr>
        <w:t xml:space="preserve">;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z</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probability of information node z experiencing a failure due to information attack and being affected by attack event 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Q</m:t>
            </m:r>
          </m:e>
          <m:sub>
            <m:r>
              <m:rPr>
                <m:sty m:val="p"/>
              </m:rPr>
              <w:rPr>
                <w:rFonts w:ascii="Cambria Math" w:eastAsia="Times New Roman" w:hAnsi="Cambria Math" w:cs="Minion Pro"/>
                <w:snapToGrid w:val="0"/>
                <w:sz w:val="22"/>
                <w:szCs w:val="22"/>
                <w:lang w:bidi="en-US"/>
              </w:rPr>
              <m:t>j,k</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risk gain ratio of node j in attack event k; </w:t>
      </w:r>
      <m:oMath>
        <m:sSub>
          <m:sSubPr>
            <m:ctrlPr>
              <w:rPr>
                <w:rFonts w:ascii="Cambria Math" w:eastAsia="Times New Roman" w:hAnsi="Cambria Math" w:cs="Minion Pro"/>
                <w:snapToGrid w:val="0"/>
                <w:sz w:val="22"/>
                <w:szCs w:val="22"/>
                <w:lang w:bidi="en-US"/>
              </w:rPr>
            </m:ctrlPr>
          </m:sSubPr>
          <m:e>
            <m:r>
              <m:rPr>
                <m:sty m:val="p"/>
              </m:rPr>
              <w:rPr>
                <w:rFonts w:ascii="Cambria Math" w:eastAsia="Times New Roman" w:hAnsi="Cambria Math" w:cs="Minion Pro"/>
                <w:snapToGrid w:val="0"/>
                <w:sz w:val="22"/>
                <w:szCs w:val="22"/>
                <w:lang w:bidi="en-US"/>
              </w:rPr>
              <m:t>C</m:t>
            </m:r>
          </m:e>
          <m:sub>
            <m:r>
              <m:rPr>
                <m:sty m:val="p"/>
              </m:rPr>
              <w:rPr>
                <w:rFonts w:ascii="Cambria Math" w:eastAsia="Times New Roman" w:hAnsi="Cambria Math" w:cs="Minion Pro"/>
                <w:snapToGrid w:val="0"/>
                <w:sz w:val="22"/>
                <w:szCs w:val="22"/>
                <w:lang w:bidi="en-US"/>
              </w:rPr>
              <m:t>v</m:t>
            </m:r>
          </m:sub>
        </m:sSub>
      </m:oMath>
      <w:r w:rsidRPr="00463734">
        <w:rPr>
          <w:rFonts w:ascii="Minion Pro" w:eastAsia="Times New Roman" w:hAnsi="Minion Pro" w:cs="Minion Pro"/>
          <w:snapToGrid w:val="0"/>
          <w:sz w:val="22"/>
          <w:szCs w:val="22"/>
          <w:lang w:bidi="en-US"/>
        </w:rPr>
        <w:t xml:space="preserve"> represents the proportion sharing coefficient of information node;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σ</m:t>
            </m:r>
          </m:e>
          <m:sub>
            <m:r>
              <m:rPr>
                <m:sty m:val="p"/>
              </m:rPr>
              <w:rPr>
                <w:rFonts w:ascii="Cambria Math" w:eastAsia="Times New Roman" w:hAnsi="Cambria Math" w:cs="Minion Pro"/>
                <w:snapToGrid w:val="0"/>
                <w:sz w:val="22"/>
                <w:szCs w:val="22"/>
                <w:lang w:bidi="en-US"/>
              </w:rPr>
              <m:t>k</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risk gain caused by attack event k to the power system;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R</m:t>
            </m:r>
          </m:e>
          <m:sub>
            <m:r>
              <m:rPr>
                <m:sty m:val="p"/>
              </m:rPr>
              <w:rPr>
                <w:rFonts w:ascii="Cambria Math" w:eastAsia="Times New Roman" w:hAnsi="Cambria Math" w:cs="Minion Pro"/>
                <w:snapToGrid w:val="0"/>
                <w:sz w:val="22"/>
                <w:szCs w:val="22"/>
                <w:lang w:bidi="en-US"/>
              </w:rPr>
              <m:t>k</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hazard of the power system caused by attack event.</w:t>
      </w:r>
    </w:p>
    <w:p w14:paraId="46F866FA" w14:textId="77777777" w:rsidR="00055865" w:rsidRPr="00463734" w:rsidRDefault="00000000">
      <w:pPr>
        <w:adjustRightInd w:val="0"/>
        <w:snapToGrid w:val="0"/>
        <w:spacing w:after="60" w:line="240" w:lineRule="atLeast"/>
        <w:ind w:firstLine="425"/>
        <w:rPr>
          <w:rFonts w:ascii="Minion Pro" w:hAnsi="Minion Pro" w:cs="Minion Pro"/>
          <w:bCs/>
          <w:sz w:val="22"/>
          <w:szCs w:val="22"/>
        </w:rPr>
      </w:pPr>
      <w:r w:rsidRPr="00463734">
        <w:rPr>
          <w:rFonts w:ascii="Minion Pro" w:eastAsia="Times New Roman" w:hAnsi="Minion Pro" w:cs="Minion Pro"/>
          <w:snapToGrid w:val="0"/>
          <w:sz w:val="22"/>
          <w:szCs w:val="22"/>
          <w:lang w:bidi="en-US"/>
        </w:rPr>
        <w:t xml:space="preserve">Through equations </w:t>
      </w:r>
      <w:r w:rsidRPr="00463734">
        <w:rPr>
          <w:rFonts w:ascii="Minion Pro" w:hAnsi="Minion Pro" w:cs="Minion Pro" w:hint="eastAsia"/>
          <w:snapToGrid w:val="0"/>
          <w:sz w:val="22"/>
          <w:szCs w:val="22"/>
          <w:lang w:bidi="en-US"/>
        </w:rPr>
        <w:t>S22</w:t>
      </w:r>
      <w:r w:rsidRPr="00463734">
        <w:rPr>
          <w:rFonts w:ascii="Minion Pro" w:eastAsia="Times New Roman" w:hAnsi="Minion Pro" w:cs="Minion Pro"/>
          <w:snapToGrid w:val="0"/>
          <w:sz w:val="22"/>
          <w:szCs w:val="22"/>
          <w:lang w:bidi="en-US"/>
        </w:rPr>
        <w:t xml:space="preserve"> - </w:t>
      </w:r>
      <w:r w:rsidRPr="00463734">
        <w:rPr>
          <w:rFonts w:ascii="Minion Pro" w:hAnsi="Minion Pro" w:cs="Minion Pro" w:hint="eastAsia"/>
          <w:snapToGrid w:val="0"/>
          <w:sz w:val="22"/>
          <w:szCs w:val="22"/>
          <w:lang w:bidi="en-US"/>
        </w:rPr>
        <w:t>S2</w:t>
      </w:r>
      <w:r w:rsidRPr="00463734">
        <w:rPr>
          <w:rFonts w:ascii="Minion Pro" w:eastAsia="Times New Roman" w:hAnsi="Minion Pro" w:cs="Minion Pro"/>
          <w:snapToGrid w:val="0"/>
          <w:sz w:val="22"/>
          <w:szCs w:val="22"/>
          <w:lang w:bidi="en-US"/>
        </w:rPr>
        <w:t xml:space="preserve">5, the coupling degree of nodes under availability attack and integrity attack can be obtained. Under availability attack,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z</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is the probability of the z-th RTU being attacked and experiencing a failure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z</m:t>
            </m:r>
          </m:sub>
          <m:sup>
            <m:r>
              <m:rPr>
                <m:sty m:val="p"/>
              </m:rPr>
              <w:rPr>
                <w:rFonts w:ascii="Cambria Math" w:eastAsia="Times New Roman" w:hAnsi="Cambria Math" w:cs="Minion Pro"/>
                <w:snapToGrid w:val="0"/>
                <w:sz w:val="22"/>
                <w:szCs w:val="22"/>
                <w:lang w:bidi="en-US"/>
              </w:rPr>
              <m:t>rej</m:t>
            </m:r>
          </m:sup>
        </m:sSubSup>
      </m:oMath>
      <w:r w:rsidRPr="00463734">
        <w:rPr>
          <w:rFonts w:ascii="Minion Pro" w:eastAsia="Times New Roman" w:hAnsi="Minion Pro" w:cs="Minion Pro"/>
          <w:snapToGrid w:val="0"/>
          <w:sz w:val="22"/>
          <w:szCs w:val="22"/>
          <w:lang w:bidi="en-US"/>
        </w:rPr>
        <w:t xml:space="preserve"> ;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R</m:t>
            </m:r>
          </m:e>
          <m:sub>
            <m:r>
              <m:rPr>
                <m:sty m:val="p"/>
              </m:rPr>
              <w:rPr>
                <w:rFonts w:ascii="Cambria Math" w:eastAsia="Times New Roman" w:hAnsi="Cambria Math" w:cs="Minion Pro"/>
                <w:snapToGrid w:val="0"/>
                <w:sz w:val="22"/>
                <w:szCs w:val="22"/>
                <w:lang w:bidi="en-US"/>
              </w:rPr>
              <m:t>k</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hazard caused by attack event k to the power system, and its value can be obtained by setting the failure probability of all target nodes in event k caused by attack to 100% in equations </w:t>
      </w:r>
      <w:r w:rsidRPr="00463734">
        <w:rPr>
          <w:rFonts w:ascii="Minion Pro" w:hAnsi="Minion Pro" w:cs="Minion Pro" w:hint="eastAsia"/>
          <w:snapToGrid w:val="0"/>
          <w:sz w:val="22"/>
          <w:szCs w:val="22"/>
          <w:lang w:bidi="en-US"/>
        </w:rPr>
        <w:t>S1</w:t>
      </w:r>
      <w:r w:rsidRPr="00463734">
        <w:rPr>
          <w:rFonts w:ascii="Minion Pro" w:eastAsia="Times New Roman" w:hAnsi="Minion Pro" w:cs="Minion Pro"/>
          <w:snapToGrid w:val="0"/>
          <w:sz w:val="22"/>
          <w:szCs w:val="22"/>
          <w:lang w:bidi="en-US"/>
        </w:rPr>
        <w:t xml:space="preserve"> - </w:t>
      </w:r>
      <w:r w:rsidRPr="00463734">
        <w:rPr>
          <w:rFonts w:ascii="Minion Pro" w:hAnsi="Minion Pro" w:cs="Minion Pro" w:hint="eastAsia"/>
          <w:snapToGrid w:val="0"/>
          <w:sz w:val="22"/>
          <w:szCs w:val="22"/>
          <w:lang w:bidi="en-US"/>
        </w:rPr>
        <w:t>S9</w:t>
      </w:r>
      <w:r w:rsidRPr="00463734">
        <w:rPr>
          <w:rFonts w:ascii="Minion Pro" w:eastAsia="Times New Roman" w:hAnsi="Minion Pro" w:cs="Minion Pro"/>
          <w:snapToGrid w:val="0"/>
          <w:sz w:val="22"/>
          <w:szCs w:val="22"/>
          <w:lang w:bidi="en-US"/>
        </w:rPr>
        <w:t xml:space="preserve">. Under integrity attack,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z</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is the probability of the z-th RTU being attacked by integrity attack and experiencing a failure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P</m:t>
            </m:r>
          </m:e>
          <m:sub>
            <m:r>
              <m:rPr>
                <m:sty m:val="p"/>
              </m:rPr>
              <w:rPr>
                <w:rFonts w:ascii="Cambria Math" w:eastAsia="Times New Roman" w:hAnsi="Cambria Math" w:cs="Minion Pro"/>
                <w:snapToGrid w:val="0"/>
                <w:sz w:val="22"/>
                <w:szCs w:val="22"/>
                <w:lang w:bidi="en-US"/>
              </w:rPr>
              <m:t>z</m:t>
            </m:r>
          </m:sub>
          <m:sup>
            <m:r>
              <m:rPr>
                <m:sty m:val="p"/>
              </m:rPr>
              <w:rPr>
                <w:rFonts w:ascii="Cambria Math" w:eastAsia="Times New Roman" w:hAnsi="Cambria Math" w:cs="Minion Pro"/>
                <w:snapToGrid w:val="0"/>
                <w:sz w:val="22"/>
                <w:szCs w:val="22"/>
                <w:lang w:bidi="en-US"/>
              </w:rPr>
              <m:t>mis</m:t>
            </m:r>
          </m:sup>
        </m:sSubSup>
      </m:oMath>
      <w:r w:rsidRPr="00463734">
        <w:rPr>
          <w:rFonts w:ascii="Minion Pro" w:eastAsia="Times New Roman" w:hAnsi="Minion Pro" w:cs="Minion Pro"/>
          <w:snapToGrid w:val="0"/>
          <w:sz w:val="22"/>
          <w:szCs w:val="22"/>
          <w:lang w:bidi="en-US"/>
        </w:rPr>
        <w:t xml:space="preserve"> ; </w:t>
      </w:r>
      <m:oMath>
        <m:sSubSup>
          <m:sSubSupPr>
            <m:ctrlPr>
              <w:rPr>
                <w:rFonts w:ascii="Cambria Math" w:eastAsia="Times New Roman" w:hAnsi="Cambria Math" w:cs="Minion Pro"/>
                <w:snapToGrid w:val="0"/>
                <w:sz w:val="22"/>
                <w:szCs w:val="22"/>
                <w:lang w:bidi="en-US"/>
              </w:rPr>
            </m:ctrlPr>
          </m:sSubSupPr>
          <m:e>
            <m:r>
              <m:rPr>
                <m:sty m:val="p"/>
              </m:rPr>
              <w:rPr>
                <w:rFonts w:ascii="Cambria Math" w:eastAsia="Times New Roman" w:hAnsi="Cambria Math" w:cs="Minion Pro"/>
                <w:snapToGrid w:val="0"/>
                <w:sz w:val="22"/>
                <w:szCs w:val="22"/>
                <w:lang w:bidi="en-US"/>
              </w:rPr>
              <m:t>R</m:t>
            </m:r>
          </m:e>
          <m:sub>
            <m:r>
              <m:rPr>
                <m:sty m:val="p"/>
              </m:rPr>
              <w:rPr>
                <w:rFonts w:ascii="Cambria Math" w:eastAsia="Times New Roman" w:hAnsi="Cambria Math" w:cs="Minion Pro"/>
                <w:snapToGrid w:val="0"/>
                <w:sz w:val="22"/>
                <w:szCs w:val="22"/>
                <w:lang w:bidi="en-US"/>
              </w:rPr>
              <m:t>k</m:t>
            </m:r>
          </m:sub>
          <m:sup>
            <m:r>
              <m:rPr>
                <m:sty m:val="p"/>
              </m:rPr>
              <w:rPr>
                <w:rFonts w:ascii="Cambria Math" w:eastAsia="Times New Roman" w:hAnsi="Cambria Math" w:cs="Minion Pro"/>
                <w:snapToGrid w:val="0"/>
                <w:sz w:val="22"/>
                <w:szCs w:val="22"/>
                <w:lang w:bidi="en-US"/>
              </w:rPr>
              <m:t>attack</m:t>
            </m:r>
          </m:sup>
        </m:sSubSup>
      </m:oMath>
      <w:r w:rsidRPr="00463734">
        <w:rPr>
          <w:rFonts w:ascii="Minion Pro" w:eastAsia="Times New Roman" w:hAnsi="Minion Pro" w:cs="Minion Pro"/>
          <w:snapToGrid w:val="0"/>
          <w:sz w:val="22"/>
          <w:szCs w:val="22"/>
          <w:lang w:bidi="en-US"/>
        </w:rPr>
        <w:t xml:space="preserve"> represents the hazard caused by integrity attack event k to the power system, and its value can be obtained by setting the failure probability of all target nodes in event k caused by attack to 100% in equations </w:t>
      </w:r>
      <w:r w:rsidRPr="00463734">
        <w:rPr>
          <w:rFonts w:ascii="Minion Pro" w:hAnsi="Minion Pro" w:cs="Minion Pro" w:hint="eastAsia"/>
          <w:snapToGrid w:val="0"/>
          <w:sz w:val="22"/>
          <w:szCs w:val="22"/>
          <w:lang w:bidi="en-US"/>
        </w:rPr>
        <w:t>S10</w:t>
      </w:r>
      <w:r w:rsidRPr="00463734">
        <w:rPr>
          <w:rFonts w:ascii="Minion Pro" w:eastAsia="Times New Roman" w:hAnsi="Minion Pro" w:cs="Minion Pro"/>
          <w:snapToGrid w:val="0"/>
          <w:sz w:val="22"/>
          <w:szCs w:val="22"/>
          <w:lang w:bidi="en-US"/>
        </w:rPr>
        <w:t xml:space="preserve"> - </w:t>
      </w:r>
      <w:r w:rsidRPr="00463734">
        <w:rPr>
          <w:rFonts w:ascii="Minion Pro" w:hAnsi="Minion Pro" w:cs="Minion Pro" w:hint="eastAsia"/>
          <w:snapToGrid w:val="0"/>
          <w:sz w:val="22"/>
          <w:szCs w:val="22"/>
          <w:lang w:bidi="en-US"/>
        </w:rPr>
        <w:t>S1</w:t>
      </w:r>
      <w:r w:rsidRPr="00463734">
        <w:rPr>
          <w:rFonts w:ascii="Minion Pro" w:eastAsia="Times New Roman" w:hAnsi="Minion Pro" w:cs="Minion Pro"/>
          <w:snapToGrid w:val="0"/>
          <w:sz w:val="22"/>
          <w:szCs w:val="22"/>
          <w:lang w:bidi="en-US"/>
        </w:rPr>
        <w:t>6.</w:t>
      </w:r>
    </w:p>
    <w:p w14:paraId="429365B4" w14:textId="77777777" w:rsidR="00055865" w:rsidRPr="00463734" w:rsidRDefault="00000000">
      <w:pPr>
        <w:pStyle w:val="TSP21heading1"/>
        <w:tabs>
          <w:tab w:val="left" w:pos="0"/>
        </w:tabs>
        <w:outlineLvl w:val="9"/>
        <w:rPr>
          <w:rFonts w:cs="Minion Pro"/>
          <w:color w:val="auto"/>
          <w:lang w:eastAsia="zh-CN"/>
        </w:rPr>
      </w:pPr>
      <w:r w:rsidRPr="00463734">
        <w:rPr>
          <w:rFonts w:eastAsiaTheme="minorEastAsia" w:cs="Minion Pro" w:hint="eastAsia"/>
          <w:color w:val="auto"/>
          <w:lang w:eastAsia="zh-CN"/>
        </w:rPr>
        <w:t xml:space="preserve">2 </w:t>
      </w:r>
      <w:r w:rsidRPr="00463734">
        <w:rPr>
          <w:rFonts w:cs="Minion Pro"/>
          <w:color w:val="auto"/>
          <w:lang w:eastAsia="zh-CN"/>
        </w:rPr>
        <w:t>Optimal Allocation of Security Defense Resources for Distribution Networks</w:t>
      </w:r>
    </w:p>
    <w:p w14:paraId="2BB17EE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Distribution network operators require risk assessment results to optimize security resource allocation against cyber-physical risks. While the node risk coupling index (Section 2) identifies information system vulnerabilities, its resource allocation effectiveness is inferior to optimization models. This section classifies attacks into:</w:t>
      </w:r>
      <w:r w:rsidRPr="00463734">
        <w:rPr>
          <w:rFonts w:eastAsia="宋体" w:cs="Minion Pro" w:hint="eastAsia"/>
          <w:bCs/>
          <w:color w:val="auto"/>
          <w:lang w:eastAsia="zh-CN"/>
        </w:rPr>
        <w:t xml:space="preserve"> 1) </w:t>
      </w:r>
      <w:r w:rsidRPr="00463734">
        <w:rPr>
          <w:rFonts w:eastAsia="宋体" w:cs="Minion Pro"/>
          <w:bCs/>
          <w:color w:val="auto"/>
          <w:lang w:eastAsia="zh-CN"/>
        </w:rPr>
        <w:t>Random attacks: Performed without system topology/load knowledge by attackers with moderate resources;</w:t>
      </w:r>
      <w:r w:rsidRPr="00463734">
        <w:rPr>
          <w:rFonts w:eastAsia="宋体" w:cs="Minion Pro" w:hint="eastAsia"/>
          <w:bCs/>
          <w:color w:val="auto"/>
          <w:lang w:eastAsia="zh-CN"/>
        </w:rPr>
        <w:t xml:space="preserve"> 2) </w:t>
      </w:r>
      <w:r w:rsidRPr="00463734">
        <w:rPr>
          <w:rFonts w:eastAsia="宋体" w:cs="Minion Pro"/>
          <w:bCs/>
          <w:color w:val="auto"/>
          <w:lang w:eastAsia="zh-CN"/>
        </w:rPr>
        <w:t>Targeted attacks: Precise strikes on critical/weakly defended nodes based on full system intelligence.</w:t>
      </w:r>
    </w:p>
    <w:p w14:paraId="535E864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These two types of attack methods have cross-relation with integrity attacks and availability attacks in terms of motivation and means, providing a more detailed description basis for subsequent modeling of attack behaviors. As shown in </w:t>
      </w:r>
      <w:r w:rsidRPr="00463734">
        <w:rPr>
          <w:rFonts w:eastAsia="宋体" w:cs="Minion Pro" w:hint="eastAsia"/>
          <w:bCs/>
          <w:color w:val="auto"/>
          <w:lang w:eastAsia="zh-CN"/>
        </w:rPr>
        <w:t>Table S2</w:t>
      </w:r>
      <w:r w:rsidRPr="00463734">
        <w:rPr>
          <w:rFonts w:eastAsia="宋体" w:cs="Minion Pro"/>
          <w:bCs/>
          <w:color w:val="auto"/>
          <w:lang w:eastAsia="zh-CN"/>
        </w:rPr>
        <w:t>:</w:t>
      </w:r>
    </w:p>
    <w:p w14:paraId="6C528FF5"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Random attacks and targeted attacks, as well as attacks on integrity and attacks on availability. The relationship between them.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2841"/>
        <w:gridCol w:w="2841"/>
      </w:tblGrid>
      <w:tr w:rsidR="00055865" w:rsidRPr="00463734" w14:paraId="2DC500EF" w14:textId="77777777">
        <w:tc>
          <w:tcPr>
            <w:tcW w:w="2840" w:type="dxa"/>
            <w:vAlign w:val="center"/>
          </w:tcPr>
          <w:p w14:paraId="3669AA5B"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Attack Type</w:t>
            </w:r>
          </w:p>
        </w:tc>
        <w:tc>
          <w:tcPr>
            <w:tcW w:w="2841" w:type="dxa"/>
            <w:vAlign w:val="center"/>
          </w:tcPr>
          <w:p w14:paraId="0EB944BF"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Integrity Attack</w:t>
            </w:r>
          </w:p>
        </w:tc>
        <w:tc>
          <w:tcPr>
            <w:tcW w:w="2841" w:type="dxa"/>
            <w:vAlign w:val="center"/>
          </w:tcPr>
          <w:p w14:paraId="748F0523"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Availability Attack</w:t>
            </w:r>
          </w:p>
        </w:tc>
      </w:tr>
      <w:tr w:rsidR="00055865" w:rsidRPr="00463734" w14:paraId="1827A8B3" w14:textId="77777777">
        <w:tc>
          <w:tcPr>
            <w:tcW w:w="2840" w:type="dxa"/>
            <w:vAlign w:val="center"/>
          </w:tcPr>
          <w:p w14:paraId="79C195FB"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Random Attack</w:t>
            </w:r>
          </w:p>
        </w:tc>
        <w:tc>
          <w:tcPr>
            <w:tcW w:w="2841" w:type="dxa"/>
            <w:vAlign w:val="center"/>
          </w:tcPr>
          <w:p w14:paraId="12A3B120"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Randomly tampering with data (such as randomly injecting false data)</w:t>
            </w:r>
          </w:p>
        </w:tc>
        <w:tc>
          <w:tcPr>
            <w:tcW w:w="2841" w:type="dxa"/>
            <w:vAlign w:val="center"/>
          </w:tcPr>
          <w:p w14:paraId="2CCEE4AE"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Randomly launching denial-of-service attacks (such as randomly initiating DDoS attacks)</w:t>
            </w:r>
          </w:p>
        </w:tc>
      </w:tr>
      <w:tr w:rsidR="00055865" w:rsidRPr="00463734" w14:paraId="4D63BA76" w14:textId="77777777">
        <w:tc>
          <w:tcPr>
            <w:tcW w:w="2840" w:type="dxa"/>
            <w:vAlign w:val="center"/>
          </w:tcPr>
          <w:p w14:paraId="447FAB6D"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Targeted Attack</w:t>
            </w:r>
          </w:p>
        </w:tc>
        <w:tc>
          <w:tcPr>
            <w:tcW w:w="2841" w:type="dxa"/>
            <w:vAlign w:val="center"/>
          </w:tcPr>
          <w:p w14:paraId="70E04A9D"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Precisely tampering with critical data (such as FDI targeting specific nodes)</w:t>
            </w:r>
          </w:p>
        </w:tc>
        <w:tc>
          <w:tcPr>
            <w:tcW w:w="2841" w:type="dxa"/>
            <w:vAlign w:val="center"/>
          </w:tcPr>
          <w:p w14:paraId="679B56F4" w14:textId="77777777" w:rsidR="00055865" w:rsidRPr="00463734" w:rsidRDefault="00000000">
            <w:pPr>
              <w:rPr>
                <w:rFonts w:ascii="Minion Pro" w:hAnsi="Minion Pro" w:cs="Minion Pro"/>
                <w:sz w:val="15"/>
                <w:szCs w:val="15"/>
              </w:rPr>
            </w:pPr>
            <w:r w:rsidRPr="00463734">
              <w:rPr>
                <w:rFonts w:ascii="Minion Pro" w:hAnsi="Minion Pro" w:cs="Minion Pro"/>
                <w:sz w:val="15"/>
                <w:szCs w:val="15"/>
              </w:rPr>
              <w:t>Precisely blocking critical services (such as DoS attacks targeting RTU)</w:t>
            </w:r>
          </w:p>
        </w:tc>
      </w:tr>
    </w:tbl>
    <w:p w14:paraId="05F52952" w14:textId="77777777" w:rsidR="00055865" w:rsidRPr="00463734" w:rsidRDefault="00000000">
      <w:pPr>
        <w:pStyle w:val="TSP31text"/>
        <w:spacing w:before="240"/>
        <w:rPr>
          <w:rFonts w:eastAsia="宋体" w:cs="Minion Pro"/>
          <w:bCs/>
          <w:color w:val="auto"/>
          <w:lang w:eastAsia="zh-CN"/>
        </w:rPr>
      </w:pPr>
      <w:r w:rsidRPr="00463734">
        <w:rPr>
          <w:rFonts w:eastAsia="宋体" w:cs="Minion Pro"/>
          <w:bCs/>
          <w:color w:val="auto"/>
          <w:lang w:eastAsia="zh-CN"/>
        </w:rPr>
        <w:t xml:space="preserve">This section takes these two types of attacks as the research objects and proposes a method for optimizing the allocation of distribution network security defense resources. To build an optimization model, a risk expression that can be included in the optimization framework needs to be established. Although the risk assessment framework proposed in the third section has been presented, its essence is an assessment model, which is difficult to directly serve as an optimization objective or constraint. Moreover, information attacks may interact and further increase the difficulty of risk modeling. Therefore, this section, based on the impact analysis in the second section and the risk assessment framework in the third section, divides the distribution network areas according to the RTU location, calculates the impact of different area states on the outage time of load points, and constructs a risk expression </w:t>
      </w:r>
      <w:r w:rsidRPr="00463734">
        <w:rPr>
          <w:rFonts w:eastAsia="宋体" w:cs="Minion Pro"/>
          <w:bCs/>
          <w:color w:val="auto"/>
          <w:lang w:eastAsia="zh-CN"/>
        </w:rPr>
        <w:lastRenderedPageBreak/>
        <w:t>with RTU failure probability as a variable. In the random attack scenario, an optimization configuration model is established with the goal of minimizing risk; in the targeted attack scenario, a double-layer mathematical programming model based on Stackelberg game is constructed to achieve dynamic optimization configuration of defense resources.</w:t>
      </w:r>
    </w:p>
    <w:p w14:paraId="293EEA35" w14:textId="77777777" w:rsidR="00055865" w:rsidRPr="00463734" w:rsidRDefault="00000000">
      <w:pPr>
        <w:pStyle w:val="TSP21heading1"/>
        <w:tabs>
          <w:tab w:val="left" w:pos="0"/>
        </w:tabs>
        <w:outlineLvl w:val="9"/>
        <w:rPr>
          <w:rFonts w:cs="Minion Pro"/>
          <w:i/>
          <w:iCs/>
          <w:color w:val="auto"/>
          <w:lang w:eastAsia="zh-CN"/>
        </w:rPr>
      </w:pPr>
      <w:r w:rsidRPr="00463734">
        <w:rPr>
          <w:rFonts w:eastAsiaTheme="minorEastAsia" w:cs="Minion Pro" w:hint="eastAsia"/>
          <w:i/>
          <w:iCs/>
          <w:color w:val="auto"/>
          <w:lang w:eastAsia="zh-CN"/>
        </w:rPr>
        <w:t xml:space="preserve">2.1 </w:t>
      </w:r>
      <w:r w:rsidRPr="00463734">
        <w:rPr>
          <w:rFonts w:cs="Minion Pro"/>
          <w:i/>
          <w:iCs/>
          <w:color w:val="auto"/>
          <w:lang w:eastAsia="zh-CN"/>
        </w:rPr>
        <w:t>Risk Analysis of Distribution Networks Considering Regional Division</w:t>
      </w:r>
    </w:p>
    <w:p w14:paraId="6DABCEAA"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2.1.1 </w:t>
      </w:r>
      <w:r w:rsidRPr="00463734">
        <w:rPr>
          <w:rFonts w:cs="Minion Pro"/>
          <w:b w:val="0"/>
          <w:bCs/>
          <w:i/>
          <w:iCs/>
          <w:color w:val="auto"/>
          <w:lang w:eastAsia="zh-CN"/>
        </w:rPr>
        <w:t>Distribution Network Area Division</w:t>
      </w:r>
    </w:p>
    <w:p w14:paraId="732440AC"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To analyze the risks of the load nodes, the physical system is divided into four areas: E1 is the upstream area where the power supply path for the load point is located; E2 is the downstream area where the power transfer recovery path is located; E3 is the feeder segment where the load point is located; E4 is the other feeder branches adjacent to this feeder branch. As shown in </w:t>
      </w:r>
      <w:r w:rsidRPr="00463734">
        <w:rPr>
          <w:rFonts w:eastAsia="宋体" w:cs="Minion Pro" w:hint="eastAsia"/>
          <w:bCs/>
          <w:color w:val="auto"/>
          <w:lang w:eastAsia="zh-CN"/>
        </w:rPr>
        <w:t>Figure S9</w:t>
      </w:r>
      <w:r w:rsidRPr="00463734">
        <w:rPr>
          <w:rFonts w:eastAsia="宋体" w:cs="Minion Pro"/>
          <w:bCs/>
          <w:color w:val="auto"/>
          <w:lang w:eastAsia="zh-CN"/>
        </w:rPr>
        <w:t>, B, L, and S represent the lines, loads, and RTU-equipped sectional switches (circuit breakers) respectively. Among them, B1, B2, and B3 belong to the E1 area, B5, B6, and B7 belong to the E2 area, B4 belongs to the E3 area, and the rest belong to the E4 area. In the absence of information attacks, the power outage time of the load point is only affected by the state of the E3 area; however, due to the uncertainty of the allocation of security defense resources and information attacks, the states of the E1, E2, and E4 areas may also have an impact on the power outage time of the load point.</w:t>
      </w:r>
    </w:p>
    <w:p w14:paraId="50D1FC7F"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7FB22020" wp14:editId="6F875D4A">
            <wp:extent cx="3959860" cy="1798955"/>
            <wp:effectExtent l="0" t="0" r="2540" b="4445"/>
            <wp:docPr id="5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1"/>
                    <pic:cNvPicPr>
                      <a:picLocks noChangeAspect="1"/>
                    </pic:cNvPicPr>
                  </pic:nvPicPr>
                  <pic:blipFill>
                    <a:blip r:embed="rId59"/>
                    <a:stretch>
                      <a:fillRect/>
                    </a:stretch>
                  </pic:blipFill>
                  <pic:spPr>
                    <a:xfrm>
                      <a:off x="0" y="0"/>
                      <a:ext cx="3959860" cy="1798955"/>
                    </a:xfrm>
                    <a:prstGeom prst="rect">
                      <a:avLst/>
                    </a:prstGeom>
                    <a:noFill/>
                    <a:ln>
                      <a:noFill/>
                    </a:ln>
                  </pic:spPr>
                </pic:pic>
              </a:graphicData>
            </a:graphic>
          </wp:inline>
        </w:drawing>
      </w:r>
    </w:p>
    <w:p w14:paraId="22D07146"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Schematic diagram of feeder region division</w:t>
      </w:r>
    </w:p>
    <w:p w14:paraId="31965BCE"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2.1.2 </w:t>
      </w:r>
      <w:r w:rsidRPr="00463734">
        <w:rPr>
          <w:rFonts w:cs="Minion Pro"/>
          <w:b w:val="0"/>
          <w:bCs/>
          <w:i/>
          <w:iCs/>
          <w:color w:val="auto"/>
          <w:lang w:eastAsia="zh-CN"/>
        </w:rPr>
        <w:t>Systematic Risk Calculation</w:t>
      </w:r>
    </w:p>
    <w:p w14:paraId="704CAB5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this section's risk scenario, the expected load loss of the system caused by information attacks is the sum of the load losses of all nodes. Therefore, the CPDS risk can be obtained by summing up the risks of each node. The node risk is jointly determined by the probability of load node failures and the power outage time caused by different regional states under information attacks. Regardless of whether the distribution network is in a normal or fault state, information attacks may affect the power system: in the fault state, the states of E1, E2, E3, and E4 regions may all affect the load points; in the normal state, only when the RTU suffers a integrity attack and causes incorrect operation of the switch, will it affect the operation state of the load points. The system risk under information attacks can be expressed as follows:</w:t>
      </w:r>
    </w:p>
    <w:p w14:paraId="48567A68"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sys</m:t>
            </m:r>
          </m:sub>
        </m:sSub>
        <m:r>
          <m:rPr>
            <m:sty m:val="p"/>
          </m:rPr>
          <w:rPr>
            <w:rFonts w:ascii="Cambria Math" w:hAnsi="Cambria Math" w:cs="Minion Pro"/>
            <w:snapToGrid w:val="0"/>
            <w:sz w:val="22"/>
            <w:szCs w:val="22"/>
            <w:lang w:bidi="en-US"/>
          </w:rPr>
          <m:t>=</m:t>
        </m:r>
        <m:nary>
          <m:naryPr>
            <m:chr m:val="∑"/>
            <m:limLoc m:val="undOvr"/>
            <m:supHide m:val="1"/>
            <m:ctrlPr>
              <w:rPr>
                <w:rFonts w:ascii="Cambria Math" w:hAnsi="Cambria Math" w:cs="Minion Pro"/>
                <w:snapToGrid w:val="0"/>
                <w:sz w:val="22"/>
                <w:szCs w:val="22"/>
                <w:lang w:bidi="en-US"/>
              </w:rPr>
            </m:ctrlPr>
          </m:naryPr>
          <m:sub>
            <m:r>
              <m:rPr>
                <m:sty m:val="p"/>
              </m:rPr>
              <w:rPr>
                <w:rFonts w:ascii="Cambria Math" w:hAnsi="Cambria Math" w:cs="Minion Pro"/>
                <w:snapToGrid w:val="0"/>
                <w:sz w:val="22"/>
                <w:szCs w:val="22"/>
                <w:lang w:bidi="en-US"/>
              </w:rPr>
              <m:t>m∈L</m:t>
            </m:r>
          </m:sub>
          <m:sup/>
          <m:e>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m</m:t>
                </m:r>
              </m:sub>
            </m:sSub>
          </m:e>
        </m:nary>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(S26)</w:t>
      </w:r>
    </w:p>
    <w:p w14:paraId="38A2B209"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napToGrid w:val="0"/>
                <w:sz w:val="22"/>
                <w:szCs w:val="22"/>
                <w:lang w:bidi="en-US"/>
              </w:rPr>
            </m:ctrlPr>
          </m:sSub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m</m:t>
            </m:r>
          </m:sub>
        </m:sSub>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m</m:t>
            </m:r>
          </m:sub>
          <m:sup>
            <m:r>
              <m:rPr>
                <m:sty m:val="p"/>
              </m:rPr>
              <w:rPr>
                <w:rFonts w:ascii="Cambria Math" w:hAnsi="Cambria Math" w:cs="Minion Pro"/>
                <w:snapToGrid w:val="0"/>
                <w:sz w:val="22"/>
                <w:szCs w:val="22"/>
                <w:lang w:bidi="en-US"/>
              </w:rPr>
              <m:t>P_abn</m:t>
            </m:r>
          </m:sup>
        </m:sSubSup>
        <m:r>
          <m:rPr>
            <m:sty m:val="p"/>
          </m:rPr>
          <w:rPr>
            <w:rFonts w:ascii="Cambria Math" w:hAnsi="Cambria Math" w:cs="Minion Pro"/>
            <w:snapToGrid w:val="0"/>
            <w:sz w:val="22"/>
            <w:szCs w:val="22"/>
            <w:lang w:bidi="en-US"/>
          </w:rPr>
          <m:t>+</m:t>
        </m:r>
        <m:sSubSup>
          <m:sSubSupPr>
            <m:ctrlPr>
              <w:rPr>
                <w:rFonts w:ascii="Cambria Math" w:hAnsi="Cambria Math" w:cs="Minion Pro"/>
                <w:snapToGrid w:val="0"/>
                <w:sz w:val="22"/>
                <w:szCs w:val="22"/>
                <w:lang w:bidi="en-US"/>
              </w:rPr>
            </m:ctrlPr>
          </m:sSubSupPr>
          <m:e>
            <m:r>
              <m:rPr>
                <m:sty m:val="p"/>
              </m:rPr>
              <w:rPr>
                <w:rFonts w:ascii="Cambria Math" w:hAnsi="Cambria Math" w:cs="Minion Pro"/>
                <w:snapToGrid w:val="0"/>
                <w:sz w:val="22"/>
                <w:szCs w:val="22"/>
                <w:lang w:bidi="en-US"/>
              </w:rPr>
              <m:t>R</m:t>
            </m:r>
          </m:e>
          <m:sub>
            <m:r>
              <m:rPr>
                <m:sty m:val="p"/>
              </m:rPr>
              <w:rPr>
                <w:rFonts w:ascii="Cambria Math" w:hAnsi="Cambria Math" w:cs="Minion Pro"/>
                <w:snapToGrid w:val="0"/>
                <w:sz w:val="22"/>
                <w:szCs w:val="22"/>
                <w:lang w:bidi="en-US"/>
              </w:rPr>
              <m:t>m</m:t>
            </m:r>
          </m:sub>
          <m:sup>
            <m:r>
              <m:rPr>
                <m:sty m:val="p"/>
              </m:rPr>
              <w:rPr>
                <w:rFonts w:ascii="Cambria Math" w:hAnsi="Cambria Math" w:cs="Minion Pro"/>
                <w:snapToGrid w:val="0"/>
                <w:sz w:val="22"/>
                <w:szCs w:val="22"/>
                <w:lang w:bidi="en-US"/>
              </w:rPr>
              <m:t>P_nor</m:t>
            </m:r>
          </m:sup>
        </m:sSubSup>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(S27)</w:t>
      </w:r>
    </w:p>
    <w:p w14:paraId="5494DD55"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R</m:t>
            </m:r>
          </m:e>
          <m:sub>
            <m:r>
              <w:rPr>
                <w:rFonts w:ascii="Cambria Math" w:hAnsi="Cambria Math" w:cs="Minion Pro"/>
                <w:sz w:val="22"/>
              </w:rPr>
              <m:t>m</m:t>
            </m:r>
          </m:sub>
          <m:sup>
            <m:r>
              <m:rPr>
                <m:sty m:val="p"/>
              </m:rPr>
              <w:rPr>
                <w:rFonts w:ascii="Cambria Math" w:hAnsi="Cambria Math" w:cs="Minion Pro"/>
                <w:sz w:val="22"/>
              </w:rPr>
              <m:t>P-abn</m:t>
            </m:r>
          </m:sup>
        </m:sSubSup>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i∈</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E1</m:t>
                </m:r>
              </m:sub>
            </m:sSub>
          </m:sub>
          <m:sup/>
          <m:e>
            <m:sSub>
              <m:sSubPr>
                <m:ctrlPr>
                  <w:rPr>
                    <w:rFonts w:ascii="Cambria Math" w:hAnsi="Cambria Math" w:cs="Minion Pro"/>
                    <w:sz w:val="22"/>
                  </w:rPr>
                </m:ctrlPr>
              </m:sSubPr>
              <m:e>
                <m:r>
                  <w:rPr>
                    <w:rFonts w:ascii="Cambria Math" w:hAnsi="Cambria Math" w:cs="Minion Pro"/>
                    <w:sz w:val="22"/>
                  </w:rPr>
                  <m:t>r</m:t>
                </m:r>
              </m:e>
              <m:sub>
                <m:r>
                  <w:rPr>
                    <w:rFonts w:ascii="Cambria Math" w:hAnsi="Cambria Math" w:cs="Minion Pro"/>
                    <w:sz w:val="22"/>
                  </w:rPr>
                  <m:t>m-i</m:t>
                </m:r>
              </m:sub>
            </m:sSub>
          </m:e>
        </m:nary>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j∈</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E2</m:t>
                </m:r>
              </m:sub>
            </m:sSub>
          </m:sub>
          <m:sup/>
          <m:e>
            <m:sSub>
              <m:sSubPr>
                <m:ctrlPr>
                  <w:rPr>
                    <w:rFonts w:ascii="Cambria Math" w:hAnsi="Cambria Math" w:cs="Minion Pro"/>
                    <w:sz w:val="22"/>
                  </w:rPr>
                </m:ctrlPr>
              </m:sSubPr>
              <m:e>
                <m:r>
                  <w:rPr>
                    <w:rFonts w:ascii="Cambria Math" w:hAnsi="Cambria Math" w:cs="Minion Pro"/>
                    <w:sz w:val="22"/>
                  </w:rPr>
                  <m:t>r</m:t>
                </m:r>
              </m:e>
              <m:sub>
                <m:r>
                  <w:rPr>
                    <w:rFonts w:ascii="Cambria Math" w:hAnsi="Cambria Math" w:cs="Minion Pro"/>
                    <w:sz w:val="22"/>
                  </w:rPr>
                  <m:t>m-j</m:t>
                </m:r>
              </m:sub>
            </m:sSub>
          </m:e>
        </m:nary>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k∈</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E3</m:t>
                </m:r>
              </m:sub>
            </m:sSub>
          </m:sub>
          <m:sup/>
          <m:e>
            <m:sSub>
              <m:sSubPr>
                <m:ctrlPr>
                  <w:rPr>
                    <w:rFonts w:ascii="Cambria Math" w:hAnsi="Cambria Math" w:cs="Minion Pro"/>
                    <w:sz w:val="22"/>
                  </w:rPr>
                </m:ctrlPr>
              </m:sSubPr>
              <m:e>
                <m:r>
                  <w:rPr>
                    <w:rFonts w:ascii="Cambria Math" w:hAnsi="Cambria Math" w:cs="Minion Pro"/>
                    <w:sz w:val="22"/>
                  </w:rPr>
                  <m:t>r</m:t>
                </m:r>
              </m:e>
              <m:sub>
                <m:r>
                  <w:rPr>
                    <w:rFonts w:ascii="Cambria Math" w:hAnsi="Cambria Math" w:cs="Minion Pro"/>
                    <w:sz w:val="22"/>
                  </w:rPr>
                  <m:t>m-k</m:t>
                </m:r>
              </m:sub>
            </m:sSub>
          </m:e>
        </m:nary>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l∈</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E4</m:t>
                </m:r>
              </m:sub>
            </m:sSub>
          </m:sub>
          <m:sup/>
          <m:e>
            <m:sSub>
              <m:sSubPr>
                <m:ctrlPr>
                  <w:rPr>
                    <w:rFonts w:ascii="Cambria Math" w:hAnsi="Cambria Math" w:cs="Minion Pro"/>
                    <w:sz w:val="22"/>
                  </w:rPr>
                </m:ctrlPr>
              </m:sSubPr>
              <m:e>
                <m:r>
                  <w:rPr>
                    <w:rFonts w:ascii="Cambria Math" w:hAnsi="Cambria Math" w:cs="Minion Pro"/>
                    <w:sz w:val="22"/>
                  </w:rPr>
                  <m:t>r</m:t>
                </m:r>
              </m:e>
              <m:sub>
                <m:r>
                  <w:rPr>
                    <w:rFonts w:ascii="Cambria Math" w:hAnsi="Cambria Math" w:cs="Minion Pro"/>
                    <w:sz w:val="22"/>
                  </w:rPr>
                  <m:t>m-l</m:t>
                </m:r>
              </m:sub>
            </m:sSub>
          </m:e>
        </m:nary>
      </m:oMath>
      <w:r w:rsidRPr="00463734">
        <w:rPr>
          <w:rFonts w:ascii="Minion Pro" w:hAnsi="Minion Pro" w:cs="Minion Pro"/>
          <w:sz w:val="22"/>
        </w:rPr>
        <w:tab/>
      </w:r>
      <w:r w:rsidRPr="00463734">
        <w:rPr>
          <w:rFonts w:ascii="Minion Pro" w:hAnsi="Minion Pro" w:cs="Minion Pro" w:hint="eastAsia"/>
          <w:snapToGrid w:val="0"/>
          <w:sz w:val="22"/>
          <w:szCs w:val="22"/>
          <w:lang w:bidi="en-US"/>
        </w:rPr>
        <w:t>(S28)</w:t>
      </w:r>
    </w:p>
    <w:p w14:paraId="6DFBEC74"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r</m:t>
            </m:r>
          </m:e>
          <m:sub>
            <m:r>
              <w:rPr>
                <w:rFonts w:ascii="Cambria Math" w:hAnsi="Cambria Math" w:cs="Minion Pro"/>
                <w:sz w:val="22"/>
              </w:rPr>
              <m:t>m-i</m:t>
            </m:r>
          </m:sub>
        </m:sSub>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λ</m:t>
            </m:r>
          </m:e>
          <m:sub>
            <m:r>
              <w:rPr>
                <w:rFonts w:ascii="Cambria Math" w:hAnsi="Cambria Math" w:cs="Minion Pro"/>
                <w:sz w:val="22"/>
              </w:rPr>
              <m:t>m-i</m:t>
            </m:r>
          </m:sub>
          <m:sup>
            <m:r>
              <m:rPr>
                <m:sty m:val="p"/>
              </m:rPr>
              <w:rPr>
                <w:rFonts w:ascii="Cambria Math" w:hAnsi="Cambria Math" w:cs="Minion Pro"/>
                <w:sz w:val="22"/>
              </w:rPr>
              <m:t>B</m:t>
            </m:r>
          </m:sup>
        </m:sSubSup>
        <m:sSubSup>
          <m:sSubSupPr>
            <m:ctrlPr>
              <w:rPr>
                <w:rFonts w:ascii="Cambria Math" w:hAnsi="Cambria Math" w:cs="Minion Pro"/>
                <w:sz w:val="22"/>
              </w:rPr>
            </m:ctrlPr>
          </m:sSubSupPr>
          <m:e>
            <m:r>
              <w:rPr>
                <w:rFonts w:ascii="Cambria Math" w:hAnsi="Cambria Math" w:cs="Minion Pro"/>
                <w:sz w:val="22"/>
              </w:rPr>
              <m:t>d</m:t>
            </m:r>
          </m:e>
          <m:sub>
            <m:r>
              <w:rPr>
                <w:rFonts w:ascii="Cambria Math" w:hAnsi="Cambria Math" w:cs="Minion Pro"/>
                <w:sz w:val="22"/>
              </w:rPr>
              <m:t>m-i</m:t>
            </m:r>
          </m:sub>
          <m:sup>
            <m:r>
              <m:rPr>
                <m:sty m:val="p"/>
              </m:rPr>
              <w:rPr>
                <w:rFonts w:ascii="Cambria Math" w:hAnsi="Cambria Math" w:cs="Minion Pro"/>
                <w:sz w:val="22"/>
              </w:rPr>
              <m:t>B</m:t>
            </m:r>
          </m:sup>
        </m:sSubSup>
        <m:sSub>
          <m:sSubPr>
            <m:ctrlPr>
              <w:rPr>
                <w:rFonts w:ascii="Cambria Math" w:hAnsi="Cambria Math" w:cs="Minion Pro"/>
                <w:sz w:val="22"/>
              </w:rPr>
            </m:ctrlPr>
          </m:sSubPr>
          <m:e>
            <m:r>
              <w:rPr>
                <w:rFonts w:ascii="Cambria Math" w:hAnsi="Cambria Math" w:cs="Minion Pro"/>
                <w:sz w:val="22"/>
              </w:rPr>
              <m:t>L</m:t>
            </m:r>
          </m:e>
          <m:sub>
            <m:r>
              <m:rPr>
                <m:sty m:val="p"/>
              </m:rPr>
              <w:rPr>
                <w:rFonts w:ascii="Cambria Math" w:hAnsi="Cambria Math" w:cs="Minion Pro"/>
                <w:sz w:val="22"/>
              </w:rPr>
              <m:t>m</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(S29)</w:t>
      </w:r>
    </w:p>
    <w:p w14:paraId="74AB1187"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lastRenderedPageBreak/>
        <w:tab/>
      </w:r>
      <m:oMath>
        <m:sSubSup>
          <m:sSubSupPr>
            <m:ctrlPr>
              <w:rPr>
                <w:rFonts w:ascii="Cambria Math" w:hAnsi="Cambria Math" w:cs="Minion Pro"/>
                <w:sz w:val="22"/>
              </w:rPr>
            </m:ctrlPr>
          </m:sSubSupPr>
          <m:e>
            <m:r>
              <w:rPr>
                <w:rFonts w:ascii="Cambria Math" w:hAnsi="Cambria Math" w:cs="Minion Pro"/>
                <w:sz w:val="22"/>
              </w:rPr>
              <m:t>R</m:t>
            </m:r>
          </m:e>
          <m:sub>
            <m:r>
              <w:rPr>
                <w:rFonts w:ascii="Cambria Math" w:hAnsi="Cambria Math" w:cs="Minion Pro"/>
                <w:sz w:val="22"/>
              </w:rPr>
              <m:t>m</m:t>
            </m:r>
          </m:sub>
          <m:sup>
            <m:sSub>
              <m:sSubPr>
                <m:ctrlPr>
                  <w:rPr>
                    <w:rFonts w:ascii="Cambria Math" w:hAnsi="Cambria Math" w:cs="Minion Pro"/>
                    <w:sz w:val="22"/>
                  </w:rPr>
                </m:ctrlPr>
              </m:sSubPr>
              <m:e>
                <m:r>
                  <m:rPr>
                    <m:sty m:val="p"/>
                  </m:rPr>
                  <w:rPr>
                    <w:rFonts w:ascii="Cambria Math" w:hAnsi="Cambria Math" w:cs="Minion Pro"/>
                    <w:sz w:val="22"/>
                  </w:rPr>
                  <m:t>P</m:t>
                </m:r>
              </m:e>
              <m:sub>
                <m:r>
                  <w:rPr>
                    <w:rFonts w:ascii="Cambria Math" w:hAnsi="Cambria Math" w:cs="Minion Pro"/>
                    <w:sz w:val="22"/>
                  </w:rPr>
                  <m:t>-</m:t>
                </m:r>
              </m:sub>
            </m:sSub>
            <m:r>
              <m:rPr>
                <m:sty m:val="p"/>
              </m:rPr>
              <w:rPr>
                <w:rFonts w:ascii="Cambria Math" w:hAnsi="Cambria Math" w:cs="Minion Pro"/>
                <w:sz w:val="22"/>
              </w:rPr>
              <m:t>nor</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λ</m:t>
            </m:r>
          </m:e>
          <m:sub>
            <m:r>
              <w:rPr>
                <w:rFonts w:ascii="Cambria Math" w:hAnsi="Cambria Math" w:cs="Minion Pro"/>
                <w:sz w:val="22"/>
              </w:rPr>
              <m:t>m</m:t>
            </m:r>
          </m:sub>
          <m:sup>
            <m:r>
              <m:rPr>
                <m:sty m:val="p"/>
              </m:rPr>
              <w:rPr>
                <w:rFonts w:ascii="Cambria Math" w:hAnsi="Cambria Math" w:cs="Minion Pro"/>
                <w:sz w:val="22"/>
              </w:rPr>
              <m:t>s</m:t>
            </m:r>
          </m:sup>
        </m:sSubSup>
        <m:sSubSup>
          <m:sSubSupPr>
            <m:ctrlPr>
              <w:rPr>
                <w:rFonts w:ascii="Cambria Math" w:hAnsi="Cambria Math" w:cs="Minion Pro"/>
                <w:sz w:val="22"/>
              </w:rPr>
            </m:ctrlPr>
          </m:sSubSupPr>
          <m:e>
            <m:r>
              <w:rPr>
                <w:rFonts w:ascii="Cambria Math" w:hAnsi="Cambria Math" w:cs="Minion Pro"/>
                <w:sz w:val="22"/>
              </w:rPr>
              <m:t>d</m:t>
            </m:r>
          </m:e>
          <m:sub>
            <m:r>
              <w:rPr>
                <w:rFonts w:ascii="Cambria Math" w:hAnsi="Cambria Math" w:cs="Minion Pro"/>
                <w:sz w:val="22"/>
              </w:rPr>
              <m:t>m</m:t>
            </m:r>
          </m:sub>
          <m:sup>
            <m:r>
              <m:rPr>
                <m:sty m:val="p"/>
              </m:rPr>
              <w:rPr>
                <w:rFonts w:ascii="Cambria Math" w:hAnsi="Cambria Math" w:cs="Minion Pro"/>
                <w:sz w:val="22"/>
              </w:rPr>
              <m:t>s</m:t>
            </m:r>
          </m:sup>
        </m:sSubSup>
        <m:sSub>
          <m:sSubPr>
            <m:ctrlPr>
              <w:rPr>
                <w:rFonts w:ascii="Cambria Math" w:hAnsi="Cambria Math" w:cs="Minion Pro"/>
                <w:sz w:val="22"/>
              </w:rPr>
            </m:ctrlPr>
          </m:sSubPr>
          <m:e>
            <m:r>
              <w:rPr>
                <w:rFonts w:ascii="Cambria Math" w:hAnsi="Cambria Math" w:cs="Minion Pro"/>
                <w:sz w:val="22"/>
              </w:rPr>
              <m:t>L</m:t>
            </m:r>
          </m:e>
          <m:sub>
            <m:r>
              <m:rPr>
                <m:sty m:val="p"/>
              </m:rPr>
              <w:rPr>
                <w:rFonts w:ascii="Cambria Math" w:hAnsi="Cambria Math" w:cs="Minion Pro"/>
                <w:sz w:val="22"/>
              </w:rPr>
              <m:t>m</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(S30)</w:t>
      </w:r>
    </w:p>
    <w:p w14:paraId="61CC5DC1" w14:textId="77777777" w:rsidR="00055865" w:rsidRPr="00463734" w:rsidRDefault="00000000">
      <w:pPr>
        <w:spacing w:after="60" w:line="240" w:lineRule="atLeast"/>
        <w:ind w:firstLine="420"/>
        <w:rPr>
          <w:rFonts w:ascii="Minion Pro" w:hAnsi="Minion Pro" w:cs="Minion Pro"/>
        </w:rPr>
      </w:pPr>
      <w:r w:rsidRPr="00463734">
        <w:rPr>
          <w:rFonts w:ascii="Minion Pro" w:hAnsi="Minion Pro" w:cs="Minion Pro"/>
        </w:rPr>
        <w:t xml:space="preserve">In the formula: L represents the set of all load points in the system; </w:t>
      </w:r>
      <m:oMath>
        <m:sSubSup>
          <m:sSubSupPr>
            <m:ctrlPr>
              <w:rPr>
                <w:rFonts w:ascii="Cambria Math" w:hAnsi="Cambria Math" w:cs="Minion Pro"/>
              </w:rPr>
            </m:ctrlPr>
          </m:sSubSupPr>
          <m:e>
            <m:r>
              <m:rPr>
                <m:sty m:val="p"/>
              </m:rPr>
              <w:rPr>
                <w:rFonts w:ascii="Cambria Math" w:hAnsi="Cambria Math" w:cs="Minion Pro"/>
              </w:rPr>
              <m:t>R</m:t>
            </m:r>
          </m:e>
          <m:sub>
            <m:r>
              <m:rPr>
                <m:sty m:val="p"/>
              </m:rPr>
              <w:rPr>
                <w:rFonts w:ascii="Cambria Math" w:hAnsi="Cambria Math" w:cs="Minion Pro"/>
              </w:rPr>
              <m:t>m</m:t>
            </m:r>
          </m:sub>
          <m:sup>
            <m:r>
              <m:rPr>
                <m:sty m:val="p"/>
              </m:rPr>
              <w:rPr>
                <w:rFonts w:ascii="Cambria Math" w:hAnsi="Cambria Math" w:cs="Minion Pro"/>
              </w:rPr>
              <m:t>P-abn</m:t>
            </m:r>
          </m:sup>
        </m:sSubSup>
      </m:oMath>
      <w:r w:rsidRPr="00463734">
        <w:rPr>
          <w:rFonts w:ascii="Minion Pro" w:hAnsi="Minion Pro" w:cs="Minion Pro"/>
        </w:rPr>
        <w:t xml:space="preserve"> , </w:t>
      </w:r>
      <m:oMath>
        <m:sSubSup>
          <m:sSubSupPr>
            <m:ctrlPr>
              <w:rPr>
                <w:rFonts w:ascii="Cambria Math" w:hAnsi="Cambria Math" w:cs="Minion Pro"/>
              </w:rPr>
            </m:ctrlPr>
          </m:sSubSupPr>
          <m:e>
            <m:r>
              <m:rPr>
                <m:sty m:val="p"/>
              </m:rPr>
              <w:rPr>
                <w:rFonts w:ascii="Cambria Math" w:hAnsi="Cambria Math" w:cs="Minion Pro"/>
              </w:rPr>
              <m:t xml:space="preserve"> R</m:t>
            </m:r>
          </m:e>
          <m:sub>
            <m:r>
              <m:rPr>
                <m:sty m:val="p"/>
              </m:rPr>
              <w:rPr>
                <w:rFonts w:ascii="Cambria Math" w:hAnsi="Cambria Math" w:cs="Minion Pro"/>
              </w:rPr>
              <m:t>m</m:t>
            </m:r>
          </m:sub>
          <m:sup>
            <m:sSub>
              <m:sSubPr>
                <m:ctrlPr>
                  <w:rPr>
                    <w:rFonts w:ascii="Cambria Math" w:hAnsi="Cambria Math" w:cs="Minion Pro"/>
                  </w:rPr>
                </m:ctrlPr>
              </m:sSubPr>
              <m:e>
                <m:r>
                  <m:rPr>
                    <m:sty m:val="p"/>
                  </m:rPr>
                  <w:rPr>
                    <w:rFonts w:ascii="Cambria Math" w:hAnsi="Cambria Math" w:cs="Minion Pro"/>
                  </w:rPr>
                  <m:t>P</m:t>
                </m:r>
              </m:e>
              <m:sub>
                <m:r>
                  <m:rPr>
                    <m:sty m:val="p"/>
                  </m:rPr>
                  <w:rPr>
                    <w:rFonts w:ascii="Cambria Math" w:hAnsi="Cambria Math" w:cs="Minion Pro"/>
                  </w:rPr>
                  <m:t>-</m:t>
                </m:r>
              </m:sub>
            </m:sSub>
            <m:r>
              <m:rPr>
                <m:sty m:val="p"/>
              </m:rPr>
              <w:rPr>
                <w:rFonts w:ascii="Cambria Math" w:hAnsi="Cambria Math" w:cs="Minion Pro"/>
              </w:rPr>
              <m:t>nor</m:t>
            </m:r>
          </m:sup>
        </m:sSubSup>
      </m:oMath>
      <w:r w:rsidRPr="00463734">
        <w:rPr>
          <w:rFonts w:ascii="Minion Pro" w:hAnsi="Minion Pro" w:cs="Minion Pro"/>
        </w:rPr>
        <w:t xml:space="preserve"> respectively represent the load node risks in the normal state and fault state of the physical system; BE1, BE2, BE3, BE4 respectively represent the E1, E2, E3 and E4 areas; </w:t>
      </w:r>
      <m:oMath>
        <m:sSubSup>
          <m:sSubSupPr>
            <m:ctrlPr>
              <w:rPr>
                <w:rFonts w:ascii="Cambria Math" w:hAnsi="Cambria Math" w:cs="Minion Pro"/>
              </w:rPr>
            </m:ctrlPr>
          </m:sSubSupPr>
          <m:e>
            <m:r>
              <m:rPr>
                <m:sty m:val="p"/>
              </m:rPr>
              <w:rPr>
                <w:rFonts w:ascii="Cambria Math" w:hAnsi="Cambria Math" w:cs="Minion Pro"/>
              </w:rPr>
              <m:t>λ</m:t>
            </m:r>
          </m:e>
          <m:sub>
            <m:r>
              <m:rPr>
                <m:sty m:val="p"/>
              </m:rPr>
              <w:rPr>
                <w:rFonts w:ascii="Cambria Math" w:hAnsi="Cambria Math" w:cs="Minion Pro"/>
              </w:rPr>
              <m:t>m-i</m:t>
            </m:r>
          </m:sub>
          <m:sup>
            <m:r>
              <m:rPr>
                <m:sty m:val="p"/>
              </m:rPr>
              <w:rPr>
                <w:rFonts w:ascii="Cambria Math" w:hAnsi="Cambria Math" w:cs="Minion Pro"/>
              </w:rPr>
              <m:t>B</m:t>
            </m:r>
          </m:sup>
        </m:sSubSup>
      </m:oMath>
      <w:r w:rsidRPr="00463734">
        <w:rPr>
          <w:rFonts w:ascii="Minion Pro" w:hAnsi="Minion Pro" w:cs="Minion Pro"/>
        </w:rPr>
        <w:t xml:space="preserve"> is the failure rate of load node m due to the failure of bus i; </w:t>
      </w:r>
      <m:oMath>
        <m:sSubSup>
          <m:sSubSupPr>
            <m:ctrlPr>
              <w:rPr>
                <w:rFonts w:ascii="Cambria Math" w:hAnsi="Cambria Math" w:cs="Minion Pro"/>
              </w:rPr>
            </m:ctrlPr>
          </m:sSubSupPr>
          <m:e>
            <m:r>
              <m:rPr>
                <m:sty m:val="p"/>
              </m:rPr>
              <w:rPr>
                <w:rFonts w:ascii="Cambria Math" w:hAnsi="Cambria Math" w:cs="Minion Pro"/>
              </w:rPr>
              <m:t>d</m:t>
            </m:r>
          </m:e>
          <m:sub>
            <m:r>
              <m:rPr>
                <m:sty m:val="p"/>
              </m:rPr>
              <w:rPr>
                <w:rFonts w:ascii="Cambria Math" w:hAnsi="Cambria Math" w:cs="Minion Pro"/>
              </w:rPr>
              <m:t>m-i</m:t>
            </m:r>
          </m:sub>
          <m:sup>
            <m:r>
              <m:rPr>
                <m:sty m:val="p"/>
              </m:rPr>
              <w:rPr>
                <w:rFonts w:ascii="Cambria Math" w:hAnsi="Cambria Math" w:cs="Minion Pro"/>
              </w:rPr>
              <m:t>B</m:t>
            </m:r>
          </m:sup>
        </m:sSubSup>
      </m:oMath>
      <w:r w:rsidRPr="00463734">
        <w:rPr>
          <w:rFonts w:ascii="Minion Pro" w:hAnsi="Minion Pro" w:cs="Minion Pro"/>
        </w:rPr>
        <w:t xml:space="preserve"> is the power outage time of load node m due to the failure of bus i; Lm is the power of load point m; </w:t>
      </w:r>
      <m:oMath>
        <m:sSubSup>
          <m:sSubSupPr>
            <m:ctrlPr>
              <w:rPr>
                <w:rFonts w:ascii="Cambria Math" w:hAnsi="Cambria Math" w:cs="Minion Pro"/>
              </w:rPr>
            </m:ctrlPr>
          </m:sSubSupPr>
          <m:e>
            <m:r>
              <m:rPr>
                <m:sty m:val="p"/>
              </m:rPr>
              <w:rPr>
                <w:rFonts w:ascii="Cambria Math" w:hAnsi="Cambria Math" w:cs="Minion Pro"/>
              </w:rPr>
              <m:t>λ</m:t>
            </m:r>
          </m:e>
          <m:sub>
            <m:r>
              <m:rPr>
                <m:sty m:val="p"/>
              </m:rPr>
              <w:rPr>
                <w:rFonts w:ascii="Cambria Math" w:hAnsi="Cambria Math" w:cs="Minion Pro"/>
              </w:rPr>
              <m:t>m</m:t>
            </m:r>
          </m:sub>
          <m:sup>
            <m:r>
              <m:rPr>
                <m:sty m:val="p"/>
              </m:rPr>
              <w:rPr>
                <w:rFonts w:ascii="Cambria Math" w:hAnsi="Cambria Math" w:cs="Minion Pro"/>
              </w:rPr>
              <m:t>s</m:t>
            </m:r>
          </m:sup>
        </m:sSubSup>
      </m:oMath>
      <w:r w:rsidRPr="00463734">
        <w:rPr>
          <w:rFonts w:ascii="Minion Pro" w:hAnsi="Minion Pro" w:cs="Minion Pro"/>
        </w:rPr>
        <w:t xml:space="preserve"> is the probability of power outage of load point m due to the integrity attack of RTU in the normal state; </w:t>
      </w:r>
      <m:oMath>
        <m:sSubSup>
          <m:sSubSupPr>
            <m:ctrlPr>
              <w:rPr>
                <w:rFonts w:ascii="Cambria Math" w:hAnsi="Cambria Math" w:cs="Minion Pro"/>
              </w:rPr>
            </m:ctrlPr>
          </m:sSubSupPr>
          <m:e>
            <m:r>
              <m:rPr>
                <m:sty m:val="p"/>
              </m:rPr>
              <w:rPr>
                <w:rFonts w:ascii="Cambria Math" w:hAnsi="Cambria Math" w:cs="Minion Pro"/>
              </w:rPr>
              <m:t>d</m:t>
            </m:r>
          </m:e>
          <m:sub>
            <m:r>
              <m:rPr>
                <m:sty m:val="p"/>
              </m:rPr>
              <w:rPr>
                <w:rFonts w:ascii="Cambria Math" w:hAnsi="Cambria Math" w:cs="Minion Pro"/>
              </w:rPr>
              <m:t>m</m:t>
            </m:r>
          </m:sub>
          <m:sup>
            <m:r>
              <m:rPr>
                <m:sty m:val="p"/>
              </m:rPr>
              <w:rPr>
                <w:rFonts w:ascii="Cambria Math" w:hAnsi="Cambria Math" w:cs="Minion Pro"/>
              </w:rPr>
              <m:t>s</m:t>
            </m:r>
          </m:sup>
        </m:sSubSup>
      </m:oMath>
      <w:r w:rsidRPr="00463734">
        <w:rPr>
          <w:rFonts w:ascii="Minion Pro" w:hAnsi="Minion Pro" w:cs="Minion Pro"/>
        </w:rPr>
        <w:t xml:space="preserve"> is the time of power outage of load point m due to the integrity attack of RTU in the normal state.</w:t>
      </w:r>
    </w:p>
    <w:p w14:paraId="78359CBC"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order to calculate the risk of the load point under information attacks, it is necessary to analyze the impact of the above-mentioned areas on the load point under different conditions. In this section, the impacts of faults and normal conditions of E1, E2, E3, and E4 areas on the load point are analyzed respectively.</w:t>
      </w:r>
    </w:p>
    <w:p w14:paraId="3BCAE084"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The Impact of the E1 Area Failure</w:t>
      </w:r>
    </w:p>
    <w:p w14:paraId="71140A7B"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If a fault occurs in the B2 area, it may affect the operating status of the load point L4, as shown in </w:t>
      </w:r>
      <w:r w:rsidRPr="00463734">
        <w:rPr>
          <w:rFonts w:eastAsia="宋体" w:cs="Minion Pro" w:hint="eastAsia"/>
          <w:bCs/>
          <w:color w:val="auto"/>
          <w:lang w:eastAsia="zh-CN"/>
        </w:rPr>
        <w:t>Figure S10</w:t>
      </w:r>
      <w:r w:rsidRPr="00463734">
        <w:rPr>
          <w:rFonts w:eastAsia="宋体" w:cs="Minion Pro"/>
          <w:bCs/>
          <w:color w:val="auto"/>
          <w:lang w:eastAsia="zh-CN"/>
        </w:rPr>
        <w:t>.</w:t>
      </w:r>
    </w:p>
    <w:p w14:paraId="28E30B6B"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3712CEDA" wp14:editId="67965B7B">
            <wp:extent cx="3959860" cy="1527810"/>
            <wp:effectExtent l="0" t="0" r="2540" b="8890"/>
            <wp:docPr id="56"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0"/>
                    <pic:cNvPicPr>
                      <a:picLocks noChangeAspect="1"/>
                    </pic:cNvPicPr>
                  </pic:nvPicPr>
                  <pic:blipFill>
                    <a:blip r:embed="rId60"/>
                    <a:stretch>
                      <a:fillRect/>
                    </a:stretch>
                  </pic:blipFill>
                  <pic:spPr>
                    <a:xfrm>
                      <a:off x="0" y="0"/>
                      <a:ext cx="3959860" cy="1527810"/>
                    </a:xfrm>
                    <a:prstGeom prst="rect">
                      <a:avLst/>
                    </a:prstGeom>
                    <a:noFill/>
                    <a:ln>
                      <a:noFill/>
                    </a:ln>
                  </pic:spPr>
                </pic:pic>
              </a:graphicData>
            </a:graphic>
          </wp:inline>
        </w:drawing>
      </w:r>
    </w:p>
    <w:p w14:paraId="2939CFBB"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Impact of B2 failure on the load node</w:t>
      </w:r>
    </w:p>
    <w:p w14:paraId="29E2F3D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probability of power outage at the load point caused by faults in the B2 area can be expressed as:</w:t>
      </w:r>
    </w:p>
    <w:p w14:paraId="02B0DD04"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4-2</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2</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(S31)</w:t>
      </w:r>
    </w:p>
    <w:p w14:paraId="561BA37D" w14:textId="77777777"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 xml:space="preserve">In the formula: </w:t>
      </w:r>
      <m:oMath>
        <m:sSub>
          <m:sSubPr>
            <m:ctrlPr>
              <w:rPr>
                <w:rFonts w:ascii="Cambria Math" w:hAnsi="Cambria Math" w:cs="Minion Pro"/>
                <w:sz w:val="22"/>
                <w:szCs w:val="22"/>
              </w:rPr>
            </m:ctrlPr>
          </m:sSubPr>
          <m:e>
            <m:r>
              <m:rPr>
                <m:sty m:val="p"/>
              </m:rPr>
              <w:rPr>
                <w:rFonts w:ascii="Cambria Math" w:hAnsi="Cambria Math" w:cs="Minion Pro"/>
                <w:sz w:val="22"/>
                <w:szCs w:val="22"/>
              </w:rPr>
              <m:t>λ</m:t>
            </m:r>
          </m:e>
          <m:sub>
            <m:r>
              <m:rPr>
                <m:sty m:val="p"/>
              </m:rPr>
              <w:rPr>
                <w:rFonts w:ascii="Cambria Math" w:hAnsi="Cambria Math" w:cs="Minion Pro"/>
                <w:sz w:val="22"/>
                <w:szCs w:val="22"/>
              </w:rPr>
              <m:t>2</m:t>
            </m:r>
          </m:sub>
        </m:sSub>
      </m:oMath>
      <w:r w:rsidRPr="00463734">
        <w:rPr>
          <w:rFonts w:ascii="Minion Pro" w:hAnsi="Minion Pro" w:cs="Minion Pro"/>
          <w:sz w:val="22"/>
          <w:szCs w:val="22"/>
        </w:rPr>
        <w:t xml:space="preserve"> represents the failure rate of B2.</w:t>
      </w:r>
    </w:p>
    <w:p w14:paraId="7D5BE5B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power outage duration of the load nodes caused by the fault on B2 is:</w:t>
      </w:r>
    </w:p>
    <w:p w14:paraId="4988EFF4"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d</m:t>
            </m:r>
          </m:e>
          <m:sub>
            <m:r>
              <w:rPr>
                <w:rFonts w:ascii="Cambria Math" w:hAnsi="Cambria Math" w:cs="Minion Pro"/>
                <w:sz w:val="22"/>
              </w:rPr>
              <m:t>4-2</m:t>
            </m:r>
          </m:sub>
          <m:sup>
            <m:r>
              <m:rPr>
                <m:sty m:val="p"/>
              </m:rPr>
              <w:rPr>
                <w:rFonts w:ascii="Cambria Math" w:hAnsi="Cambria Math" w:cs="Minion Pro"/>
                <w:sz w:val="22"/>
              </w:rPr>
              <m:t>B</m:t>
            </m:r>
          </m:sup>
        </m:sSubSup>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1</m:t>
            </m:r>
          </m:sub>
        </m:sSub>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r>
          <w:rPr>
            <w:rFonts w:ascii="Cambria Math" w:hAnsi="Cambria Math" w:cs="Minion Pro"/>
            <w:sz w:val="22"/>
          </w:rPr>
          <m:t>+(1-</m:t>
        </m:r>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1</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1</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(S32)</w:t>
      </w:r>
    </w:p>
    <w:p w14:paraId="256A4653" w14:textId="77777777" w:rsidR="00055865" w:rsidRPr="00463734" w:rsidRDefault="00000000">
      <w:pPr>
        <w:spacing w:after="60" w:line="240" w:lineRule="atLeast"/>
        <w:rPr>
          <w:rFonts w:ascii="Minion Pro" w:hAnsi="Minion Pro" w:cs="Minion Pro"/>
          <w:sz w:val="22"/>
          <w:szCs w:val="22"/>
        </w:rPr>
      </w:pPr>
      <w:r w:rsidRPr="00463734">
        <w:rPr>
          <w:rFonts w:ascii="Minion Pro" w:hAnsi="Minion Pro" w:cs="Minion Pro"/>
          <w:sz w:val="22"/>
          <w:szCs w:val="22"/>
        </w:rPr>
        <w:t>Among them:</w:t>
      </w:r>
    </w:p>
    <w:p w14:paraId="79189A18"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1</m:t>
            </m:r>
          </m:sub>
        </m:sSub>
        <m:r>
          <w:rPr>
            <w:rFonts w:ascii="Cambria Math" w:hAnsi="Cambria Math" w:cs="Minion Pro"/>
            <w:sz w:val="22"/>
          </w:rPr>
          <m:t>=[1-(1-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4</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5</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6</m:t>
                </m:r>
              </m:sub>
            </m:sSub>
          </m:sub>
          <m:sup>
            <m:r>
              <m:rPr>
                <m:sty m:val="p"/>
              </m:rPr>
              <w:rPr>
                <w:rFonts w:ascii="Cambria Math" w:hAnsi="Cambria Math" w:cs="Minion Pro"/>
                <w:sz w:val="22"/>
              </w:rPr>
              <m:t>mis</m:t>
            </m:r>
          </m:sup>
        </m:sSubSup>
        <m:r>
          <w:rPr>
            <w:rFonts w:ascii="Cambria Math" w:hAnsi="Cambria Math" w:cs="Minion Pro"/>
            <w:sz w:val="22"/>
          </w:rPr>
          <m:t>)]</m:t>
        </m:r>
      </m:oMath>
      <w:r w:rsidRPr="00463734">
        <w:rPr>
          <w:rFonts w:ascii="Minion Pro" w:hAnsi="Minion Pro" w:cs="Minion Pro"/>
          <w:sz w:val="22"/>
        </w:rPr>
        <w:tab/>
      </w:r>
    </w:p>
    <w:p w14:paraId="3FDC708C"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rej</m:t>
            </m:r>
          </m:sup>
        </m:sSubSup>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rej</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4</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5</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6</m:t>
                </m:r>
              </m:sub>
            </m:sSub>
          </m:sub>
          <m:sup>
            <m:r>
              <m:rPr>
                <m:sty m:val="p"/>
              </m:rPr>
              <w:rPr>
                <w:rFonts w:ascii="Cambria Math" w:hAnsi="Cambria Math" w:cs="Minion Pro"/>
                <w:sz w:val="22"/>
              </w:rPr>
              <m:t>mis</m:t>
            </m:r>
          </m:sup>
        </m:sSubSup>
        <m:r>
          <w:rPr>
            <w:rFonts w:ascii="Cambria Math" w:hAnsi="Cambria Math" w:cs="Minion Pro"/>
            <w:sz w:val="22"/>
          </w:rPr>
          <m:t>)</m:t>
        </m:r>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(S33)</w:t>
      </w:r>
    </w:p>
    <w:p w14:paraId="06D67F02"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1</m:t>
            </m:r>
          </m:sub>
        </m:sSub>
        <m:r>
          <w:rPr>
            <w:rFonts w:ascii="Cambria Math" w:hAnsi="Cambria Math" w:cs="Minion Pro"/>
            <w:sz w:val="22"/>
          </w:rPr>
          <m:t>=(1-</m:t>
        </m:r>
        <m:sSub>
          <m:sSubPr>
            <m:ctrlPr>
              <w:rPr>
                <w:rFonts w:ascii="Cambria Math" w:hAnsi="Cambria Math" w:cs="Minion Pro"/>
                <w:sz w:val="22"/>
              </w:rPr>
            </m:ctrlPr>
          </m:sSubPr>
          <m:e>
            <m:r>
              <w:rPr>
                <w:rFonts w:ascii="Cambria Math" w:hAnsi="Cambria Math" w:cs="Minion Pro"/>
                <w:sz w:val="22"/>
              </w:rPr>
              <m:t>P</m:t>
            </m:r>
          </m:e>
          <m:sub>
            <m:r>
              <w:rPr>
                <w:rFonts w:ascii="Cambria Math" w:hAnsi="Cambria Math" w:cs="Minion Pro"/>
                <w:sz w:val="22"/>
              </w:rPr>
              <m:t>as</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rst</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P</m:t>
            </m:r>
          </m:e>
          <m:sub>
            <m:r>
              <w:rPr>
                <w:rFonts w:ascii="Cambria Math" w:hAnsi="Cambria Math" w:cs="Minion Pro"/>
                <w:sz w:val="22"/>
              </w:rPr>
              <m:t>as</m:t>
            </m:r>
          </m:sub>
        </m:sSub>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(S34)</w:t>
      </w:r>
    </w:p>
    <w:p w14:paraId="6DD32287"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m:rPr>
                <m:sty m:val="p"/>
              </m:rPr>
              <w:rPr>
                <w:rFonts w:ascii="Cambria Math" w:hAnsi="Cambria Math" w:cs="Minion Pro"/>
                <w:sz w:val="22"/>
              </w:rPr>
              <m:t>P</m:t>
            </m:r>
          </m:e>
          <m:sub>
            <m:r>
              <m:rPr>
                <m:sty m:val="p"/>
              </m:rPr>
              <w:rPr>
                <w:rFonts w:ascii="Cambria Math" w:hAnsi="Cambria Math" w:cs="Minion Pro"/>
                <w:sz w:val="22"/>
              </w:rPr>
              <m:t>as</m:t>
            </m:r>
          </m:sub>
        </m:sSub>
        <m:r>
          <m:rPr>
            <m:sty m:val="p"/>
          </m:rPr>
          <w:rPr>
            <w:rFonts w:ascii="Cambria Math" w:hAnsi="Cambria Math" w:cs="Minion Pro"/>
            <w:sz w:val="22"/>
          </w:rPr>
          <m:t>=[1-(1-</m:t>
        </m:r>
        <m:sSubSup>
          <m:sSubSupPr>
            <m:ctrlPr>
              <w:rPr>
                <w:rFonts w:ascii="Cambria Math" w:hAnsi="Cambria Math" w:cs="Minion Pro"/>
                <w:sz w:val="22"/>
              </w:rPr>
            </m:ctrlPr>
          </m:sSubSupPr>
          <m:e>
            <m:r>
              <m:rPr>
                <m:sty m:val="p"/>
              </m:rPr>
              <w:rPr>
                <w:rFonts w:ascii="Cambria Math" w:hAnsi="Cambria Math" w:cs="Minion Pro"/>
                <w:sz w:val="22"/>
              </w:rPr>
              <m:t>P</m:t>
            </m:r>
          </m:e>
          <m:sub>
            <m:sSub>
              <m:sSubPr>
                <m:ctrlPr>
                  <w:rPr>
                    <w:rFonts w:ascii="Cambria Math" w:hAnsi="Cambria Math" w:cs="Minion Pro"/>
                    <w:sz w:val="22"/>
                  </w:rPr>
                </m:ctrlPr>
              </m:sSubPr>
              <m:e>
                <m:r>
                  <m:rPr>
                    <m:sty m:val="p"/>
                  </m:rPr>
                  <w:rPr>
                    <w:rFonts w:ascii="Cambria Math" w:hAnsi="Cambria Math" w:cs="Minion Pro"/>
                    <w:sz w:val="22"/>
                  </w:rPr>
                  <m:t>S</m:t>
                </m:r>
              </m:e>
              <m:sub>
                <m:r>
                  <m:rPr>
                    <m:sty m:val="p"/>
                  </m:rPr>
                  <w:rPr>
                    <w:rFonts w:ascii="Cambria Math" w:hAnsi="Cambria Math" w:cs="Minion Pro"/>
                    <w:sz w:val="22"/>
                  </w:rPr>
                  <m:t>4</m:t>
                </m:r>
              </m:sub>
            </m:sSub>
          </m:sub>
          <m:sup>
            <m:r>
              <m:rPr>
                <m:sty m:val="p"/>
              </m:rPr>
              <w:rPr>
                <w:rFonts w:ascii="Cambria Math" w:hAnsi="Cambria Math" w:cs="Minion Pro"/>
                <w:sz w:val="22"/>
              </w:rPr>
              <m:t>mis</m:t>
            </m:r>
          </m:sup>
        </m:sSubSup>
        <m:r>
          <m:rPr>
            <m:sty m:val="p"/>
          </m:rPr>
          <w:rPr>
            <w:rFonts w:ascii="Cambria Math" w:hAnsi="Cambria Math" w:cs="Minion Pro"/>
            <w:sz w:val="22"/>
          </w:rPr>
          <m:t>)(1-</m:t>
        </m:r>
        <m:sSubSup>
          <m:sSubSupPr>
            <m:ctrlPr>
              <w:rPr>
                <w:rFonts w:ascii="Cambria Math" w:hAnsi="Cambria Math" w:cs="Minion Pro"/>
                <w:sz w:val="22"/>
              </w:rPr>
            </m:ctrlPr>
          </m:sSubSupPr>
          <m:e>
            <m:r>
              <m:rPr>
                <m:sty m:val="p"/>
              </m:rPr>
              <w:rPr>
                <w:rFonts w:ascii="Cambria Math" w:hAnsi="Cambria Math" w:cs="Minion Pro"/>
                <w:sz w:val="22"/>
              </w:rPr>
              <m:t>P</m:t>
            </m:r>
          </m:e>
          <m:sub>
            <m:sSub>
              <m:sSubPr>
                <m:ctrlPr>
                  <w:rPr>
                    <w:rFonts w:ascii="Cambria Math" w:hAnsi="Cambria Math" w:cs="Minion Pro"/>
                    <w:sz w:val="22"/>
                  </w:rPr>
                </m:ctrlPr>
              </m:sSubPr>
              <m:e>
                <m:r>
                  <m:rPr>
                    <m:sty m:val="p"/>
                  </m:rPr>
                  <w:rPr>
                    <w:rFonts w:ascii="Cambria Math" w:hAnsi="Cambria Math" w:cs="Minion Pro"/>
                    <w:sz w:val="22"/>
                  </w:rPr>
                  <m:t>S</m:t>
                </m:r>
              </m:e>
              <m:sub>
                <m:r>
                  <m:rPr>
                    <m:sty m:val="p"/>
                  </m:rPr>
                  <w:rPr>
                    <w:rFonts w:ascii="Cambria Math" w:hAnsi="Cambria Math" w:cs="Minion Pro"/>
                    <w:sz w:val="22"/>
                  </w:rPr>
                  <m:t>5</m:t>
                </m:r>
              </m:sub>
            </m:sSub>
          </m:sub>
          <m:sup>
            <m:r>
              <m:rPr>
                <m:sty m:val="p"/>
              </m:rPr>
              <w:rPr>
                <w:rFonts w:ascii="Cambria Math" w:hAnsi="Cambria Math" w:cs="Minion Pro"/>
                <w:sz w:val="22"/>
              </w:rPr>
              <m:t>mis</m:t>
            </m:r>
          </m:sup>
        </m:sSubSup>
        <m:r>
          <m:rPr>
            <m:sty m:val="p"/>
          </m:rPr>
          <w:rPr>
            <w:rFonts w:ascii="Cambria Math" w:hAnsi="Cambria Math" w:cs="Minion Pro"/>
            <w:sz w:val="22"/>
          </w:rPr>
          <m:t>)(1-</m:t>
        </m:r>
        <m:sSubSup>
          <m:sSubSupPr>
            <m:ctrlPr>
              <w:rPr>
                <w:rFonts w:ascii="Cambria Math" w:hAnsi="Cambria Math" w:cs="Minion Pro"/>
                <w:sz w:val="22"/>
              </w:rPr>
            </m:ctrlPr>
          </m:sSubSupPr>
          <m:e>
            <m:r>
              <m:rPr>
                <m:sty m:val="p"/>
              </m:rPr>
              <w:rPr>
                <w:rFonts w:ascii="Cambria Math" w:hAnsi="Cambria Math" w:cs="Minion Pro"/>
                <w:sz w:val="22"/>
              </w:rPr>
              <m:t>P</m:t>
            </m:r>
          </m:e>
          <m:sub>
            <m:sSub>
              <m:sSubPr>
                <m:ctrlPr>
                  <w:rPr>
                    <w:rFonts w:ascii="Cambria Math" w:hAnsi="Cambria Math" w:cs="Minion Pro"/>
                    <w:sz w:val="22"/>
                  </w:rPr>
                </m:ctrlPr>
              </m:sSubPr>
              <m:e>
                <m:r>
                  <m:rPr>
                    <m:sty m:val="p"/>
                  </m:rPr>
                  <w:rPr>
                    <w:rFonts w:ascii="Cambria Math" w:hAnsi="Cambria Math" w:cs="Minion Pro"/>
                    <w:sz w:val="22"/>
                  </w:rPr>
                  <m:t>S</m:t>
                </m:r>
              </m:e>
              <m:sub>
                <m:r>
                  <m:rPr>
                    <m:sty m:val="p"/>
                  </m:rPr>
                  <w:rPr>
                    <w:rFonts w:ascii="Cambria Math" w:hAnsi="Cambria Math" w:cs="Minion Pro"/>
                    <w:sz w:val="22"/>
                  </w:rPr>
                  <m:t>6</m:t>
                </m:r>
              </m:sub>
            </m:sSub>
          </m:sub>
          <m:sup>
            <m:r>
              <m:rPr>
                <m:sty m:val="p"/>
              </m:rPr>
              <w:rPr>
                <w:rFonts w:ascii="Cambria Math" w:hAnsi="Cambria Math" w:cs="Minion Pro"/>
                <w:sz w:val="22"/>
              </w:rPr>
              <m:t>mis</m:t>
            </m:r>
          </m:sup>
        </m:sSubSup>
        <m:r>
          <m:rPr>
            <m:sty m:val="p"/>
          </m:rPr>
          <w:rPr>
            <w:rFonts w:ascii="Cambria Math" w:hAnsi="Cambria Math" w:cs="Minion Pro"/>
            <w:sz w:val="22"/>
          </w:rPr>
          <m:t>)(1-</m:t>
        </m:r>
        <m:sSubSup>
          <m:sSubSupPr>
            <m:ctrlPr>
              <w:rPr>
                <w:rFonts w:ascii="Cambria Math" w:hAnsi="Cambria Math" w:cs="Minion Pro"/>
                <w:sz w:val="22"/>
              </w:rPr>
            </m:ctrlPr>
          </m:sSubSupPr>
          <m:e>
            <m:r>
              <m:rPr>
                <m:sty m:val="p"/>
              </m:rPr>
              <w:rPr>
                <w:rFonts w:ascii="Cambria Math" w:hAnsi="Cambria Math" w:cs="Minion Pro"/>
                <w:sz w:val="22"/>
              </w:rPr>
              <m:t>P</m:t>
            </m:r>
          </m:e>
          <m:sub>
            <m:sSub>
              <m:sSubPr>
                <m:ctrlPr>
                  <w:rPr>
                    <w:rFonts w:ascii="Cambria Math" w:hAnsi="Cambria Math" w:cs="Minion Pro"/>
                    <w:sz w:val="22"/>
                  </w:rPr>
                </m:ctrlPr>
              </m:sSubPr>
              <m:e>
                <m:r>
                  <m:rPr>
                    <m:sty m:val="p"/>
                  </m:rPr>
                  <w:rPr>
                    <w:rFonts w:ascii="Cambria Math" w:hAnsi="Cambria Math" w:cs="Minion Pro"/>
                    <w:sz w:val="22"/>
                  </w:rPr>
                  <m:t>S</m:t>
                </m:r>
              </m:e>
              <m:sub>
                <m:r>
                  <m:rPr>
                    <m:sty m:val="p"/>
                  </m:rPr>
                  <w:rPr>
                    <w:rFonts w:ascii="Cambria Math" w:hAnsi="Cambria Math" w:cs="Minion Pro"/>
                    <w:sz w:val="22"/>
                  </w:rPr>
                  <m:t>10</m:t>
                </m:r>
              </m:sub>
            </m:sSub>
          </m:sub>
          <m:sup>
            <m:r>
              <m:rPr>
                <m:sty m:val="p"/>
              </m:rPr>
              <w:rPr>
                <w:rFonts w:ascii="Cambria Math" w:hAnsi="Cambria Math" w:cs="Minion Pro"/>
                <w:sz w:val="22"/>
              </w:rPr>
              <m:t>rej</m:t>
            </m:r>
          </m:sup>
        </m:sSubSup>
        <m:r>
          <m:rPr>
            <m:sty m:val="p"/>
          </m:rPr>
          <w:rPr>
            <w:rFonts w:ascii="Cambria Math" w:hAnsi="Cambria Math" w:cs="Minion Pro"/>
            <w:sz w:val="22"/>
          </w:rPr>
          <m:t>)]</m:t>
        </m:r>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(S35)</w:t>
      </w:r>
    </w:p>
    <w:p w14:paraId="57E074BA" w14:textId="77777777" w:rsidR="00055865" w:rsidRPr="00463734" w:rsidRDefault="00000000">
      <w:pPr>
        <w:spacing w:after="60" w:line="240" w:lineRule="atLeast"/>
        <w:ind w:firstLine="420"/>
        <w:rPr>
          <w:rFonts w:ascii="Minion Pro" w:hAnsi="Minion Pro" w:cs="Minion Pro"/>
        </w:rPr>
      </w:pPr>
      <w:r w:rsidRPr="00463734">
        <w:rPr>
          <w:rFonts w:ascii="Minion Pro" w:hAnsi="Minion Pro" w:cs="Minion Pro"/>
        </w:rPr>
        <w:t xml:space="preserve">In the formula: </w:t>
      </w:r>
      <m:oMath>
        <m:sSubSup>
          <m:sSubSupPr>
            <m:ctrlPr>
              <w:rPr>
                <w:rFonts w:ascii="Cambria Math" w:hAnsi="Cambria Math" w:cs="Minion Pro"/>
              </w:rPr>
            </m:ctrlPr>
          </m:sSubSupPr>
          <m:e>
            <m:r>
              <m:rPr>
                <m:sty m:val="p"/>
              </m:rPr>
              <w:rPr>
                <w:rFonts w:ascii="Cambria Math" w:hAnsi="Cambria Math" w:cs="Minion Pro"/>
              </w:rPr>
              <m:t>P</m:t>
            </m:r>
          </m:e>
          <m:sub>
            <m:r>
              <m:rPr>
                <m:sty m:val="p"/>
              </m:rPr>
              <w:rPr>
                <w:rFonts w:ascii="Cambria Math" w:hAnsi="Cambria Math" w:cs="Minion Pro"/>
              </w:rPr>
              <m:t>S</m:t>
            </m:r>
          </m:sub>
          <m:sup>
            <m:r>
              <m:rPr>
                <m:sty m:val="p"/>
              </m:rPr>
              <w:rPr>
                <w:rFonts w:ascii="Cambria Math" w:hAnsi="Cambria Math" w:cs="Minion Pro"/>
              </w:rPr>
              <m:t>rej</m:t>
            </m:r>
          </m:sup>
        </m:sSubSup>
      </m:oMath>
      <w:r w:rsidRPr="00463734">
        <w:rPr>
          <w:rFonts w:ascii="Minion Pro" w:hAnsi="Minion Pro" w:cs="Minion Pro"/>
        </w:rPr>
        <w:t xml:space="preserve"> and </w:t>
      </w:r>
      <m:oMath>
        <m:sSubSup>
          <m:sSubSupPr>
            <m:ctrlPr>
              <w:rPr>
                <w:rFonts w:ascii="Cambria Math" w:hAnsi="Cambria Math" w:cs="Minion Pro"/>
              </w:rPr>
            </m:ctrlPr>
          </m:sSubSupPr>
          <m:e>
            <m:r>
              <m:rPr>
                <m:sty m:val="p"/>
              </m:rPr>
              <w:rPr>
                <w:rFonts w:ascii="Cambria Math" w:hAnsi="Cambria Math" w:cs="Minion Pro"/>
              </w:rPr>
              <m:t>P</m:t>
            </m:r>
          </m:e>
          <m:sub>
            <m:r>
              <m:rPr>
                <m:sty m:val="p"/>
              </m:rPr>
              <w:rPr>
                <w:rFonts w:ascii="Cambria Math" w:hAnsi="Cambria Math" w:cs="Minion Pro"/>
              </w:rPr>
              <m:t>S</m:t>
            </m:r>
          </m:sub>
          <m:sup>
            <m:r>
              <m:rPr>
                <m:sty m:val="p"/>
              </m:rPr>
              <w:rPr>
                <w:rFonts w:ascii="Cambria Math" w:hAnsi="Cambria Math" w:cs="Minion Pro"/>
              </w:rPr>
              <m:t>mis</m:t>
            </m:r>
          </m:sup>
        </m:sSubSup>
      </m:oMath>
      <w:r w:rsidRPr="00463734">
        <w:rPr>
          <w:rFonts w:ascii="Minion Pro" w:hAnsi="Minion Pro" w:cs="Minion Pro"/>
        </w:rPr>
        <w:t xml:space="preserve"> respectively represent the probabilities that the switch will fail to operate or malfunction due to information attacks on the RTU; d</w:t>
      </w:r>
      <w:r w:rsidRPr="00463734">
        <w:rPr>
          <w:rFonts w:ascii="Minion Pro" w:hAnsi="Minion Pro" w:cs="Minion Pro"/>
          <w:vertAlign w:val="subscript"/>
        </w:rPr>
        <w:t>mttr</w:t>
      </w:r>
      <w:r w:rsidRPr="00463734">
        <w:rPr>
          <w:rFonts w:ascii="Minion Pro" w:hAnsi="Minion Pro" w:cs="Minion Pro"/>
        </w:rPr>
        <w:t xml:space="preserve"> is the average time for fault repair, including manual inspection, network forensics, and fault repair time; d</w:t>
      </w:r>
      <w:r w:rsidRPr="00463734">
        <w:rPr>
          <w:rFonts w:ascii="Minion Pro" w:hAnsi="Minion Pro" w:cs="Minion Pro"/>
          <w:vertAlign w:val="subscript"/>
        </w:rPr>
        <w:t>rst</w:t>
      </w:r>
      <w:r w:rsidRPr="00463734">
        <w:rPr>
          <w:rFonts w:ascii="Minion Pro" w:hAnsi="Minion Pro" w:cs="Minion Pro"/>
        </w:rPr>
        <w:t xml:space="preserve"> is the action time of feeder automation; Pas is the probability of faults in the transfer power supply path; if there </w:t>
      </w:r>
      <w:r w:rsidRPr="00463734">
        <w:rPr>
          <w:rFonts w:ascii="Minion Pro" w:hAnsi="Minion Pro" w:cs="Minion Pro"/>
        </w:rPr>
        <w:lastRenderedPageBreak/>
        <w:t>is no alternative power supply path, P</w:t>
      </w:r>
      <w:r w:rsidRPr="00463734">
        <w:rPr>
          <w:rFonts w:ascii="Minion Pro" w:hAnsi="Minion Pro" w:cs="Minion Pro"/>
          <w:vertAlign w:val="subscript"/>
        </w:rPr>
        <w:t>as</w:t>
      </w:r>
      <w:r w:rsidRPr="00463734">
        <w:rPr>
          <w:rFonts w:ascii="Minion Pro" w:hAnsi="Minion Pro" w:cs="Minion Pro"/>
        </w:rPr>
        <w:t xml:space="preserve"> = 1. When B2 fails, if any switch downstream of B4 malfunctions due to RTU attack, then the line failure and the switch malfunction will jointly block the power supply path and transfer path for load point L4, resulting in power outage. The first term of Equation </w:t>
      </w:r>
      <w:r w:rsidRPr="00463734">
        <w:rPr>
          <w:rFonts w:ascii="Minion Pro" w:hAnsi="Minion Pro" w:cs="Minion Pro" w:hint="eastAsia"/>
        </w:rPr>
        <w:t>S33</w:t>
      </w:r>
      <w:r w:rsidRPr="00463734">
        <w:rPr>
          <w:rFonts w:ascii="Minion Pro" w:hAnsi="Minion Pro" w:cs="Minion Pro"/>
        </w:rPr>
        <w:t xml:space="preserve"> represents the probability that any switch downstream of B4 malfunctions due to RTU attack, and the second term represents the probability that these switches do not malfunction but S2 and S3 are blocked due to availability attacks. The first term of Equation </w:t>
      </w:r>
      <w:r w:rsidRPr="00463734">
        <w:rPr>
          <w:rFonts w:ascii="Minion Pro" w:hAnsi="Minion Pro" w:cs="Minion Pro" w:hint="eastAsia"/>
        </w:rPr>
        <w:t>S34</w:t>
      </w:r>
      <w:r w:rsidRPr="00463734">
        <w:rPr>
          <w:rFonts w:ascii="Minion Pro" w:hAnsi="Minion Pro" w:cs="Minion Pro"/>
        </w:rPr>
        <w:t xml:space="preserve"> represents the probability that the load in the non-fault area successfully transfers to other feeder lines, and the power outage time is the action time of feeder automation; the second term represents the probability of failure of the transfer, and the power outage time is the average fault repair time.</w:t>
      </w:r>
    </w:p>
    <w:p w14:paraId="58EADBC2"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The Impact of the E2 Area Failure</w:t>
      </w:r>
    </w:p>
    <w:p w14:paraId="44FD99A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If a fault occurs in the B6 area, it may affect the operation status of the load point L4, as shown in </w:t>
      </w:r>
      <w:r w:rsidRPr="00463734">
        <w:rPr>
          <w:rFonts w:eastAsia="宋体" w:cs="Minion Pro" w:hint="eastAsia"/>
          <w:bCs/>
          <w:color w:val="auto"/>
          <w:lang w:eastAsia="zh-CN"/>
        </w:rPr>
        <w:t>Figure S11</w:t>
      </w:r>
      <w:r w:rsidRPr="00463734">
        <w:rPr>
          <w:rFonts w:eastAsia="宋体" w:cs="Minion Pro"/>
          <w:bCs/>
          <w:color w:val="auto"/>
          <w:lang w:eastAsia="zh-CN"/>
        </w:rPr>
        <w:t>.</w:t>
      </w:r>
    </w:p>
    <w:p w14:paraId="4FFCCFB8"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0E40792B" wp14:editId="5A752748">
            <wp:extent cx="3959860" cy="1524635"/>
            <wp:effectExtent l="0" t="0" r="2540" b="12065"/>
            <wp:docPr id="5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19"/>
                    <pic:cNvPicPr>
                      <a:picLocks noChangeAspect="1"/>
                    </pic:cNvPicPr>
                  </pic:nvPicPr>
                  <pic:blipFill>
                    <a:blip r:embed="rId61"/>
                    <a:stretch>
                      <a:fillRect/>
                    </a:stretch>
                  </pic:blipFill>
                  <pic:spPr>
                    <a:xfrm>
                      <a:off x="0" y="0"/>
                      <a:ext cx="3959860" cy="1524635"/>
                    </a:xfrm>
                    <a:prstGeom prst="rect">
                      <a:avLst/>
                    </a:prstGeom>
                    <a:noFill/>
                    <a:ln>
                      <a:noFill/>
                    </a:ln>
                  </pic:spPr>
                </pic:pic>
              </a:graphicData>
            </a:graphic>
          </wp:inline>
        </w:drawing>
      </w:r>
    </w:p>
    <w:p w14:paraId="30B9B231"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Impact of B6 failure on the load node</w:t>
      </w:r>
    </w:p>
    <w:p w14:paraId="5EF5CE4D"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probability of power outage at the load point caused by a fault in Area B6 can be expressed as:</w:t>
      </w:r>
    </w:p>
    <w:p w14:paraId="16F84B4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4-6</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6</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(S36)</w:t>
      </w:r>
    </w:p>
    <w:p w14:paraId="4E6C741A"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The power outage duration at the load point caused by the fault on B6 is:</w:t>
      </w:r>
    </w:p>
    <w:p w14:paraId="31AEE1B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4-6</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2</m:t>
            </m:r>
          </m:sub>
        </m:sSub>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r>
          <w:rPr>
            <w:rFonts w:ascii="Cambria Math" w:hAnsi="Cambria Math" w:cs="Minion Pro"/>
            <w:sz w:val="22"/>
          </w:rPr>
          <m:t>+(1-</m:t>
        </m:r>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2</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rst</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(S37)</w:t>
      </w:r>
    </w:p>
    <w:p w14:paraId="1D15DBE9"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i/>
          <w:sz w:val="22"/>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2</m:t>
            </m:r>
          </m:sub>
        </m:sSub>
        <m:r>
          <w:rPr>
            <w:rFonts w:ascii="Cambria Math" w:hAnsi="Cambria Math" w:cs="Minion Pro"/>
            <w:sz w:val="22"/>
          </w:rPr>
          <m:t>=&amp;[1-(1-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m:t>
        </m:r>
      </m:oMath>
    </w:p>
    <w:p w14:paraId="6AA2367C"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rPr>
      </w:pPr>
      <w:r w:rsidRPr="00463734">
        <w:rPr>
          <w:rFonts w:ascii="Minion Pro" w:hAnsi="Minion Pro" w:cs="Minion Pro"/>
          <w:i/>
          <w:sz w:val="22"/>
        </w:rPr>
        <w:tab/>
      </w:r>
      <m:oMath>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4</m:t>
                </m:r>
              </m:sub>
            </m:sSub>
          </m:sub>
          <m:sup>
            <m:r>
              <m:rPr>
                <m:sty m:val="p"/>
              </m:rPr>
              <w:rPr>
                <w:rFonts w:ascii="Cambria Math" w:hAnsi="Cambria Math" w:cs="Minion Pro"/>
                <w:sz w:val="22"/>
              </w:rPr>
              <m:t>rej</m:t>
            </m:r>
          </m:sup>
        </m:sSubSup>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5</m:t>
                </m:r>
              </m:sub>
            </m:sSub>
          </m:sub>
          <m:sup>
            <m:r>
              <m:rPr>
                <m:sty m:val="p"/>
              </m:rPr>
              <w:rPr>
                <w:rFonts w:ascii="Cambria Math" w:hAnsi="Cambria Math" w:cs="Minion Pro"/>
                <w:sz w:val="22"/>
              </w:rPr>
              <m:t>rej</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m:t>
        </m:r>
      </m:oMath>
      <w:r w:rsidRPr="00463734">
        <w:rPr>
          <w:rFonts w:ascii="Minion Pro" w:hAnsi="Minion Pro" w:cs="Minion Pro"/>
          <w:i/>
          <w:sz w:val="22"/>
        </w:rPr>
        <w:tab/>
      </w:r>
      <w:r w:rsidRPr="00463734">
        <w:rPr>
          <w:rFonts w:ascii="Minion Pro" w:hAnsi="Minion Pro" w:cs="Minion Pro" w:hint="eastAsia"/>
          <w:snapToGrid w:val="0"/>
          <w:sz w:val="22"/>
          <w:szCs w:val="22"/>
          <w:lang w:bidi="en-US"/>
        </w:rPr>
        <w:t>(S38)</w:t>
      </w:r>
    </w:p>
    <w:p w14:paraId="6C111FC4"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The Impact of E3 Area Failure</w:t>
      </w:r>
    </w:p>
    <w:p w14:paraId="67FC918B"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Since the load point is within the E3 area, even if there is no information attack, a fault on the E3 section will still cause power outage at the load point.</w:t>
      </w:r>
    </w:p>
    <w:p w14:paraId="5F687EB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Due to the malfunction of B4, the probability of power outage for the load node is:</w:t>
      </w:r>
    </w:p>
    <w:p w14:paraId="46D186DF"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4-4</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4</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(S39)</w:t>
      </w:r>
    </w:p>
    <w:p w14:paraId="6F2FFDC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Due to the malfunction of B4, the power outage duration of the load node is:</w:t>
      </w:r>
    </w:p>
    <w:p w14:paraId="1F2813F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4-4</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(S40)</w:t>
      </w:r>
    </w:p>
    <w:p w14:paraId="5F939013"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The Impact of the E4 Area Failure</w:t>
      </w:r>
    </w:p>
    <w:p w14:paraId="3B0B0776"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If a fault occurs in the E4 area, the switch status changes caused by information attacks may expand the fault range to the load point, or affect the power supply path of the load point and cause a power outage. Taking the influence of busbar B8 in the E4 area on load point L4 as an example for analysis, as shown in </w:t>
      </w:r>
      <w:r w:rsidRPr="00463734">
        <w:rPr>
          <w:rFonts w:eastAsia="宋体" w:cs="Minion Pro" w:hint="eastAsia"/>
          <w:bCs/>
          <w:color w:val="auto"/>
          <w:lang w:eastAsia="zh-CN"/>
        </w:rPr>
        <w:t>Figure S12</w:t>
      </w:r>
      <w:r w:rsidRPr="00463734">
        <w:rPr>
          <w:rFonts w:eastAsia="宋体" w:cs="Minion Pro"/>
          <w:bCs/>
          <w:color w:val="auto"/>
          <w:lang w:eastAsia="zh-CN"/>
        </w:rPr>
        <w:t>.</w:t>
      </w:r>
    </w:p>
    <w:p w14:paraId="312A1C8D" w14:textId="77777777" w:rsidR="00055865" w:rsidRPr="00463734" w:rsidRDefault="00000000">
      <w:pPr>
        <w:jc w:val="center"/>
        <w:rPr>
          <w:rFonts w:ascii="Minion Pro" w:hAnsi="Minion Pro" w:cs="Minion Pro"/>
        </w:rPr>
      </w:pPr>
      <w:r w:rsidRPr="00463734">
        <w:rPr>
          <w:rFonts w:ascii="Minion Pro" w:hAnsi="Minion Pro" w:cs="Minion Pro"/>
          <w:noProof/>
        </w:rPr>
        <w:lastRenderedPageBreak/>
        <w:drawing>
          <wp:inline distT="0" distB="0" distL="114300" distR="114300" wp14:anchorId="5B70EBFE" wp14:editId="161A4C43">
            <wp:extent cx="3959860" cy="1568450"/>
            <wp:effectExtent l="0" t="0" r="2540" b="6350"/>
            <wp:docPr id="5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8"/>
                    <pic:cNvPicPr>
                      <a:picLocks noChangeAspect="1"/>
                    </pic:cNvPicPr>
                  </pic:nvPicPr>
                  <pic:blipFill>
                    <a:blip r:embed="rId62"/>
                    <a:stretch>
                      <a:fillRect/>
                    </a:stretch>
                  </pic:blipFill>
                  <pic:spPr>
                    <a:xfrm>
                      <a:off x="0" y="0"/>
                      <a:ext cx="3959860" cy="1568450"/>
                    </a:xfrm>
                    <a:prstGeom prst="rect">
                      <a:avLst/>
                    </a:prstGeom>
                    <a:noFill/>
                    <a:ln>
                      <a:noFill/>
                    </a:ln>
                  </pic:spPr>
                </pic:pic>
              </a:graphicData>
            </a:graphic>
          </wp:inline>
        </w:drawing>
      </w:r>
    </w:p>
    <w:p w14:paraId="3796092B"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Impact of B8 failure on the load node</w:t>
      </w:r>
    </w:p>
    <w:p w14:paraId="11EA7617"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probability of power outage at the load point caused by a fault in the B8 area can be expressed as:</w:t>
      </w:r>
    </w:p>
    <w:p w14:paraId="6AC0FE0F"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4-8</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4</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(S41)</w:t>
      </w:r>
    </w:p>
    <w:p w14:paraId="08DF7E0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power outage duration of the load nodes caused by the fault on B8 is:</w:t>
      </w:r>
    </w:p>
    <w:p w14:paraId="00F1F689"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4-8</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3</m:t>
            </m:r>
          </m:sub>
        </m:sSub>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4</m:t>
            </m:r>
          </m:sub>
        </m:sSub>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1</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(S42)</w:t>
      </w:r>
    </w:p>
    <w:p w14:paraId="5D8B9725"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3</m:t>
            </m:r>
          </m:sub>
        </m:sSub>
        <m:r>
          <w:rPr>
            <w:rFonts w:ascii="Cambria Math" w:hAnsi="Cambria Math" w:cs="Minion Pro"/>
            <w:sz w:val="22"/>
          </w:rPr>
          <m:t>=[1-(1-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rej</m:t>
            </m:r>
          </m:sup>
        </m:sSubSup>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7</m:t>
                </m:r>
              </m:sub>
            </m:sSub>
          </m:sub>
          <m:sup>
            <m:r>
              <m:rPr>
                <m:sty m:val="p"/>
              </m:rPr>
              <w:rPr>
                <w:rFonts w:ascii="Cambria Math" w:hAnsi="Cambria Math" w:cs="Minion Pro"/>
                <w:sz w:val="22"/>
              </w:rPr>
              <m:t>rej</m:t>
            </m:r>
          </m:sup>
        </m:sSubSup>
      </m:oMath>
      <w:r w:rsidRPr="00463734">
        <w:rPr>
          <w:rFonts w:ascii="Minion Pro" w:hAnsi="Minion Pro" w:cs="Minion Pro"/>
          <w:sz w:val="22"/>
        </w:rPr>
        <w:tab/>
      </w:r>
      <w:r w:rsidRPr="00463734">
        <w:rPr>
          <w:rFonts w:ascii="Minion Pro" w:hAnsi="Minion Pro" w:cs="Minion Pro" w:hint="eastAsia"/>
          <w:snapToGrid w:val="0"/>
          <w:sz w:val="22"/>
          <w:szCs w:val="22"/>
          <w:lang w:bidi="en-US"/>
        </w:rPr>
        <w:t>(S43)</w:t>
      </w:r>
    </w:p>
    <w:p w14:paraId="4F325B2E"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4</m:t>
            </m:r>
          </m:sub>
        </m:sSub>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rej</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7</m:t>
                </m:r>
              </m:sub>
            </m:sSub>
          </m:sub>
          <m:sup>
            <m:r>
              <m:rPr>
                <m:sty m:val="p"/>
              </m:rPr>
              <w:rPr>
                <w:rFonts w:ascii="Cambria Math" w:hAnsi="Cambria Math" w:cs="Minion Pro"/>
                <w:sz w:val="22"/>
              </w:rPr>
              <m:t>rej</m:t>
            </m:r>
          </m:sup>
        </m:sSubSup>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(S44)</w:t>
      </w:r>
    </w:p>
    <w:p w14:paraId="59E0D8DD" w14:textId="77777777" w:rsidR="00055865" w:rsidRPr="00463734" w:rsidRDefault="00000000">
      <w:pPr>
        <w:pStyle w:val="TSP21heading1"/>
        <w:tabs>
          <w:tab w:val="left" w:pos="0"/>
        </w:tabs>
        <w:outlineLvl w:val="9"/>
        <w:rPr>
          <w:rFonts w:cs="Minion Pro"/>
          <w:b w:val="0"/>
          <w:bCs/>
          <w:color w:val="auto"/>
          <w:lang w:eastAsia="zh-CN"/>
        </w:rPr>
      </w:pPr>
      <w:r w:rsidRPr="00463734">
        <w:rPr>
          <w:rFonts w:cs="Minion Pro"/>
          <w:b w:val="0"/>
          <w:bCs/>
          <w:color w:val="auto"/>
          <w:lang w:eastAsia="zh-CN"/>
        </w:rPr>
        <w:t>The Impact of Incorrect Operation of the Switch under Normal Conditions</w:t>
      </w:r>
    </w:p>
    <w:p w14:paraId="21EC785E"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the normal state of the physical system, the probability of power outage at load point L4 due to incorrect operation of the switch is:</w:t>
      </w:r>
    </w:p>
    <w:p w14:paraId="07D27F13"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λ</m:t>
            </m:r>
          </m:e>
          <m:sub>
            <m:r>
              <w:rPr>
                <w:rFonts w:ascii="Cambria Math" w:hAnsi="Cambria Math" w:cs="Minion Pro"/>
                <w:sz w:val="22"/>
              </w:rPr>
              <m:t>4</m:t>
            </m:r>
          </m:sub>
          <m:sup>
            <m:r>
              <m:rPr>
                <m:sty m:val="p"/>
              </m:rPr>
              <w:rPr>
                <w:rFonts w:ascii="Cambria Math" w:hAnsi="Cambria Math" w:cs="Minion Pro"/>
                <w:sz w:val="22"/>
              </w:rPr>
              <m:t>S</m:t>
            </m:r>
          </m:sup>
        </m:sSub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P</m:t>
            </m:r>
          </m:e>
          <m:sup>
            <m:r>
              <m:rPr>
                <m:sty m:val="p"/>
              </m:rPr>
              <w:rPr>
                <w:rFonts w:ascii="Cambria Math" w:hAnsi="Cambria Math" w:cs="Minion Pro"/>
                <w:sz w:val="22"/>
              </w:rPr>
              <m:t>nor,Line</m:t>
            </m:r>
          </m:sup>
        </m:sSup>
        <m:sSubSup>
          <m:sSubSupPr>
            <m:ctrlPr>
              <w:rPr>
                <w:rFonts w:ascii="Cambria Math" w:hAnsi="Cambria Math" w:cs="Minion Pro"/>
                <w:sz w:val="22"/>
              </w:rPr>
            </m:ctrlPr>
          </m:sSubSupPr>
          <m:e>
            <m:r>
              <w:rPr>
                <w:rFonts w:ascii="Cambria Math" w:hAnsi="Cambria Math" w:cs="Minion Pro"/>
                <w:sz w:val="22"/>
              </w:rPr>
              <m:t>P</m:t>
            </m:r>
          </m:e>
          <m:sub>
            <m:r>
              <m:rPr>
                <m:sty m:val="p"/>
              </m:rPr>
              <w:rPr>
                <w:rFonts w:ascii="Cambria Math" w:hAnsi="Cambria Math" w:cs="Minion Pro"/>
                <w:sz w:val="22"/>
              </w:rPr>
              <m:t>L4</m:t>
            </m:r>
          </m:sub>
          <m:sup>
            <m:r>
              <m:rPr>
                <m:sty m:val="p"/>
              </m:rPr>
              <w:rPr>
                <w:rFonts w:ascii="Cambria Math" w:hAnsi="Cambria Math" w:cs="Minion Pro"/>
                <w:sz w:val="22"/>
              </w:rPr>
              <m:t>U</m:t>
            </m:r>
            <m:sSub>
              <m:sSubPr>
                <m:ctrlPr>
                  <w:rPr>
                    <w:rFonts w:ascii="Cambria Math" w:hAnsi="Cambria Math" w:cs="Minion Pro"/>
                    <w:sz w:val="22"/>
                  </w:rPr>
                </m:ctrlPr>
              </m:sSubPr>
              <m:e>
                <m:r>
                  <m:rPr>
                    <m:sty m:val="p"/>
                  </m:rPr>
                  <w:rPr>
                    <w:rFonts w:ascii="Cambria Math" w:hAnsi="Cambria Math" w:cs="Minion Pro"/>
                    <w:sz w:val="22"/>
                  </w:rPr>
                  <m:t>p</m:t>
                </m:r>
              </m:e>
              <m:sub>
                <m:r>
                  <m:rPr>
                    <m:sty m:val="p"/>
                  </m:rPr>
                  <w:rPr>
                    <w:rFonts w:ascii="Cambria Math" w:hAnsi="Cambria Math" w:cs="Minion Pro"/>
                    <w:sz w:val="22"/>
                  </w:rPr>
                  <m:t>a</m:t>
                </m:r>
              </m:sub>
            </m:sSub>
            <m:r>
              <m:rPr>
                <m:sty m:val="p"/>
              </m:rPr>
              <w:rPr>
                <w:rFonts w:ascii="Cambria Math" w:hAnsi="Cambria Math" w:cs="Minion Pro"/>
                <w:sz w:val="22"/>
              </w:rPr>
              <m:t>ny,mis</m:t>
            </m:r>
          </m:sup>
        </m:sSubSup>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(S45)</w:t>
      </w:r>
    </w:p>
    <w:p w14:paraId="3161B5F9"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p>
          <m:sSupPr>
            <m:ctrlPr>
              <w:rPr>
                <w:rFonts w:ascii="Cambria Math" w:hAnsi="Cambria Math" w:cs="Minion Pro"/>
                <w:sz w:val="22"/>
              </w:rPr>
            </m:ctrlPr>
          </m:sSupPr>
          <m:e>
            <m:r>
              <w:rPr>
                <w:rFonts w:ascii="Cambria Math" w:hAnsi="Cambria Math" w:cs="Minion Pro"/>
                <w:sz w:val="22"/>
              </w:rPr>
              <m:t>P</m:t>
            </m:r>
          </m:e>
          <m:sup>
            <m:r>
              <m:rPr>
                <m:sty m:val="p"/>
              </m:rPr>
              <w:rPr>
                <w:rFonts w:ascii="Cambria Math" w:hAnsi="Cambria Math" w:cs="Minion Pro"/>
                <w:sz w:val="22"/>
              </w:rPr>
              <m:t>nor,Line</m:t>
            </m:r>
          </m:sup>
        </m:sSup>
        <m:r>
          <w:rPr>
            <w:rFonts w:ascii="Cambria Math" w:hAnsi="Cambria Math" w:cs="Minion Pro"/>
            <w:sz w:val="22"/>
          </w:rPr>
          <m:t>=</m:t>
        </m:r>
        <m:f>
          <m:fPr>
            <m:ctrlPr>
              <w:rPr>
                <w:rFonts w:ascii="Cambria Math" w:hAnsi="Cambria Math" w:cs="Minion Pro"/>
                <w:i/>
                <w:sz w:val="22"/>
              </w:rPr>
            </m:ctrlPr>
          </m:fPr>
          <m:num>
            <m:r>
              <w:rPr>
                <w:rFonts w:ascii="Cambria Math" w:hAnsi="Cambria Math" w:cs="Minion Pro"/>
                <w:sz w:val="22"/>
              </w:rPr>
              <m:t>8760</m:t>
            </m:r>
            <m:ctrlPr>
              <w:rPr>
                <w:rFonts w:ascii="Cambria Math" w:hAnsi="Cambria Math" w:cs="Minion Pro"/>
                <w:sz w:val="22"/>
              </w:rPr>
            </m:ctrlPr>
          </m:num>
          <m:den>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ctrlPr>
              <w:rPr>
                <w:rFonts w:ascii="Cambria Math" w:hAnsi="Cambria Math" w:cs="Minion Pro"/>
                <w:sz w:val="22"/>
              </w:rPr>
            </m:ctrlPr>
          </m:den>
        </m:f>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i∈</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m:t>
                </m:r>
                <m:r>
                  <w:rPr>
                    <w:rFonts w:ascii="Cambria Math" w:hAnsi="Cambria Math" w:cs="Minion Pro"/>
                    <w:sz w:val="22"/>
                  </w:rPr>
                  <m:t>1</m:t>
                </m:r>
              </m:sub>
            </m:sSub>
          </m:sub>
          <m:sup/>
          <m:e>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i</m:t>
                </m:r>
              </m:sub>
            </m:sSub>
          </m:e>
        </m:nary>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j∈</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m:t>
                </m:r>
                <m:r>
                  <w:rPr>
                    <w:rFonts w:ascii="Cambria Math" w:hAnsi="Cambria Math" w:cs="Minion Pro"/>
                    <w:sz w:val="22"/>
                  </w:rPr>
                  <m:t>2</m:t>
                </m:r>
              </m:sub>
            </m:sSub>
          </m:sub>
          <m:sup/>
          <m:e>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j</m:t>
                </m:r>
              </m:sub>
            </m:sSub>
          </m:e>
        </m:nary>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k∈</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m:t>
                </m:r>
                <m:r>
                  <w:rPr>
                    <w:rFonts w:ascii="Cambria Math" w:hAnsi="Cambria Math" w:cs="Minion Pro"/>
                    <w:sz w:val="22"/>
                  </w:rPr>
                  <m:t>3</m:t>
                </m:r>
              </m:sub>
            </m:sSub>
          </m:sub>
          <m:sup/>
          <m:e>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k</m:t>
                </m:r>
              </m:sub>
            </m:sSub>
          </m:e>
        </m:nary>
        <m:r>
          <w:rPr>
            <w:rFonts w:ascii="Cambria Math" w:hAnsi="Cambria Math" w:cs="Minion Pro"/>
            <w:sz w:val="22"/>
          </w:rPr>
          <m:t>-</m:t>
        </m:r>
        <m:nary>
          <m:naryPr>
            <m:chr m:val="∑"/>
            <m:limLoc m:val="undOvr"/>
            <m:supHide m:val="1"/>
            <m:ctrlPr>
              <w:rPr>
                <w:rFonts w:ascii="Cambria Math" w:hAnsi="Cambria Math" w:cs="Minion Pro"/>
                <w:sz w:val="22"/>
              </w:rPr>
            </m:ctrlPr>
          </m:naryPr>
          <m:sub>
            <m:r>
              <w:rPr>
                <w:rFonts w:ascii="Cambria Math" w:hAnsi="Cambria Math" w:cs="Minion Pro"/>
                <w:sz w:val="22"/>
              </w:rPr>
              <m:t>l∈</m:t>
            </m:r>
            <m:sSub>
              <m:sSubPr>
                <m:ctrlPr>
                  <w:rPr>
                    <w:rFonts w:ascii="Cambria Math" w:hAnsi="Cambria Math" w:cs="Minion Pro"/>
                    <w:sz w:val="22"/>
                  </w:rPr>
                </m:ctrlPr>
              </m:sSubPr>
              <m:e>
                <m:r>
                  <w:rPr>
                    <w:rFonts w:ascii="Cambria Math" w:hAnsi="Cambria Math" w:cs="Minion Pro"/>
                    <w:sz w:val="22"/>
                  </w:rPr>
                  <m:t>B</m:t>
                </m:r>
              </m:e>
              <m:sub>
                <m:r>
                  <m:rPr>
                    <m:sty m:val="p"/>
                  </m:rPr>
                  <w:rPr>
                    <w:rFonts w:ascii="Cambria Math" w:hAnsi="Cambria Math" w:cs="Minion Pro"/>
                    <w:sz w:val="22"/>
                  </w:rPr>
                  <m:t>E</m:t>
                </m:r>
                <m:r>
                  <w:rPr>
                    <w:rFonts w:ascii="Cambria Math" w:hAnsi="Cambria Math" w:cs="Minion Pro"/>
                    <w:sz w:val="22"/>
                  </w:rPr>
                  <m:t>4</m:t>
                </m:r>
              </m:sub>
            </m:sSub>
          </m:sub>
          <m:sup/>
          <m:e>
            <m:sSub>
              <m:sSubPr>
                <m:ctrlPr>
                  <w:rPr>
                    <w:rFonts w:ascii="Cambria Math" w:hAnsi="Cambria Math" w:cs="Minion Pro"/>
                    <w:sz w:val="22"/>
                  </w:rPr>
                </m:ctrlPr>
              </m:sSubPr>
              <m:e>
                <m:r>
                  <w:rPr>
                    <w:rFonts w:ascii="Cambria Math" w:hAnsi="Cambria Math" w:cs="Minion Pro"/>
                    <w:sz w:val="22"/>
                  </w:rPr>
                  <m:t>λ</m:t>
                </m:r>
              </m:e>
              <m:sub>
                <m:r>
                  <w:rPr>
                    <w:rFonts w:ascii="Cambria Math" w:hAnsi="Cambria Math" w:cs="Minion Pro"/>
                    <w:sz w:val="22"/>
                  </w:rPr>
                  <m:t>l</m:t>
                </m:r>
              </m:sub>
            </m:sSub>
          </m:e>
        </m:nary>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(S46)</w:t>
      </w:r>
    </w:p>
    <w:p w14:paraId="0C8EE288"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P</m:t>
            </m:r>
          </m:e>
          <m:sub>
            <m:r>
              <m:rPr>
                <m:sty m:val="p"/>
              </m:rPr>
              <w:rPr>
                <w:rFonts w:ascii="Cambria Math" w:hAnsi="Cambria Math" w:cs="Minion Pro"/>
                <w:sz w:val="22"/>
              </w:rPr>
              <m:t>L</m:t>
            </m:r>
            <m:r>
              <w:rPr>
                <w:rFonts w:ascii="Cambria Math" w:hAnsi="Cambria Math" w:cs="Minion Pro"/>
                <w:sz w:val="22"/>
              </w:rPr>
              <m:t>4</m:t>
            </m:r>
          </m:sub>
          <m:sup>
            <m:sSub>
              <m:sSubPr>
                <m:ctrlPr>
                  <w:rPr>
                    <w:rFonts w:ascii="Cambria Math" w:hAnsi="Cambria Math" w:cs="Minion Pro"/>
                    <w:sz w:val="22"/>
                  </w:rPr>
                </m:ctrlPr>
              </m:sSubPr>
              <m:e>
                <m:r>
                  <m:rPr>
                    <m:sty m:val="p"/>
                  </m:rPr>
                  <w:rPr>
                    <w:rFonts w:ascii="Cambria Math" w:hAnsi="Cambria Math" w:cs="Minion Pro"/>
                    <w:sz w:val="22"/>
                  </w:rPr>
                  <m:t>Up</m:t>
                </m:r>
              </m:e>
              <m:sub>
                <m:r>
                  <w:rPr>
                    <w:rFonts w:ascii="Cambria Math" w:hAnsi="Cambria Math" w:cs="Minion Pro"/>
                    <w:sz w:val="22"/>
                  </w:rPr>
                  <m:t>-</m:t>
                </m:r>
              </m:sub>
            </m:sSub>
            <m:r>
              <m:rPr>
                <m:sty m:val="p"/>
              </m:rPr>
              <w:rPr>
                <w:rFonts w:ascii="Cambria Math" w:hAnsi="Cambria Math" w:cs="Minion Pro"/>
                <w:sz w:val="22"/>
              </w:rPr>
              <m:t>any</m:t>
            </m:r>
            <m:r>
              <w:rPr>
                <w:rFonts w:ascii="Cambria Math" w:hAnsi="Cambria Math" w:cs="Minion Pro"/>
                <w:sz w:val="22"/>
              </w:rPr>
              <m:t>,</m:t>
            </m:r>
            <m:r>
              <m:rPr>
                <m:sty m:val="p"/>
              </m:rPr>
              <w:rPr>
                <w:rFonts w:ascii="Cambria Math" w:hAnsi="Cambria Math" w:cs="Minion Pro"/>
                <w:sz w:val="22"/>
              </w:rPr>
              <m:t>mis</m:t>
            </m:r>
          </m:sup>
        </m:sSubSup>
        <m:r>
          <w:rPr>
            <w:rFonts w:ascii="Cambria Math" w:hAnsi="Cambria Math" w:cs="Minion Pro"/>
            <w:sz w:val="22"/>
          </w:rPr>
          <m:t>=1-(1-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m:t>
        </m:r>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(S47)</w:t>
      </w:r>
    </w:p>
    <w:p w14:paraId="60954369" w14:textId="77777777"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 xml:space="preserve">In the formula: </w:t>
      </w:r>
      <m:oMath>
        <m:sSup>
          <m:sSupPr>
            <m:ctrlPr>
              <w:rPr>
                <w:rFonts w:ascii="Cambria Math" w:hAnsi="Cambria Math" w:cs="Minion Pro"/>
                <w:sz w:val="22"/>
                <w:szCs w:val="22"/>
              </w:rPr>
            </m:ctrlPr>
          </m:sSupPr>
          <m:e>
            <m:r>
              <m:rPr>
                <m:sty m:val="p"/>
              </m:rPr>
              <w:rPr>
                <w:rFonts w:ascii="Cambria Math" w:hAnsi="Cambria Math" w:cs="Minion Pro"/>
                <w:sz w:val="22"/>
                <w:szCs w:val="22"/>
              </w:rPr>
              <m:t>P</m:t>
            </m:r>
          </m:e>
          <m:sup>
            <m:r>
              <m:rPr>
                <m:sty m:val="p"/>
              </m:rPr>
              <w:rPr>
                <w:rFonts w:ascii="Cambria Math" w:hAnsi="Cambria Math" w:cs="Minion Pro"/>
                <w:sz w:val="22"/>
                <w:szCs w:val="22"/>
              </w:rPr>
              <m:t>nor,Line</m:t>
            </m:r>
          </m:sup>
        </m:sSup>
      </m:oMath>
      <w:r w:rsidRPr="00463734">
        <w:rPr>
          <w:rFonts w:ascii="Minion Pro" w:hAnsi="Minion Pro" w:cs="Minion Pro"/>
          <w:sz w:val="22"/>
          <w:szCs w:val="22"/>
        </w:rPr>
        <w:t xml:space="preserve"> represents the availability rate of the feeder area, with the unit being years;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L4</m:t>
            </m:r>
          </m:sub>
          <m:sup>
            <m:sSub>
              <m:sSubPr>
                <m:ctrlPr>
                  <w:rPr>
                    <w:rFonts w:ascii="Cambria Math" w:hAnsi="Cambria Math" w:cs="Minion Pro"/>
                    <w:sz w:val="22"/>
                    <w:szCs w:val="22"/>
                  </w:rPr>
                </m:ctrlPr>
              </m:sSubPr>
              <m:e>
                <m:r>
                  <m:rPr>
                    <m:sty m:val="p"/>
                  </m:rPr>
                  <w:rPr>
                    <w:rFonts w:ascii="Cambria Math" w:hAnsi="Cambria Math" w:cs="Minion Pro"/>
                    <w:sz w:val="22"/>
                    <w:szCs w:val="22"/>
                  </w:rPr>
                  <m:t>Up</m:t>
                </m:r>
              </m:e>
              <m:sub>
                <m:r>
                  <m:rPr>
                    <m:sty m:val="p"/>
                  </m:rPr>
                  <w:rPr>
                    <w:rFonts w:ascii="Cambria Math" w:hAnsi="Cambria Math" w:cs="Minion Pro"/>
                    <w:sz w:val="22"/>
                    <w:szCs w:val="22"/>
                  </w:rPr>
                  <m:t>-</m:t>
                </m:r>
              </m:sub>
            </m:sSub>
            <m:r>
              <m:rPr>
                <m:sty m:val="p"/>
              </m:rPr>
              <w:rPr>
                <w:rFonts w:ascii="Cambria Math" w:hAnsi="Cambria Math" w:cs="Minion Pro"/>
                <w:sz w:val="22"/>
                <w:szCs w:val="22"/>
              </w:rPr>
              <m:t>any,mis</m:t>
            </m:r>
          </m:sup>
        </m:sSubSup>
      </m:oMath>
      <w:r w:rsidRPr="00463734">
        <w:rPr>
          <w:rFonts w:ascii="Minion Pro" w:hAnsi="Minion Pro" w:cs="Minion Pro"/>
          <w:sz w:val="22"/>
          <w:szCs w:val="22"/>
        </w:rPr>
        <w:t xml:space="preserve"> represents the probability that any terminal device in the feeder area upstream of load point L4 will fail due to an attack.</w:t>
      </w:r>
    </w:p>
    <w:p w14:paraId="59480256"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this state, if the switch located upstream of the load point malfunctions, it will cause a power outage at the load point. Then, the power outage time at the load point caused by the switch's malfunction due to an information attack can be expressed as:</w:t>
      </w:r>
    </w:p>
    <w:p w14:paraId="3A8E8C5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d</m:t>
            </m:r>
          </m:e>
          <m:sub>
            <m:r>
              <w:rPr>
                <w:rFonts w:ascii="Cambria Math" w:hAnsi="Cambria Math" w:cs="Minion Pro"/>
                <w:sz w:val="22"/>
              </w:rPr>
              <m:t>4</m:t>
            </m:r>
          </m:sub>
          <m:sup>
            <m:r>
              <m:rPr>
                <m:sty m:val="p"/>
              </m:rPr>
              <w:rPr>
                <w:rFonts w:ascii="Cambria Math" w:hAnsi="Cambria Math" w:cs="Minion Pro"/>
                <w:sz w:val="22"/>
              </w:rPr>
              <m:t>s</m:t>
            </m:r>
          </m:sup>
        </m:sSubSup>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(S48)</w:t>
      </w:r>
    </w:p>
    <w:p w14:paraId="09AB8D93" w14:textId="77777777" w:rsidR="00055865" w:rsidRPr="00463734" w:rsidRDefault="00000000">
      <w:pPr>
        <w:pStyle w:val="TSP21heading1"/>
        <w:tabs>
          <w:tab w:val="left" w:pos="0"/>
        </w:tabs>
        <w:outlineLvl w:val="9"/>
        <w:rPr>
          <w:rFonts w:cs="Minion Pro"/>
          <w:i/>
          <w:iCs/>
          <w:color w:val="auto"/>
          <w:lang w:eastAsia="zh-CN"/>
        </w:rPr>
      </w:pPr>
      <w:r w:rsidRPr="00463734">
        <w:rPr>
          <w:rFonts w:eastAsiaTheme="minorEastAsia" w:cs="Minion Pro" w:hint="eastAsia"/>
          <w:i/>
          <w:iCs/>
          <w:color w:val="auto"/>
          <w:lang w:eastAsia="zh-CN"/>
        </w:rPr>
        <w:t xml:space="preserve">2.2 </w:t>
      </w:r>
      <w:r w:rsidRPr="00463734">
        <w:rPr>
          <w:rFonts w:cs="Minion Pro"/>
          <w:i/>
          <w:iCs/>
          <w:color w:val="auto"/>
          <w:lang w:eastAsia="zh-CN"/>
        </w:rPr>
        <w:t>Optimal Allocation of Security Defense Resources for Random Attacks</w:t>
      </w:r>
    </w:p>
    <w:p w14:paraId="1563065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the random attack scenario, due to the lack of distribution network topology and load information, the attacker will randomly launch attacks on all targets within the attack range. Given that there are thresholds for attack implementation and information systems have certain protection capabilities, it can be considered that all target RTUs may fail due to the attack. The success probability of the attack depends on the attacker's level and the protection capability of the target terminal. This section, based on the system risk expression under information attack constructed in Section 4.2, through variable transformation, replaces the RTU failure rate with the candidate positions of safe-configured RTUs, and incorporates this ex</w:t>
      </w:r>
      <w:r w:rsidRPr="00463734">
        <w:rPr>
          <w:rFonts w:eastAsia="宋体" w:cs="Minion Pro"/>
          <w:bCs/>
          <w:color w:val="auto"/>
          <w:lang w:eastAsia="zh-CN"/>
        </w:rPr>
        <w:lastRenderedPageBreak/>
        <w:t>pression into the model for optimizing the allocation of security defense resources. Further, it provides the solution method and process of the model.</w:t>
      </w:r>
    </w:p>
    <w:p w14:paraId="12F5F099"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2.2.1 </w:t>
      </w:r>
      <w:r w:rsidRPr="00463734">
        <w:rPr>
          <w:rFonts w:cs="Minion Pro"/>
          <w:b w:val="0"/>
          <w:bCs/>
          <w:i/>
          <w:iCs/>
          <w:color w:val="auto"/>
          <w:lang w:eastAsia="zh-CN"/>
        </w:rPr>
        <w:t>Expression and Conversion of System Risk</w:t>
      </w:r>
    </w:p>
    <w:p w14:paraId="001BE6A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Distribution network operators employ encryption/authentication against integrity attacks and traffic detection/self-healing against availability attacks. However, FA systems’ real-time requirements and resource-constrained terminals (limited computing/storage/communication) restrict complex defenses. Upgrading terminal protection demands costly hardware/software updates across widely distributed devices. Thus, prioritizing key node defense under resource constraints is critical. This chapter uses message verification modules to counter integrity attacks and traffic detection/self-healing modules against availability attacks, mitigating cyber-physical impacts.</w:t>
      </w:r>
    </w:p>
    <w:p w14:paraId="496BD8E0"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For the risk expression given in Section 4.2, the variables are the RTU failure probability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mis</m:t>
            </m:r>
          </m:sup>
        </m:sSubSup>
      </m:oMath>
      <w:r w:rsidRPr="00463734">
        <w:rPr>
          <w:rFonts w:ascii="Minion Pro" w:hAnsi="Minion Pro" w:cs="Minion Pro"/>
          <w:sz w:val="22"/>
          <w:szCs w:val="22"/>
        </w:rPr>
        <w:t>. In the scenario of a random information attack, the values of these variables depend on the defense resource allocation strategy of the distribution network operator: if a security protection module is installed for the RTU, it will have a higher level of protection; if not, the protection level will be lower. The above situation can be specifically expressed as:</w:t>
      </w:r>
    </w:p>
    <w:p w14:paraId="496BE52A"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m:rPr>
                <m:sty m:val="p"/>
              </m:rPr>
              <w:rPr>
                <w:rFonts w:ascii="Cambria Math" w:hAnsi="Cambria Math" w:cs="Minion Pro"/>
                <w:sz w:val="22"/>
              </w:rPr>
              <m:t>P</m:t>
            </m:r>
          </m:e>
          <m:sub>
            <m:r>
              <m:rPr>
                <m:sty m:val="p"/>
              </m:rPr>
              <w:rPr>
                <w:rFonts w:ascii="Cambria Math" w:hAnsi="Cambria Math" w:cs="Minion Pro"/>
                <w:sz w:val="22"/>
              </w:rPr>
              <m:t>S</m:t>
            </m:r>
          </m:sub>
          <m:sup>
            <m:r>
              <m:rPr>
                <m:sty m:val="p"/>
              </m:rPr>
              <w:rPr>
                <w:rFonts w:ascii="Cambria Math" w:hAnsi="Cambria Math" w:cs="Minion Pro"/>
                <w:sz w:val="22"/>
              </w:rPr>
              <m:t>rej</m:t>
            </m:r>
          </m:sup>
        </m:sSubSup>
        <m:r>
          <w:rPr>
            <w:rFonts w:ascii="Cambria Math" w:hAnsi="Cambria Math" w:cs="Minion Pro"/>
            <w:sz w:val="22"/>
          </w:rPr>
          <m:t>=</m:t>
        </m:r>
        <m:d>
          <m:dPr>
            <m:begChr m:val="{"/>
            <m:endChr m:val=""/>
            <m:ctrlPr>
              <w:rPr>
                <w:rFonts w:ascii="Cambria Math" w:hAnsi="Cambria Math" w:cs="Minion Pro"/>
                <w:i/>
                <w:sz w:val="22"/>
              </w:rPr>
            </m:ctrlPr>
          </m:dPr>
          <m:e>
            <m:eqArr>
              <m:eqArrPr>
                <m:ctrlPr>
                  <w:rPr>
                    <w:rFonts w:ascii="Cambria Math" w:hAnsi="Cambria Math" w:cs="Minion Pro"/>
                    <w:i/>
                    <w:sz w:val="22"/>
                  </w:rPr>
                </m:ctrlPr>
              </m:eqArrPr>
              <m:e>
                <m:sSubSup>
                  <m:sSubSupPr>
                    <m:ctrlPr>
                      <w:rPr>
                        <w:rFonts w:ascii="Cambria Math" w:hAnsi="Cambria Math" w:cs="Minion Pro"/>
                        <w:i/>
                        <w:sz w:val="22"/>
                      </w:rPr>
                    </m:ctrlPr>
                  </m:sSubSupPr>
                  <m:e>
                    <m:r>
                      <w:rPr>
                        <w:rFonts w:ascii="Cambria Math" w:hAnsi="Cambria Math" w:cs="Minion Pro"/>
                        <w:sz w:val="22"/>
                      </w:rPr>
                      <m:t>P</m:t>
                    </m:r>
                  </m:e>
                  <m:sub>
                    <m:r>
                      <w:rPr>
                        <w:rFonts w:ascii="Cambria Math" w:hAnsi="Cambria Math" w:cs="Minion Pro"/>
                        <w:sz w:val="22"/>
                      </w:rPr>
                      <m:t>S,upd</m:t>
                    </m:r>
                  </m:sub>
                  <m:sup>
                    <m:r>
                      <w:rPr>
                        <w:rFonts w:ascii="Cambria Math" w:hAnsi="Cambria Math" w:cs="Minion Pro"/>
                        <w:sz w:val="22"/>
                      </w:rPr>
                      <m:t>rej</m:t>
                    </m:r>
                  </m:sup>
                </m:sSubSup>
                <m:r>
                  <w:rPr>
                    <w:rFonts w:ascii="Cambria Math" w:hAnsi="Cambria Math" w:cs="Minion Pro"/>
                    <w:sz w:val="22"/>
                  </w:rPr>
                  <m:t xml:space="preserve">         δ=1</m:t>
                </m:r>
              </m:e>
              <m:e>
                <m:sSubSup>
                  <m:sSubSupPr>
                    <m:ctrlPr>
                      <w:rPr>
                        <w:rFonts w:ascii="Cambria Math" w:hAnsi="Cambria Math" w:cs="Minion Pro"/>
                        <w:i/>
                        <w:sz w:val="22"/>
                      </w:rPr>
                    </m:ctrlPr>
                  </m:sSubSupPr>
                  <m:e>
                    <m:r>
                      <w:rPr>
                        <w:rFonts w:ascii="Cambria Math" w:hAnsi="Cambria Math" w:cs="Minion Pro"/>
                        <w:sz w:val="22"/>
                      </w:rPr>
                      <m:t>P</m:t>
                    </m:r>
                  </m:e>
                  <m:sub>
                    <m:r>
                      <w:rPr>
                        <w:rFonts w:ascii="Cambria Math" w:hAnsi="Cambria Math" w:cs="Minion Pro"/>
                        <w:sz w:val="22"/>
                      </w:rPr>
                      <m:t>S,ini</m:t>
                    </m:r>
                  </m:sub>
                  <m:sup>
                    <m:r>
                      <w:rPr>
                        <w:rFonts w:ascii="Cambria Math" w:hAnsi="Cambria Math" w:cs="Minion Pro"/>
                        <w:sz w:val="22"/>
                      </w:rPr>
                      <m:t>rej</m:t>
                    </m:r>
                  </m:sup>
                </m:sSubSup>
                <m:r>
                  <w:rPr>
                    <w:rFonts w:ascii="Cambria Math" w:hAnsi="Cambria Math" w:cs="Minion Pro"/>
                    <w:sz w:val="22"/>
                  </w:rPr>
                  <m:t xml:space="preserve">         δ=0</m:t>
                </m:r>
              </m:e>
            </m:eqArr>
          </m:e>
        </m:d>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(S49)</w:t>
      </w:r>
    </w:p>
    <w:p w14:paraId="4B4351A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m:rPr>
                <m:sty m:val="p"/>
              </m:rPr>
              <w:rPr>
                <w:rFonts w:ascii="Cambria Math" w:hAnsi="Cambria Math" w:cs="Minion Pro"/>
                <w:sz w:val="22"/>
              </w:rPr>
              <m:t>P</m:t>
            </m:r>
          </m:e>
          <m:sub>
            <m:r>
              <m:rPr>
                <m:sty m:val="p"/>
              </m:rPr>
              <w:rPr>
                <w:rFonts w:ascii="Cambria Math" w:hAnsi="Cambria Math" w:cs="Minion Pro"/>
                <w:sz w:val="22"/>
              </w:rPr>
              <m:t>S</m:t>
            </m:r>
          </m:sub>
          <m:sup>
            <m:r>
              <m:rPr>
                <m:sty m:val="p"/>
              </m:rPr>
              <w:rPr>
                <w:rFonts w:ascii="Cambria Math" w:hAnsi="Cambria Math" w:cs="Minion Pro"/>
                <w:sz w:val="22"/>
              </w:rPr>
              <m:t>mis</m:t>
            </m:r>
          </m:sup>
        </m:sSubSup>
        <m:r>
          <w:rPr>
            <w:rFonts w:ascii="Cambria Math" w:hAnsi="Cambria Math" w:cs="Minion Pro"/>
            <w:sz w:val="22"/>
          </w:rPr>
          <m:t>=</m:t>
        </m:r>
        <m:d>
          <m:dPr>
            <m:begChr m:val="{"/>
            <m:endChr m:val=""/>
            <m:ctrlPr>
              <w:rPr>
                <w:rFonts w:ascii="Cambria Math" w:hAnsi="Cambria Math" w:cs="Minion Pro"/>
                <w:i/>
                <w:sz w:val="22"/>
              </w:rPr>
            </m:ctrlPr>
          </m:dPr>
          <m:e>
            <m:eqArr>
              <m:eqArrPr>
                <m:ctrlPr>
                  <w:rPr>
                    <w:rFonts w:ascii="Cambria Math" w:hAnsi="Cambria Math" w:cs="Minion Pro"/>
                    <w:i/>
                    <w:sz w:val="22"/>
                  </w:rPr>
                </m:ctrlPr>
              </m:eqArrPr>
              <m:e>
                <m:sSubSup>
                  <m:sSubSupPr>
                    <m:ctrlPr>
                      <w:rPr>
                        <w:rFonts w:ascii="Cambria Math" w:hAnsi="Cambria Math" w:cs="Minion Pro"/>
                        <w:i/>
                        <w:sz w:val="22"/>
                      </w:rPr>
                    </m:ctrlPr>
                  </m:sSubSupPr>
                  <m:e>
                    <m:r>
                      <w:rPr>
                        <w:rFonts w:ascii="Cambria Math" w:hAnsi="Cambria Math" w:cs="Minion Pro"/>
                        <w:sz w:val="22"/>
                      </w:rPr>
                      <m:t>P</m:t>
                    </m:r>
                  </m:e>
                  <m:sub>
                    <m:r>
                      <w:rPr>
                        <w:rFonts w:ascii="Cambria Math" w:hAnsi="Cambria Math" w:cs="Minion Pro"/>
                        <w:sz w:val="22"/>
                      </w:rPr>
                      <m:t>S,upd</m:t>
                    </m:r>
                  </m:sub>
                  <m:sup>
                    <m:r>
                      <w:rPr>
                        <w:rFonts w:ascii="Cambria Math" w:hAnsi="Cambria Math" w:cs="Minion Pro"/>
                        <w:sz w:val="22"/>
                      </w:rPr>
                      <m:t>mis</m:t>
                    </m:r>
                  </m:sup>
                </m:sSubSup>
                <m:r>
                  <w:rPr>
                    <w:rFonts w:ascii="Cambria Math" w:hAnsi="Cambria Math" w:cs="Minion Pro"/>
                    <w:sz w:val="22"/>
                  </w:rPr>
                  <m:t xml:space="preserve">         δ=1</m:t>
                </m:r>
              </m:e>
              <m:e>
                <m:sSubSup>
                  <m:sSubSupPr>
                    <m:ctrlPr>
                      <w:rPr>
                        <w:rFonts w:ascii="Cambria Math" w:hAnsi="Cambria Math" w:cs="Minion Pro"/>
                        <w:i/>
                        <w:sz w:val="22"/>
                      </w:rPr>
                    </m:ctrlPr>
                  </m:sSubSupPr>
                  <m:e>
                    <m:r>
                      <w:rPr>
                        <w:rFonts w:ascii="Cambria Math" w:hAnsi="Cambria Math" w:cs="Minion Pro"/>
                        <w:sz w:val="22"/>
                      </w:rPr>
                      <m:t>P</m:t>
                    </m:r>
                  </m:e>
                  <m:sub>
                    <m:r>
                      <w:rPr>
                        <w:rFonts w:ascii="Cambria Math" w:hAnsi="Cambria Math" w:cs="Minion Pro"/>
                        <w:sz w:val="22"/>
                      </w:rPr>
                      <m:t>S,ini</m:t>
                    </m:r>
                  </m:sub>
                  <m:sup>
                    <m:r>
                      <w:rPr>
                        <w:rFonts w:ascii="Cambria Math" w:hAnsi="Cambria Math" w:cs="Minion Pro"/>
                        <w:sz w:val="22"/>
                      </w:rPr>
                      <m:t>mis</m:t>
                    </m:r>
                  </m:sup>
                </m:sSubSup>
                <m:r>
                  <w:rPr>
                    <w:rFonts w:ascii="Cambria Math" w:hAnsi="Cambria Math" w:cs="Minion Pro"/>
                    <w:sz w:val="22"/>
                  </w:rPr>
                  <m:t xml:space="preserve">         δ=0</m:t>
                </m:r>
              </m:e>
            </m:eqArr>
          </m:e>
        </m:d>
      </m:oMath>
      <w:r w:rsidRPr="00463734">
        <w:rPr>
          <w:rFonts w:ascii="Minion Pro" w:hAnsi="Minion Pro" w:cs="Minion Pro"/>
          <w:snapToGrid w:val="0"/>
          <w:sz w:val="22"/>
          <w:szCs w:val="22"/>
          <w:lang w:bidi="en-US"/>
        </w:rPr>
        <w:tab/>
      </w:r>
      <w:r w:rsidRPr="00463734">
        <w:rPr>
          <w:rFonts w:ascii="Minion Pro" w:hAnsi="Minion Pro" w:cs="Minion Pro" w:hint="eastAsia"/>
          <w:snapToGrid w:val="0"/>
          <w:sz w:val="22"/>
          <w:szCs w:val="22"/>
          <w:lang w:bidi="en-US"/>
        </w:rPr>
        <w:t>(S50)</w:t>
      </w:r>
    </w:p>
    <w:p w14:paraId="70A13662" w14:textId="77777777"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 xml:space="preserve">In the formula: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respectively represent the failure probabilities of RTU caused by availability attacks and integrity attacks in the initial state;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respectively indicate the failure probabilities triggered by the two types of attacks after security configuration. It is set that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are both 0, meaning that the adopted information security technology can completely prevent the corresponding attacks; </w:t>
      </w:r>
      <m:oMath>
        <m:r>
          <m:rPr>
            <m:sty m:val="p"/>
          </m:rPr>
          <w:rPr>
            <w:rFonts w:ascii="Cambria Math" w:hAnsi="Cambria Math" w:cs="Minion Pro"/>
            <w:sz w:val="22"/>
            <w:szCs w:val="22"/>
          </w:rPr>
          <m:t>δ</m:t>
        </m:r>
      </m:oMath>
      <w:r w:rsidRPr="00463734">
        <w:rPr>
          <w:rFonts w:ascii="Minion Pro" w:hAnsi="Minion Pro" w:cs="Minion Pro"/>
          <w:sz w:val="22"/>
          <w:szCs w:val="22"/>
        </w:rPr>
        <w:t xml:space="preserve"> is a 0-1 variable, indicating whether the switch corresponds to RTU has carried out information security protection configuration; </w:t>
      </w:r>
      <m:oMath>
        <m:r>
          <m:rPr>
            <m:sty m:val="p"/>
          </m:rPr>
          <w:rPr>
            <w:rFonts w:ascii="Cambria Math" w:hAnsi="Cambria Math" w:cs="Minion Pro"/>
            <w:sz w:val="22"/>
            <w:szCs w:val="22"/>
          </w:rPr>
          <m:t>δ</m:t>
        </m:r>
      </m:oMath>
      <w:r w:rsidRPr="00463734">
        <w:rPr>
          <w:rFonts w:ascii="Minion Pro" w:hAnsi="Minion Pro" w:cs="Minion Pro"/>
          <w:sz w:val="22"/>
          <w:szCs w:val="22"/>
        </w:rPr>
        <w:t xml:space="preserve"> = 1 indicates that it has been configured, and </w:t>
      </w:r>
      <m:oMath>
        <m:r>
          <m:rPr>
            <m:sty m:val="p"/>
          </m:rPr>
          <w:rPr>
            <w:rFonts w:ascii="Cambria Math" w:hAnsi="Cambria Math" w:cs="Minion Pro"/>
            <w:sz w:val="22"/>
            <w:szCs w:val="22"/>
          </w:rPr>
          <m:t>δ</m:t>
        </m:r>
      </m:oMath>
      <w:r w:rsidRPr="00463734">
        <w:rPr>
          <w:rFonts w:ascii="Minion Pro" w:hAnsi="Minion Pro" w:cs="Minion Pro"/>
          <w:sz w:val="22"/>
          <w:szCs w:val="22"/>
        </w:rPr>
        <w:t xml:space="preserve"> = 0 indicates that it has not been configured.</w:t>
      </w:r>
    </w:p>
    <w:p w14:paraId="73B033F3"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Through equations </w:t>
      </w:r>
      <w:r w:rsidRPr="00463734">
        <w:rPr>
          <w:rFonts w:ascii="Minion Pro" w:hAnsi="Minion Pro" w:cs="Minion Pro" w:hint="eastAsia"/>
          <w:sz w:val="22"/>
          <w:szCs w:val="22"/>
        </w:rPr>
        <w:t>S49</w:t>
      </w:r>
      <w:r w:rsidRPr="00463734">
        <w:rPr>
          <w:rFonts w:ascii="Minion Pro" w:hAnsi="Minion Pro" w:cs="Minion Pro"/>
          <w:sz w:val="22"/>
          <w:szCs w:val="22"/>
        </w:rPr>
        <w:t xml:space="preserve"> and </w:t>
      </w:r>
      <w:r w:rsidRPr="00463734">
        <w:rPr>
          <w:rFonts w:ascii="Minion Pro" w:hAnsi="Minion Pro" w:cs="Minion Pro" w:hint="eastAsia"/>
          <w:sz w:val="22"/>
          <w:szCs w:val="22"/>
        </w:rPr>
        <w:t>S50</w:t>
      </w:r>
      <w:r w:rsidRPr="00463734">
        <w:rPr>
          <w:rFonts w:ascii="Minion Pro" w:hAnsi="Minion Pro" w:cs="Minion Pro"/>
          <w:sz w:val="22"/>
          <w:szCs w:val="22"/>
        </w:rPr>
        <w:t xml:space="preserve">, the variables in equation </w:t>
      </w:r>
      <w:r w:rsidRPr="00463734">
        <w:rPr>
          <w:rFonts w:ascii="Minion Pro" w:hAnsi="Minion Pro" w:cs="Minion Pro" w:hint="eastAsia"/>
          <w:sz w:val="22"/>
          <w:szCs w:val="22"/>
        </w:rPr>
        <w:t>S38</w:t>
      </w:r>
      <w:r w:rsidRPr="00463734">
        <w:rPr>
          <w:rFonts w:ascii="Minion Pro" w:hAnsi="Minion Pro" w:cs="Minion Pro"/>
          <w:sz w:val="22"/>
          <w:szCs w:val="22"/>
        </w:rPr>
        <w:t xml:space="preserve"> are transformed from the failure rate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of the RTU to the position </w:t>
      </w:r>
      <m:oMath>
        <m:r>
          <m:rPr>
            <m:sty m:val="p"/>
          </m:rPr>
          <w:rPr>
            <w:rFonts w:ascii="Cambria Math" w:hAnsi="Cambria Math" w:cs="Minion Pro"/>
            <w:sz w:val="22"/>
            <w:szCs w:val="22"/>
          </w:rPr>
          <m:t>δ</m:t>
        </m:r>
      </m:oMath>
      <w:r w:rsidRPr="00463734">
        <w:rPr>
          <w:rFonts w:ascii="Minion Pro" w:hAnsi="Minion Pro" w:cs="Minion Pro"/>
          <w:sz w:val="22"/>
          <w:szCs w:val="22"/>
        </w:rPr>
        <w:t xml:space="preserve"> of the RTU that is to be candidate for installing the safety module, thereby enabling the risk expression to be incorporated into the optimization model.</w:t>
      </w:r>
    </w:p>
    <w:p w14:paraId="49C5F646" w14:textId="77777777" w:rsidR="00055865" w:rsidRPr="00463734" w:rsidRDefault="00000000">
      <w:pPr>
        <w:jc w:val="center"/>
        <w:rPr>
          <w:rFonts w:ascii="Minion Pro" w:hAnsi="Minion Pro" w:cs="Minion Pro"/>
        </w:rPr>
      </w:pPr>
      <w:r w:rsidRPr="00463734">
        <w:rPr>
          <w:rFonts w:ascii="Minion Pro" w:hAnsi="Minion Pro" w:cs="Minion Pro"/>
          <w:noProof/>
        </w:rPr>
        <w:lastRenderedPageBreak/>
        <w:drawing>
          <wp:inline distT="0" distB="0" distL="114300" distR="114300" wp14:anchorId="09EC69C7" wp14:editId="4DA2BD0D">
            <wp:extent cx="3959860" cy="1847215"/>
            <wp:effectExtent l="0" t="0" r="2540" b="6985"/>
            <wp:docPr id="5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7"/>
                    <pic:cNvPicPr>
                      <a:picLocks noChangeAspect="1"/>
                    </pic:cNvPicPr>
                  </pic:nvPicPr>
                  <pic:blipFill>
                    <a:blip r:embed="rId63"/>
                    <a:stretch>
                      <a:fillRect/>
                    </a:stretch>
                  </pic:blipFill>
                  <pic:spPr>
                    <a:xfrm>
                      <a:off x="0" y="0"/>
                      <a:ext cx="3959860" cy="1847215"/>
                    </a:xfrm>
                    <a:prstGeom prst="rect">
                      <a:avLst/>
                    </a:prstGeom>
                    <a:noFill/>
                    <a:ln>
                      <a:noFill/>
                    </a:ln>
                  </pic:spPr>
                </pic:pic>
              </a:graphicData>
            </a:graphic>
          </wp:inline>
        </w:drawing>
      </w:r>
    </w:p>
    <w:p w14:paraId="4A85C527"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Feeder with partial RTUs undergo security allocation</w:t>
      </w:r>
    </w:p>
    <w:p w14:paraId="08E94E5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To further illustrate the risk expression with the RTU candidate positions as variables, </w:t>
      </w:r>
      <w:r w:rsidRPr="00463734">
        <w:rPr>
          <w:rFonts w:eastAsia="宋体" w:cs="Minion Pro" w:hint="eastAsia"/>
          <w:bCs/>
          <w:color w:val="auto"/>
          <w:lang w:eastAsia="zh-CN"/>
        </w:rPr>
        <w:t>Figure S13</w:t>
      </w:r>
      <w:r w:rsidRPr="00463734">
        <w:rPr>
          <w:rFonts w:eastAsia="宋体" w:cs="Minion Pro"/>
          <w:bCs/>
          <w:color w:val="auto"/>
          <w:lang w:eastAsia="zh-CN"/>
        </w:rPr>
        <w:t xml:space="preserve"> presents a simple feeder, in which some RTUs have undergone safety protection configuration. If the B6 branch fails, analyze the impact of the information attack on the load node L4. Based on the safety configuration of the RTUs in </w:t>
      </w:r>
      <w:r w:rsidRPr="00463734">
        <w:rPr>
          <w:rFonts w:eastAsia="宋体" w:cs="Minion Pro" w:hint="eastAsia"/>
          <w:bCs/>
          <w:color w:val="auto"/>
          <w:lang w:eastAsia="zh-CN"/>
        </w:rPr>
        <w:t>Figure S13</w:t>
      </w:r>
      <w:r w:rsidRPr="00463734">
        <w:rPr>
          <w:rFonts w:eastAsia="宋体" w:cs="Minion Pro"/>
          <w:bCs/>
          <w:color w:val="auto"/>
          <w:lang w:eastAsia="zh-CN"/>
        </w:rPr>
        <w:t xml:space="preserve">, substitute Equations </w:t>
      </w:r>
      <w:r w:rsidRPr="00463734">
        <w:rPr>
          <w:rFonts w:eastAsia="宋体" w:cs="Minion Pro" w:hint="eastAsia"/>
          <w:bCs/>
          <w:color w:val="auto"/>
          <w:lang w:eastAsia="zh-CN"/>
        </w:rPr>
        <w:t>S49</w:t>
      </w:r>
      <w:r w:rsidRPr="00463734">
        <w:rPr>
          <w:rFonts w:eastAsia="宋体" w:cs="Minion Pro"/>
          <w:bCs/>
          <w:color w:val="auto"/>
          <w:lang w:eastAsia="zh-CN"/>
        </w:rPr>
        <w:t xml:space="preserve"> and </w:t>
      </w:r>
      <w:r w:rsidRPr="00463734">
        <w:rPr>
          <w:rFonts w:eastAsia="宋体" w:cs="Minion Pro" w:hint="eastAsia"/>
          <w:bCs/>
          <w:color w:val="auto"/>
          <w:lang w:eastAsia="zh-CN"/>
        </w:rPr>
        <w:t>S50</w:t>
      </w:r>
      <w:r w:rsidRPr="00463734">
        <w:rPr>
          <w:rFonts w:eastAsia="宋体" w:cs="Minion Pro"/>
          <w:bCs/>
          <w:color w:val="auto"/>
          <w:lang w:eastAsia="zh-CN"/>
        </w:rPr>
        <w:t xml:space="preserve"> into Equation </w:t>
      </w:r>
      <w:r w:rsidRPr="00463734">
        <w:rPr>
          <w:rFonts w:eastAsia="宋体" w:cs="Minion Pro" w:hint="eastAsia"/>
          <w:bCs/>
          <w:color w:val="auto"/>
          <w:lang w:eastAsia="zh-CN"/>
        </w:rPr>
        <w:t>S38</w:t>
      </w:r>
      <w:r w:rsidRPr="00463734">
        <w:rPr>
          <w:rFonts w:eastAsia="宋体" w:cs="Minion Pro"/>
          <w:bCs/>
          <w:color w:val="auto"/>
          <w:lang w:eastAsia="zh-CN"/>
        </w:rPr>
        <w:t>, and the probability of RTU operation failure under information attack can be expressed as:</w:t>
      </w:r>
    </w:p>
    <w:p w14:paraId="796E81DE"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napToGrid w:val="0"/>
          <w:sz w:val="22"/>
          <w:szCs w:val="22"/>
          <w:lang w:bidi="en-US"/>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σ</m:t>
            </m:r>
          </m:e>
          <m:sub>
            <m:r>
              <w:rPr>
                <w:rFonts w:ascii="Cambria Math" w:hAnsi="Cambria Math" w:cs="Minion Pro"/>
                <w:sz w:val="22"/>
              </w:rPr>
              <m:t>2</m:t>
            </m:r>
          </m:sub>
        </m:sSub>
        <m:r>
          <w:rPr>
            <w:rFonts w:ascii="Cambria Math" w:hAnsi="Cambria Math" w:cs="Minion Pro"/>
            <w:sz w:val="22"/>
          </w:rPr>
          <m:t>=[1-(1-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4</m:t>
                </m:r>
              </m:sub>
            </m:sSub>
          </m:sub>
          <m:sup>
            <m:r>
              <m:rPr>
                <m:sty m:val="p"/>
              </m:rPr>
              <w:rPr>
                <w:rFonts w:ascii="Cambria Math" w:hAnsi="Cambria Math" w:cs="Minion Pro"/>
                <w:sz w:val="22"/>
              </w:rPr>
              <m:t>rej</m:t>
            </m:r>
          </m:sup>
        </m:sSubSup>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5</m:t>
                </m:r>
              </m:sub>
            </m:sSub>
          </m:sub>
          <m:sup>
            <m:r>
              <m:rPr>
                <m:sty m:val="p"/>
              </m:rPr>
              <w:rPr>
                <w:rFonts w:ascii="Cambria Math" w:hAnsi="Cambria Math" w:cs="Minion Pro"/>
                <w:sz w:val="22"/>
              </w:rPr>
              <m:t>rej</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sub>
          <m:sup>
            <m:r>
              <m:rPr>
                <m:sty m:val="p"/>
              </m:rPr>
              <w:rPr>
                <w:rFonts w:ascii="Cambria Math" w:hAnsi="Cambria Math" w:cs="Minion Pro"/>
                <w:sz w:val="22"/>
              </w:rPr>
              <m:t>mis</m:t>
            </m:r>
          </m:sup>
        </m:sSubSup>
        <m:r>
          <w:rPr>
            <w:rFonts w:ascii="Cambria Math" w:hAnsi="Cambria Math" w:cs="Minion Pro"/>
            <w:sz w:val="22"/>
          </w:rPr>
          <m:t>)</m:t>
        </m:r>
      </m:oMath>
    </w:p>
    <w:p w14:paraId="1F7918F0"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4</m:t>
                </m:r>
              </m:sub>
            </m:sSub>
            <m:r>
              <w:rPr>
                <w:rFonts w:ascii="Cambria Math" w:hAnsi="Cambria Math" w:cs="Minion Pro"/>
                <w:sz w:val="22"/>
              </w:rPr>
              <m:t>,</m:t>
            </m:r>
            <m:r>
              <m:rPr>
                <m:sty m:val="p"/>
              </m:rPr>
              <w:rPr>
                <w:rFonts w:ascii="Cambria Math" w:hAnsi="Cambria Math" w:cs="Minion Pro"/>
                <w:sz w:val="22"/>
              </w:rPr>
              <m:t>ini</m:t>
            </m:r>
          </m:sub>
          <m:sup>
            <m:r>
              <m:rPr>
                <m:sty m:val="p"/>
              </m:rPr>
              <w:rPr>
                <w:rFonts w:ascii="Cambria Math" w:hAnsi="Cambria Math" w:cs="Minion Pro"/>
                <w:sz w:val="22"/>
              </w:rPr>
              <m:t>rej</m:t>
            </m:r>
          </m:sup>
        </m:sSubSup>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5</m:t>
                </m:r>
              </m:sub>
            </m:sSub>
            <m:r>
              <w:rPr>
                <w:rFonts w:ascii="Cambria Math" w:hAnsi="Cambria Math" w:cs="Minion Pro"/>
                <w:sz w:val="22"/>
              </w:rPr>
              <m:t>,</m:t>
            </m:r>
            <m:r>
              <m:rPr>
                <m:sty m:val="p"/>
              </m:rPr>
              <w:rPr>
                <w:rFonts w:ascii="Cambria Math" w:hAnsi="Cambria Math" w:cs="Minion Pro"/>
                <w:sz w:val="22"/>
              </w:rPr>
              <m:t>upd</m:t>
            </m:r>
          </m:sub>
          <m:sup>
            <m:r>
              <m:rPr>
                <m:sty m:val="p"/>
              </m:rPr>
              <w:rPr>
                <w:rFonts w:ascii="Cambria Math" w:hAnsi="Cambria Math" w:cs="Minion Pro"/>
                <w:sz w:val="22"/>
              </w:rPr>
              <m:t>rej</m:t>
            </m:r>
          </m:sup>
        </m:sSubSup>
        <m:r>
          <w:rPr>
            <w:rFonts w:ascii="Cambria Math" w:hAnsi="Cambria Math" w:cs="Minion Pro"/>
            <w:sz w:val="22"/>
          </w:rPr>
          <m:t>-1)(1-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r>
              <w:rPr>
                <w:rFonts w:ascii="Cambria Math" w:hAnsi="Cambria Math" w:cs="Minion Pro"/>
                <w:sz w:val="22"/>
              </w:rPr>
              <m:t>,</m:t>
            </m:r>
            <m:r>
              <m:rPr>
                <m:sty m:val="p"/>
              </m:rPr>
              <w:rPr>
                <w:rFonts w:ascii="Cambria Math" w:hAnsi="Cambria Math" w:cs="Minion Pro"/>
                <w:sz w:val="22"/>
              </w:rPr>
              <m:t>upd</m:t>
            </m:r>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r>
              <w:rPr>
                <w:rFonts w:ascii="Cambria Math" w:hAnsi="Cambria Math" w:cs="Minion Pro"/>
                <w:sz w:val="22"/>
              </w:rPr>
              <m:t>,</m:t>
            </m:r>
            <m:r>
              <m:rPr>
                <m:sty m:val="p"/>
              </m:rPr>
              <w:rPr>
                <w:rFonts w:ascii="Cambria Math" w:hAnsi="Cambria Math" w:cs="Minion Pro"/>
                <w:sz w:val="22"/>
              </w:rPr>
              <m:t>ini</m:t>
            </m:r>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r>
              <w:rPr>
                <w:rFonts w:ascii="Cambria Math" w:hAnsi="Cambria Math" w:cs="Minion Pro"/>
                <w:sz w:val="22"/>
              </w:rPr>
              <m:t>,</m:t>
            </m:r>
            <m:r>
              <m:rPr>
                <m:sty m:val="p"/>
              </m:rPr>
              <w:rPr>
                <w:rFonts w:ascii="Cambria Math" w:hAnsi="Cambria Math" w:cs="Minion Pro"/>
                <w:sz w:val="22"/>
              </w:rPr>
              <m:t>ini</m:t>
            </m:r>
          </m:sub>
          <m:sup>
            <m:r>
              <m:rPr>
                <m:sty m:val="p"/>
              </m:rPr>
              <w:rPr>
                <w:rFonts w:ascii="Cambria Math" w:hAnsi="Cambria Math" w:cs="Minion Pro"/>
                <w:sz w:val="22"/>
              </w:rPr>
              <m:t>mis</m:t>
            </m:r>
          </m:sup>
        </m:sSubSup>
        <m:r>
          <w:rPr>
            <w:rFonts w:ascii="Cambria Math" w:hAnsi="Cambria Math" w:cs="Minion Pro"/>
            <w:sz w:val="22"/>
          </w:rPr>
          <m:t>)+1</m:t>
        </m:r>
      </m:oMath>
      <w:r w:rsidRPr="00463734">
        <w:rPr>
          <w:rFonts w:ascii="Minion Pro" w:hAnsi="Minion Pro" w:cs="Minion Pro"/>
          <w:sz w:val="22"/>
        </w:rPr>
        <w:tab/>
      </w:r>
      <w:r w:rsidRPr="00463734">
        <w:rPr>
          <w:rFonts w:ascii="Minion Pro" w:hAnsi="Minion Pro" w:cs="Minion Pro" w:hint="eastAsia"/>
          <w:sz w:val="22"/>
        </w:rPr>
        <w:t>(S51)</w:t>
      </w:r>
    </w:p>
    <w:p w14:paraId="03BE6943" w14:textId="77777777" w:rsidR="00055865" w:rsidRPr="00463734" w:rsidRDefault="00000000">
      <w:pPr>
        <w:ind w:firstLine="420"/>
        <w:rPr>
          <w:rFonts w:ascii="Minion Pro" w:hAnsi="Minion Pro" w:cs="Minion Pro"/>
        </w:rPr>
      </w:pPr>
      <w:r w:rsidRPr="00463734">
        <w:rPr>
          <w:rFonts w:ascii="Minion Pro" w:hAnsi="Minion Pro" w:cs="Minion Pro"/>
        </w:rPr>
        <w:t xml:space="preserve">Substituting Equation </w:t>
      </w:r>
      <w:r w:rsidRPr="00463734">
        <w:rPr>
          <w:rFonts w:ascii="Minion Pro" w:hAnsi="Minion Pro" w:cs="Minion Pro" w:hint="eastAsia"/>
        </w:rPr>
        <w:t>S51</w:t>
      </w:r>
      <w:r w:rsidRPr="00463734">
        <w:rPr>
          <w:rFonts w:ascii="Minion Pro" w:hAnsi="Minion Pro" w:cs="Minion Pro"/>
        </w:rPr>
        <w:t xml:space="preserve"> into Equation </w:t>
      </w:r>
      <w:r w:rsidRPr="00463734">
        <w:rPr>
          <w:rFonts w:ascii="Minion Pro" w:hAnsi="Minion Pro" w:cs="Minion Pro" w:hint="eastAsia"/>
        </w:rPr>
        <w:t>S37</w:t>
      </w:r>
      <w:r w:rsidRPr="00463734">
        <w:rPr>
          <w:rFonts w:ascii="Minion Pro" w:hAnsi="Minion Pro" w:cs="Minion Pro"/>
        </w:rPr>
        <w:t>, we obtain:</w:t>
      </w:r>
    </w:p>
    <w:p w14:paraId="3AD8DA0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i/>
          <w:sz w:val="22"/>
        </w:rPr>
      </w:pPr>
      <w:r w:rsidRPr="00463734">
        <w:rPr>
          <w:rFonts w:ascii="Minion Pro" w:hAnsi="Minion Pro" w:cs="Minion Pro"/>
          <w:snapToGrid w:val="0"/>
          <w:sz w:val="22"/>
          <w:szCs w:val="22"/>
          <w:lang w:bidi="en-US"/>
        </w:rPr>
        <w:tab/>
      </w:r>
      <m:oMath>
        <m:sSub>
          <m:sSubPr>
            <m:ctrlPr>
              <w:rPr>
                <w:rFonts w:ascii="Cambria Math" w:hAnsi="Cambria Math" w:cs="Minion Pro"/>
                <w:sz w:val="22"/>
              </w:rPr>
            </m:ctrlPr>
          </m:sSubPr>
          <m:e>
            <m:r>
              <w:rPr>
                <w:rFonts w:ascii="Cambria Math" w:hAnsi="Cambria Math" w:cs="Minion Pro"/>
                <w:sz w:val="22"/>
              </w:rPr>
              <m:t>d</m:t>
            </m:r>
          </m:e>
          <m:sub>
            <m:r>
              <w:rPr>
                <w:rFonts w:ascii="Cambria Math" w:hAnsi="Cambria Math" w:cs="Minion Pro"/>
                <w:sz w:val="22"/>
              </w:rPr>
              <m:t>4-6</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rst</m:t>
            </m:r>
          </m:sub>
        </m:sSub>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4</m:t>
                </m:r>
              </m:sub>
            </m:sSub>
            <m:r>
              <w:rPr>
                <w:rFonts w:ascii="Cambria Math" w:hAnsi="Cambria Math" w:cs="Minion Pro"/>
                <w:sz w:val="22"/>
              </w:rPr>
              <m:t>,</m:t>
            </m:r>
            <m:r>
              <m:rPr>
                <m:sty m:val="p"/>
              </m:rPr>
              <w:rPr>
                <w:rFonts w:ascii="Cambria Math" w:hAnsi="Cambria Math" w:cs="Minion Pro"/>
                <w:sz w:val="22"/>
              </w:rPr>
              <m:t>ini</m:t>
            </m:r>
          </m:sub>
          <m:sup>
            <m:r>
              <m:rPr>
                <m:sty m:val="p"/>
              </m:rPr>
              <w:rPr>
                <w:rFonts w:ascii="Cambria Math" w:hAnsi="Cambria Math" w:cs="Minion Pro"/>
                <w:sz w:val="22"/>
              </w:rPr>
              <m:t>rej</m:t>
            </m:r>
          </m:sup>
        </m:sSubSup>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5</m:t>
                </m:r>
              </m:sub>
            </m:sSub>
            <m:r>
              <w:rPr>
                <w:rFonts w:ascii="Cambria Math" w:hAnsi="Cambria Math" w:cs="Minion Pro"/>
                <w:sz w:val="22"/>
              </w:rPr>
              <m:t>,</m:t>
            </m:r>
            <m:r>
              <m:rPr>
                <m:sty m:val="p"/>
              </m:rPr>
              <w:rPr>
                <w:rFonts w:ascii="Cambria Math" w:hAnsi="Cambria Math" w:cs="Minion Pro"/>
                <w:sz w:val="22"/>
              </w:rPr>
              <m:t>upd</m:t>
            </m:r>
          </m:sub>
          <m:sup>
            <m:r>
              <m:rPr>
                <m:sty m:val="p"/>
              </m:rPr>
              <w:rPr>
                <w:rFonts w:ascii="Cambria Math" w:hAnsi="Cambria Math" w:cs="Minion Pro"/>
                <w:sz w:val="22"/>
              </w:rPr>
              <m:t>rej</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1</m:t>
                </m:r>
              </m:sub>
            </m:sSub>
            <m:r>
              <w:rPr>
                <w:rFonts w:ascii="Cambria Math" w:hAnsi="Cambria Math" w:cs="Minion Pro"/>
                <w:sz w:val="22"/>
              </w:rPr>
              <m:t>,</m:t>
            </m:r>
            <m:r>
              <m:rPr>
                <m:sty m:val="p"/>
              </m:rPr>
              <w:rPr>
                <w:rFonts w:ascii="Cambria Math" w:hAnsi="Cambria Math" w:cs="Minion Pro"/>
                <w:sz w:val="22"/>
              </w:rPr>
              <m:t>upd</m:t>
            </m:r>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2</m:t>
                </m:r>
              </m:sub>
            </m:sSub>
            <m:r>
              <w:rPr>
                <w:rFonts w:ascii="Cambria Math" w:hAnsi="Cambria Math" w:cs="Minion Pro"/>
                <w:sz w:val="22"/>
              </w:rPr>
              <m:t>,</m:t>
            </m:r>
            <m:r>
              <m:rPr>
                <m:sty m:val="p"/>
              </m:rPr>
              <w:rPr>
                <w:rFonts w:ascii="Cambria Math" w:hAnsi="Cambria Math" w:cs="Minion Pro"/>
                <w:sz w:val="22"/>
              </w:rPr>
              <m:t>ini</m:t>
            </m:r>
          </m:sub>
          <m:sup>
            <m:r>
              <m:rPr>
                <m:sty m:val="p"/>
              </m:rPr>
              <w:rPr>
                <w:rFonts w:ascii="Cambria Math" w:hAnsi="Cambria Math" w:cs="Minion Pro"/>
                <w:sz w:val="22"/>
              </w:rPr>
              <m:t>mis</m:t>
            </m:r>
          </m:sup>
        </m:sSubSup>
        <m:r>
          <w:rPr>
            <w:rFonts w:ascii="Cambria Math" w:hAnsi="Cambria Math" w:cs="Minion Pro"/>
            <w:sz w:val="22"/>
          </w:rPr>
          <m:t>)(1-</m:t>
        </m:r>
        <m:sSubSup>
          <m:sSubSupPr>
            <m:ctrlPr>
              <w:rPr>
                <w:rFonts w:ascii="Cambria Math" w:hAnsi="Cambria Math" w:cs="Minion Pro"/>
                <w:sz w:val="22"/>
              </w:rPr>
            </m:ctrlPr>
          </m:sSubSupPr>
          <m:e>
            <m:r>
              <w:rPr>
                <w:rFonts w:ascii="Cambria Math" w:hAnsi="Cambria Math" w:cs="Minion Pro"/>
                <w:sz w:val="22"/>
              </w:rPr>
              <m:t>P</m:t>
            </m:r>
          </m:e>
          <m:sub>
            <m:sSub>
              <m:sSubPr>
                <m:ctrlPr>
                  <w:rPr>
                    <w:rFonts w:ascii="Cambria Math" w:hAnsi="Cambria Math" w:cs="Minion Pro"/>
                    <w:sz w:val="22"/>
                  </w:rPr>
                </m:ctrlPr>
              </m:sSubPr>
              <m:e>
                <m:r>
                  <w:rPr>
                    <w:rFonts w:ascii="Cambria Math" w:hAnsi="Cambria Math" w:cs="Minion Pro"/>
                    <w:sz w:val="22"/>
                  </w:rPr>
                  <m:t>S</m:t>
                </m:r>
              </m:e>
              <m:sub>
                <m:r>
                  <w:rPr>
                    <w:rFonts w:ascii="Cambria Math" w:hAnsi="Cambria Math" w:cs="Minion Pro"/>
                    <w:sz w:val="22"/>
                  </w:rPr>
                  <m:t>3</m:t>
                </m:r>
              </m:sub>
            </m:sSub>
            <m:r>
              <w:rPr>
                <w:rFonts w:ascii="Cambria Math" w:hAnsi="Cambria Math" w:cs="Minion Pro"/>
                <w:sz w:val="22"/>
              </w:rPr>
              <m:t>,</m:t>
            </m:r>
            <m:r>
              <m:rPr>
                <m:sty m:val="p"/>
              </m:rPr>
              <w:rPr>
                <w:rFonts w:ascii="Cambria Math" w:hAnsi="Cambria Math" w:cs="Minion Pro"/>
                <w:sz w:val="22"/>
              </w:rPr>
              <m:t>ini</m:t>
            </m:r>
          </m:sub>
          <m:sup>
            <m:r>
              <m:rPr>
                <m:sty m:val="p"/>
              </m:rPr>
              <w:rPr>
                <w:rFonts w:ascii="Cambria Math" w:hAnsi="Cambria Math" w:cs="Minion Pro"/>
                <w:sz w:val="22"/>
              </w:rPr>
              <m:t>mis</m:t>
            </m:r>
          </m:sup>
        </m:sSubSup>
        <m:r>
          <w:rPr>
            <w:rFonts w:ascii="Cambria Math" w:hAnsi="Cambria Math" w:cs="Minion Pro"/>
            <w:sz w:val="22"/>
          </w:rPr>
          <m:t>)</m:t>
        </m:r>
      </m:oMath>
    </w:p>
    <w:p w14:paraId="2C31ECBB"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i/>
          <w:sz w:val="22"/>
        </w:rPr>
        <w:tab/>
      </w:r>
      <m:oMath>
        <m:r>
          <w:rPr>
            <w:rFonts w:ascii="Cambria Math" w:hAnsi="Cambria Math" w:cs="Minion Pro"/>
            <w:sz w:val="22"/>
          </w:rPr>
          <m:t>+</m:t>
        </m:r>
        <m:sSub>
          <m:sSubPr>
            <m:ctrlPr>
              <w:rPr>
                <w:rFonts w:ascii="Cambria Math" w:hAnsi="Cambria Math" w:cs="Minion Pro"/>
                <w:sz w:val="22"/>
              </w:rPr>
            </m:ctrlPr>
          </m:sSubPr>
          <m:e>
            <m:r>
              <w:rPr>
                <w:rFonts w:ascii="Cambria Math" w:hAnsi="Cambria Math" w:cs="Minion Pro"/>
                <w:sz w:val="22"/>
              </w:rPr>
              <m:t>d</m:t>
            </m:r>
          </m:e>
          <m:sub>
            <m:r>
              <m:rPr>
                <m:sty m:val="p"/>
              </m:rPr>
              <w:rPr>
                <w:rFonts w:ascii="Cambria Math" w:hAnsi="Cambria Math" w:cs="Minion Pro"/>
                <w:sz w:val="22"/>
              </w:rPr>
              <m:t>mttr</m:t>
            </m:r>
          </m:sub>
        </m:sSub>
      </m:oMath>
      <w:r w:rsidRPr="00463734">
        <w:rPr>
          <w:rFonts w:ascii="Minion Pro" w:hAnsi="Minion Pro" w:cs="Minion Pro"/>
          <w:i/>
          <w:sz w:val="22"/>
        </w:rPr>
        <w:tab/>
      </w:r>
      <w:r w:rsidRPr="00463734">
        <w:rPr>
          <w:rFonts w:ascii="Minion Pro" w:hAnsi="Minion Pro" w:cs="Minion Pro" w:hint="eastAsia"/>
          <w:sz w:val="22"/>
        </w:rPr>
        <w:t>(S52)</w:t>
      </w:r>
    </w:p>
    <w:p w14:paraId="12538AC4"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As shown in Equation </w:t>
      </w:r>
      <w:r w:rsidRPr="00463734">
        <w:rPr>
          <w:rFonts w:ascii="Minion Pro" w:hAnsi="Minion Pro" w:cs="Minion Pro" w:hint="eastAsia"/>
          <w:sz w:val="22"/>
          <w:szCs w:val="22"/>
        </w:rPr>
        <w:t>S52</w:t>
      </w:r>
      <w:r w:rsidRPr="00463734">
        <w:rPr>
          <w:rFonts w:ascii="Minion Pro" w:hAnsi="Minion Pro" w:cs="Minion Pro"/>
          <w:sz w:val="22"/>
          <w:szCs w:val="22"/>
        </w:rPr>
        <w:t xml:space="preserve">, in the feeder system depicted in </w:t>
      </w:r>
      <w:r w:rsidRPr="00463734">
        <w:rPr>
          <w:rFonts w:ascii="Minion Pro" w:hAnsi="Minion Pro" w:cs="Minion Pro" w:hint="eastAsia"/>
          <w:sz w:val="22"/>
          <w:szCs w:val="22"/>
        </w:rPr>
        <w:t>Figure S13</w:t>
      </w:r>
      <w:r w:rsidRPr="00463734">
        <w:rPr>
          <w:rFonts w:ascii="Minion Pro" w:hAnsi="Minion Pro" w:cs="Minion Pro"/>
          <w:sz w:val="22"/>
          <w:szCs w:val="22"/>
        </w:rPr>
        <w:t xml:space="preserve"> for the determined defense configuration, the outage time of the load node L4 on branch B6 due to the fault can be represented by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w:t>
      </w:r>
      <m:oMath>
        <m:sSub>
          <m:sSubPr>
            <m:ctrlPr>
              <w:rPr>
                <w:rFonts w:ascii="Cambria Math" w:hAnsi="Cambria Math" w:cs="Minion Pro"/>
                <w:sz w:val="22"/>
                <w:szCs w:val="22"/>
              </w:rPr>
            </m:ctrlPr>
          </m:sSubPr>
          <m:e>
            <m:r>
              <m:rPr>
                <m:sty m:val="p"/>
              </m:rPr>
              <w:rPr>
                <w:rFonts w:ascii="Cambria Math" w:hAnsi="Cambria Math" w:cs="Minion Pro"/>
                <w:sz w:val="22"/>
                <w:szCs w:val="22"/>
              </w:rPr>
              <m:t>d</m:t>
            </m:r>
          </m:e>
          <m:sub>
            <m:r>
              <m:rPr>
                <m:sty m:val="p"/>
              </m:rPr>
              <w:rPr>
                <w:rFonts w:ascii="Cambria Math" w:hAnsi="Cambria Math" w:cs="Minion Pro"/>
                <w:sz w:val="22"/>
                <w:szCs w:val="22"/>
              </w:rPr>
              <m:t>rst</m:t>
            </m:r>
          </m:sub>
        </m:sSub>
      </m:oMath>
      <w:r w:rsidRPr="00463734">
        <w:rPr>
          <w:rFonts w:ascii="Minion Pro" w:hAnsi="Minion Pro" w:cs="Minion Pro"/>
          <w:sz w:val="22"/>
          <w:szCs w:val="22"/>
        </w:rPr>
        <w:t xml:space="preserve">, </w:t>
      </w:r>
      <m:oMath>
        <m:sSub>
          <m:sSubPr>
            <m:ctrlPr>
              <w:rPr>
                <w:rFonts w:ascii="Cambria Math" w:hAnsi="Cambria Math" w:cs="Minion Pro"/>
                <w:sz w:val="22"/>
                <w:szCs w:val="22"/>
              </w:rPr>
            </m:ctrlPr>
          </m:sSubPr>
          <m:e>
            <m:r>
              <m:rPr>
                <m:sty m:val="p"/>
              </m:rPr>
              <w:rPr>
                <w:rFonts w:ascii="Cambria Math" w:hAnsi="Cambria Math" w:cs="Minion Pro"/>
                <w:sz w:val="22"/>
                <w:szCs w:val="22"/>
              </w:rPr>
              <m:t>d</m:t>
            </m:r>
          </m:e>
          <m:sub>
            <m:r>
              <m:rPr>
                <m:sty m:val="p"/>
              </m:rPr>
              <w:rPr>
                <w:rFonts w:ascii="Cambria Math" w:hAnsi="Cambria Math" w:cs="Minion Pro"/>
                <w:sz w:val="22"/>
                <w:szCs w:val="22"/>
              </w:rPr>
              <m:t>mttr</m:t>
            </m:r>
          </m:sub>
        </m:sSub>
      </m:oMath>
      <w:r w:rsidRPr="00463734">
        <w:rPr>
          <w:rFonts w:ascii="Minion Pro" w:hAnsi="Minion Pro" w:cs="Minion Pro"/>
          <w:sz w:val="22"/>
          <w:szCs w:val="22"/>
        </w:rPr>
        <w:t xml:space="preserve">. For Equations </w:t>
      </w:r>
      <w:r w:rsidRPr="00463734">
        <w:rPr>
          <w:rFonts w:ascii="Minion Pro" w:hAnsi="Minion Pro" w:cs="Minion Pro" w:hint="eastAsia"/>
          <w:sz w:val="22"/>
          <w:szCs w:val="22"/>
        </w:rPr>
        <w:t>S32</w:t>
      </w:r>
      <w:r w:rsidRPr="00463734">
        <w:rPr>
          <w:rFonts w:ascii="Minion Pro" w:hAnsi="Minion Pro" w:cs="Minion Pro"/>
          <w:sz w:val="22"/>
          <w:szCs w:val="22"/>
        </w:rPr>
        <w:t xml:space="preserve"> - </w:t>
      </w:r>
      <w:r w:rsidRPr="00463734">
        <w:rPr>
          <w:rFonts w:ascii="Minion Pro" w:hAnsi="Minion Pro" w:cs="Minion Pro" w:hint="eastAsia"/>
          <w:sz w:val="22"/>
          <w:szCs w:val="22"/>
        </w:rPr>
        <w:t>S35</w:t>
      </w:r>
      <w:r w:rsidRPr="00463734">
        <w:rPr>
          <w:rFonts w:ascii="Minion Pro" w:hAnsi="Minion Pro" w:cs="Minion Pro"/>
          <w:sz w:val="22"/>
          <w:szCs w:val="22"/>
        </w:rPr>
        <w:t xml:space="preserve">, </w:t>
      </w:r>
      <w:r w:rsidRPr="00463734">
        <w:rPr>
          <w:rFonts w:ascii="Minion Pro" w:hAnsi="Minion Pro" w:cs="Minion Pro" w:hint="eastAsia"/>
          <w:sz w:val="22"/>
          <w:szCs w:val="22"/>
        </w:rPr>
        <w:t>S42</w:t>
      </w:r>
      <w:r w:rsidRPr="00463734">
        <w:rPr>
          <w:rFonts w:ascii="Minion Pro" w:hAnsi="Minion Pro" w:cs="Minion Pro"/>
          <w:sz w:val="22"/>
          <w:szCs w:val="22"/>
        </w:rPr>
        <w:t xml:space="preserve"> - </w:t>
      </w:r>
      <w:r w:rsidRPr="00463734">
        <w:rPr>
          <w:rFonts w:ascii="Minion Pro" w:hAnsi="Minion Pro" w:cs="Minion Pro" w:hint="eastAsia"/>
          <w:sz w:val="22"/>
          <w:szCs w:val="22"/>
        </w:rPr>
        <w:t>S44</w:t>
      </w:r>
      <w:r w:rsidRPr="00463734">
        <w:rPr>
          <w:rFonts w:ascii="Minion Pro" w:hAnsi="Minion Pro" w:cs="Minion Pro"/>
          <w:sz w:val="22"/>
          <w:szCs w:val="22"/>
        </w:rPr>
        <w:t xml:space="preserve">, and </w:t>
      </w:r>
      <w:r w:rsidRPr="00463734">
        <w:rPr>
          <w:rFonts w:ascii="Minion Pro" w:hAnsi="Minion Pro" w:cs="Minion Pro" w:hint="eastAsia"/>
          <w:sz w:val="22"/>
          <w:szCs w:val="22"/>
        </w:rPr>
        <w:t>S47</w:t>
      </w:r>
      <w:r w:rsidRPr="00463734">
        <w:rPr>
          <w:rFonts w:ascii="Minion Pro" w:hAnsi="Minion Pro" w:cs="Minion Pro"/>
          <w:sz w:val="22"/>
          <w:szCs w:val="22"/>
        </w:rPr>
        <w:t xml:space="preserve"> in Section 4.2, similar methods can be employed for processing.</w:t>
      </w:r>
    </w:p>
    <w:p w14:paraId="29FF49F6"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2.2.2 </w:t>
      </w:r>
      <w:r w:rsidRPr="00463734">
        <w:rPr>
          <w:rFonts w:cs="Minion Pro"/>
          <w:b w:val="0"/>
          <w:bCs/>
          <w:i/>
          <w:iCs/>
          <w:color w:val="auto"/>
          <w:lang w:eastAsia="zh-CN"/>
        </w:rPr>
        <w:t>Establishment and Solution of the Optimized Model</w:t>
      </w:r>
    </w:p>
    <w:p w14:paraId="41C52428"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Carrying out information security configuration for RTUs in the distribution network can reduce the power outage time for users and lower the system risks. Distribution network operators and related stakeholders hope to minimize the system risks with limited defense resource investment. Therefore, an optimization model is formulated with the goal of minimizing system risks, and the positions of RTUs that need security configuration are optimized. This can be expressed as:</w:t>
      </w:r>
    </w:p>
    <w:p w14:paraId="4308D871"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m>
          <m:mPr>
            <m:plcHide m:val="1"/>
            <m:mcs>
              <m:mc>
                <m:mcPr>
                  <m:count m:val="1"/>
                  <m:mcJc m:val="center"/>
                </m:mcPr>
              </m:mc>
            </m:mcs>
            <m:ctrlPr>
              <w:rPr>
                <w:rFonts w:ascii="Cambria Math" w:hAnsi="Cambria Math" w:cs="Minion Pro"/>
                <w:sz w:val="22"/>
              </w:rPr>
            </m:ctrlPr>
          </m:mPr>
          <m:mr>
            <m:e>
              <m:r>
                <m:rPr>
                  <m:sty m:val="p"/>
                </m:rPr>
                <w:rPr>
                  <w:rFonts w:ascii="Cambria Math" w:hAnsi="Cambria Math" w:cs="Minion Pro"/>
                  <w:sz w:val="22"/>
                </w:rPr>
                <m:t>Minimize</m:t>
              </m:r>
              <m:sSub>
                <m:sSubPr>
                  <m:ctrlPr>
                    <w:rPr>
                      <w:rFonts w:ascii="Cambria Math" w:hAnsi="Cambria Math" w:cs="Minion Pro"/>
                      <w:sz w:val="22"/>
                    </w:rPr>
                  </m:ctrlPr>
                </m:sSubPr>
                <m:e>
                  <m:r>
                    <w:rPr>
                      <w:rFonts w:ascii="Cambria Math" w:hAnsi="Cambria Math" w:cs="Minion Pro"/>
                      <w:sz w:val="22"/>
                    </w:rPr>
                    <m:t>R</m:t>
                  </m:r>
                </m:e>
                <m:sub>
                  <m:r>
                    <m:rPr>
                      <m:sty m:val="p"/>
                    </m:rPr>
                    <w:rPr>
                      <w:rFonts w:ascii="Cambria Math" w:hAnsi="Cambria Math" w:cs="Minion Pro"/>
                      <w:sz w:val="22"/>
                    </w:rPr>
                    <m:t>sys</m:t>
                  </m:r>
                </m:sub>
              </m:sSub>
            </m:e>
          </m:mr>
          <m:mr>
            <m:e>
              <m:r>
                <m:rPr>
                  <m:sty m:val="p"/>
                </m:rPr>
                <w:rPr>
                  <w:rFonts w:ascii="Cambria Math" w:hAnsi="Cambria Math" w:cs="Minion Pro"/>
                  <w:sz w:val="22"/>
                </w:rPr>
                <m:t>s.t.</m:t>
              </m:r>
              <m:nary>
                <m:naryPr>
                  <m:chr m:val="∑"/>
                  <m:limLoc m:val="undOvr"/>
                  <m:supHide m:val="1"/>
                  <m:ctrlPr>
                    <w:rPr>
                      <w:rFonts w:ascii="Cambria Math" w:hAnsi="Cambria Math" w:cs="Minion Pro"/>
                      <w:sz w:val="22"/>
                    </w:rPr>
                  </m:ctrlPr>
                </m:naryPr>
                <m:sub>
                  <m:r>
                    <w:rPr>
                      <w:rFonts w:ascii="Cambria Math" w:hAnsi="Cambria Math" w:cs="Minion Pro"/>
                      <w:sz w:val="22"/>
                    </w:rPr>
                    <m:t>d∈D</m:t>
                  </m:r>
                </m:sub>
                <m:sup/>
                <m:e>
                  <m:sSub>
                    <m:sSubPr>
                      <m:ctrlPr>
                        <w:rPr>
                          <w:rFonts w:ascii="Cambria Math" w:hAnsi="Cambria Math" w:cs="Minion Pro"/>
                          <w:sz w:val="22"/>
                        </w:rPr>
                      </m:ctrlPr>
                    </m:sSubPr>
                    <m:e>
                      <m:r>
                        <w:rPr>
                          <w:rFonts w:ascii="Cambria Math" w:hAnsi="Cambria Math" w:cs="Minion Pro"/>
                          <w:sz w:val="22"/>
                        </w:rPr>
                        <m:t>δ</m:t>
                      </m:r>
                    </m:e>
                    <m:sub>
                      <m:r>
                        <w:rPr>
                          <w:rFonts w:ascii="Cambria Math" w:hAnsi="Cambria Math" w:cs="Minion Pro"/>
                          <w:sz w:val="22"/>
                        </w:rPr>
                        <m:t>d</m:t>
                      </m:r>
                    </m:sub>
                  </m:sSub>
                </m:e>
              </m:nary>
              <m:r>
                <w:rPr>
                  <w:rFonts w:ascii="Cambria Math" w:hAnsi="Cambria Math" w:cs="Minion Pro"/>
                  <w:sz w:val="22"/>
                </w:rPr>
                <m:t>≤</m:t>
              </m:r>
              <m:acc>
                <m:accPr>
                  <m:chr m:val="̄"/>
                  <m:ctrlPr>
                    <w:rPr>
                      <w:rFonts w:ascii="Cambria Math" w:hAnsi="Cambria Math" w:cs="Minion Pro"/>
                      <w:sz w:val="22"/>
                    </w:rPr>
                  </m:ctrlPr>
                </m:accPr>
                <m:e>
                  <m:r>
                    <w:rPr>
                      <w:rFonts w:ascii="Cambria Math" w:hAnsi="Cambria Math" w:cs="Minion Pro"/>
                      <w:sz w:val="22"/>
                    </w:rPr>
                    <m:t>δ</m:t>
                  </m:r>
                </m:e>
              </m:acc>
            </m:e>
          </m:mr>
          <m:mr>
            <m:e>
              <m:r>
                <w:rPr>
                  <w:rFonts w:ascii="Cambria Math" w:hAnsi="Cambria Math" w:cs="Minion Pro"/>
                  <w:sz w:val="22"/>
                </w:rPr>
                <m:t>(4-1)-(4-24)</m:t>
              </m:r>
            </m:e>
          </m:mr>
        </m:m>
      </m:oMath>
      <w:r w:rsidRPr="00463734">
        <w:rPr>
          <w:rFonts w:ascii="Minion Pro" w:hAnsi="Minion Pro" w:cs="Minion Pro"/>
          <w:sz w:val="22"/>
        </w:rPr>
        <w:tab/>
      </w:r>
      <w:r w:rsidRPr="00463734">
        <w:rPr>
          <w:rFonts w:ascii="Minion Pro" w:hAnsi="Minion Pro" w:cs="Minion Pro" w:hint="eastAsia"/>
          <w:sz w:val="22"/>
        </w:rPr>
        <w:t>(S53)</w:t>
      </w:r>
    </w:p>
    <w:p w14:paraId="45642C96"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In the formula: D represents the set of all candidate RTU positions for security configuration; </w:t>
      </w:r>
      <m:oMath>
        <m:acc>
          <m:accPr>
            <m:chr m:val="̄"/>
            <m:ctrlPr>
              <w:rPr>
                <w:rFonts w:ascii="Cambria Math" w:hAnsi="Cambria Math" w:cs="Minion Pro"/>
                <w:sz w:val="22"/>
                <w:szCs w:val="22"/>
              </w:rPr>
            </m:ctrlPr>
          </m:accPr>
          <m:e>
            <m:r>
              <m:rPr>
                <m:sty m:val="p"/>
              </m:rPr>
              <w:rPr>
                <w:rFonts w:ascii="Cambria Math" w:hAnsi="Cambria Math" w:cs="Minion Pro"/>
                <w:sz w:val="22"/>
                <w:szCs w:val="22"/>
              </w:rPr>
              <m:t>δ</m:t>
            </m:r>
          </m:e>
        </m:acc>
      </m:oMath>
      <w:r w:rsidRPr="00463734">
        <w:rPr>
          <w:rFonts w:ascii="Minion Pro" w:hAnsi="Minion Pro" w:cs="Minion Pro"/>
          <w:sz w:val="22"/>
          <w:szCs w:val="22"/>
        </w:rPr>
        <w:t xml:space="preserve"> represents the number of RTUs that can be securely configured with defense resources.</w:t>
      </w:r>
    </w:p>
    <w:p w14:paraId="2F0F3F8C"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In the constraints </w:t>
      </w:r>
      <w:r w:rsidRPr="00463734">
        <w:rPr>
          <w:rFonts w:ascii="Minion Pro" w:hAnsi="Minion Pro" w:cs="Minion Pro" w:hint="eastAsia"/>
          <w:sz w:val="22"/>
          <w:szCs w:val="22"/>
        </w:rPr>
        <w:t>S49</w:t>
      </w:r>
      <w:r w:rsidRPr="00463734">
        <w:rPr>
          <w:rFonts w:ascii="Minion Pro" w:hAnsi="Minion Pro" w:cs="Minion Pro"/>
          <w:sz w:val="22"/>
          <w:szCs w:val="22"/>
        </w:rPr>
        <w:t xml:space="preserve"> and </w:t>
      </w:r>
      <w:r w:rsidRPr="00463734">
        <w:rPr>
          <w:rFonts w:ascii="Minion Pro" w:hAnsi="Minion Pro" w:cs="Minion Pro" w:hint="eastAsia"/>
          <w:sz w:val="22"/>
          <w:szCs w:val="22"/>
        </w:rPr>
        <w:t>S50</w:t>
      </w:r>
      <w:r w:rsidRPr="00463734">
        <w:rPr>
          <w:rFonts w:ascii="Minion Pro" w:hAnsi="Minion Pro" w:cs="Minion Pro"/>
          <w:sz w:val="22"/>
          <w:szCs w:val="22"/>
        </w:rPr>
        <w:t xml:space="preserve">,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change according to the variation of </w:t>
      </w:r>
      <m:oMath>
        <m:r>
          <m:rPr>
            <m:sty m:val="p"/>
          </m:rPr>
          <w:rPr>
            <w:rFonts w:ascii="Cambria Math" w:hAnsi="Cambria Math" w:cs="Minion Pro"/>
            <w:sz w:val="22"/>
            <w:szCs w:val="22"/>
          </w:rPr>
          <m:t>δ</m:t>
        </m:r>
      </m:oMath>
      <w:r w:rsidRPr="00463734">
        <w:rPr>
          <w:rFonts w:ascii="Minion Pro" w:hAnsi="Minion Pro" w:cs="Minion Pro"/>
          <w:sz w:val="22"/>
          <w:szCs w:val="22"/>
        </w:rPr>
        <w:t xml:space="preserve"> </w:t>
      </w:r>
      <w:r w:rsidRPr="00463734">
        <w:rPr>
          <w:rFonts w:ascii="Minion Pro" w:hAnsi="Minion Pro" w:cs="Minion Pro"/>
          <w:sz w:val="22"/>
          <w:szCs w:val="22"/>
        </w:rPr>
        <w:lastRenderedPageBreak/>
        <w:t xml:space="preserve">value; that is,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have a conditional relationship with </w:t>
      </w:r>
      <m:oMath>
        <m:r>
          <m:rPr>
            <m:sty m:val="p"/>
          </m:rPr>
          <w:rPr>
            <w:rFonts w:ascii="Cambria Math" w:hAnsi="Cambria Math" w:cs="Minion Pro"/>
            <w:sz w:val="22"/>
            <w:szCs w:val="22"/>
          </w:rPr>
          <m:t>δ</m:t>
        </m:r>
      </m:oMath>
      <w:r w:rsidRPr="00463734">
        <w:rPr>
          <w:rFonts w:ascii="Minion Pro" w:hAnsi="Minion Pro" w:cs="Minion Pro"/>
          <w:sz w:val="22"/>
          <w:szCs w:val="22"/>
        </w:rPr>
        <w:t xml:space="preserve">. In order to convert </w:t>
      </w:r>
      <w:r w:rsidRPr="00463734">
        <w:rPr>
          <w:rFonts w:ascii="Minion Pro" w:hAnsi="Minion Pro" w:cs="Minion Pro" w:hint="eastAsia"/>
          <w:sz w:val="22"/>
          <w:szCs w:val="22"/>
        </w:rPr>
        <w:t>S53</w:t>
      </w:r>
      <w:r w:rsidRPr="00463734">
        <w:rPr>
          <w:rFonts w:ascii="Minion Pro" w:hAnsi="Minion Pro" w:cs="Minion Pro"/>
          <w:sz w:val="22"/>
          <w:szCs w:val="22"/>
        </w:rPr>
        <w:t xml:space="preserve"> into an optimization problem, it is necessary to transform </w:t>
      </w:r>
      <w:r w:rsidRPr="00463734">
        <w:rPr>
          <w:rFonts w:ascii="Minion Pro" w:hAnsi="Minion Pro" w:cs="Minion Pro" w:hint="eastAsia"/>
          <w:sz w:val="22"/>
          <w:szCs w:val="22"/>
        </w:rPr>
        <w:t>S49</w:t>
      </w:r>
      <w:r w:rsidRPr="00463734">
        <w:rPr>
          <w:rFonts w:ascii="Minion Pro" w:hAnsi="Minion Pro" w:cs="Minion Pro"/>
          <w:sz w:val="22"/>
          <w:szCs w:val="22"/>
        </w:rPr>
        <w:t xml:space="preserve"> and </w:t>
      </w:r>
      <w:r w:rsidRPr="00463734">
        <w:rPr>
          <w:rFonts w:ascii="Minion Pro" w:hAnsi="Minion Pro" w:cs="Minion Pro" w:hint="eastAsia"/>
          <w:sz w:val="22"/>
          <w:szCs w:val="22"/>
        </w:rPr>
        <w:t>S50</w:t>
      </w:r>
      <w:r w:rsidRPr="00463734">
        <w:rPr>
          <w:rFonts w:ascii="Minion Pro" w:hAnsi="Minion Pro" w:cs="Minion Pro"/>
          <w:sz w:val="22"/>
          <w:szCs w:val="22"/>
        </w:rPr>
        <w:t>, which can be specifically expressed as follows:</w:t>
      </w:r>
    </w:p>
    <w:p w14:paraId="7705BB84"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sub>
          <m:sup>
            <m:r>
              <m:rPr>
                <m:sty m:val="p"/>
              </m:rPr>
              <w:rPr>
                <w:rFonts w:ascii="Cambria Math" w:hAnsi="Cambria Math" w:cs="Minion Pro"/>
                <w:sz w:val="22"/>
              </w:rPr>
              <m:t>rej</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r>
              <m:rPr>
                <m:sty m:val="p"/>
              </m:rPr>
              <w:rPr>
                <w:rFonts w:ascii="Cambria Math" w:hAnsi="Cambria Math" w:cs="Minion Pro"/>
                <w:sz w:val="22"/>
              </w:rPr>
              <m:t>upd</m:t>
            </m:r>
          </m:sub>
          <m:sup>
            <m:r>
              <m:rPr>
                <m:sty m:val="p"/>
              </m:rPr>
              <w:rPr>
                <w:rFonts w:ascii="Cambria Math" w:hAnsi="Cambria Math" w:cs="Minion Pro"/>
                <w:sz w:val="22"/>
              </w:rPr>
              <m:t>rej</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r>
              <m:rPr>
                <m:sty m:val="p"/>
              </m:rPr>
              <w:rPr>
                <w:rFonts w:ascii="Cambria Math" w:hAnsi="Cambria Math" w:cs="Minion Pro"/>
                <w:sz w:val="22"/>
              </w:rPr>
              <m:t>ini</m:t>
            </m:r>
          </m:sub>
          <m:sup>
            <m:r>
              <m:rPr>
                <m:sty m:val="p"/>
              </m:rPr>
              <w:rPr>
                <w:rFonts w:ascii="Cambria Math" w:hAnsi="Cambria Math" w:cs="Minion Pro"/>
                <w:sz w:val="22"/>
              </w:rPr>
              <m:t>rej</m:t>
            </m:r>
          </m:sup>
        </m:sSubSup>
        <m:r>
          <w:rPr>
            <w:rFonts w:ascii="Cambria Math" w:hAnsi="Cambria Math" w:cs="Minion Pro"/>
            <w:sz w:val="22"/>
          </w:rPr>
          <m:t>)δ+</m:t>
        </m:r>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r>
              <m:rPr>
                <m:sty m:val="p"/>
              </m:rPr>
              <w:rPr>
                <w:rFonts w:ascii="Cambria Math" w:hAnsi="Cambria Math" w:cs="Minion Pro"/>
                <w:sz w:val="22"/>
              </w:rPr>
              <m:t>ini</m:t>
            </m:r>
          </m:sub>
          <m:sup>
            <m:r>
              <m:rPr>
                <m:sty m:val="p"/>
              </m:rPr>
              <w:rPr>
                <w:rFonts w:ascii="Cambria Math" w:hAnsi="Cambria Math" w:cs="Minion Pro"/>
                <w:sz w:val="22"/>
              </w:rPr>
              <m:t>rej</m:t>
            </m:r>
          </m:sup>
        </m:sSubSup>
      </m:oMath>
      <w:r w:rsidRPr="00463734">
        <w:rPr>
          <w:rFonts w:ascii="Minion Pro" w:hAnsi="Minion Pro" w:cs="Minion Pro"/>
          <w:sz w:val="22"/>
        </w:rPr>
        <w:tab/>
      </w:r>
      <w:r w:rsidRPr="00463734">
        <w:rPr>
          <w:rFonts w:ascii="Minion Pro" w:hAnsi="Minion Pro" w:cs="Minion Pro" w:hint="eastAsia"/>
          <w:sz w:val="22"/>
        </w:rPr>
        <w:t>(S54)</w:t>
      </w:r>
    </w:p>
    <w:p w14:paraId="31F7B91B"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sub>
          <m:sup>
            <m:r>
              <m:rPr>
                <m:sty m:val="p"/>
              </m:rPr>
              <w:rPr>
                <w:rFonts w:ascii="Cambria Math" w:hAnsi="Cambria Math" w:cs="Minion Pro"/>
                <w:sz w:val="22"/>
              </w:rPr>
              <m:t>mis</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r>
              <m:rPr>
                <m:sty m:val="p"/>
              </m:rPr>
              <w:rPr>
                <w:rFonts w:ascii="Cambria Math" w:hAnsi="Cambria Math" w:cs="Minion Pro"/>
                <w:sz w:val="22"/>
              </w:rPr>
              <m:t>upd</m:t>
            </m:r>
          </m:sub>
          <m:sup>
            <m:r>
              <m:rPr>
                <m:sty m:val="p"/>
              </m:rPr>
              <w:rPr>
                <w:rFonts w:ascii="Cambria Math" w:hAnsi="Cambria Math" w:cs="Minion Pro"/>
                <w:sz w:val="22"/>
              </w:rPr>
              <m:t>mis</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r>
              <m:rPr>
                <m:sty m:val="p"/>
              </m:rPr>
              <w:rPr>
                <w:rFonts w:ascii="Cambria Math" w:hAnsi="Cambria Math" w:cs="Minion Pro"/>
                <w:sz w:val="22"/>
              </w:rPr>
              <m:t>ini</m:t>
            </m:r>
          </m:sub>
          <m:sup>
            <m:r>
              <m:rPr>
                <m:sty m:val="p"/>
              </m:rPr>
              <w:rPr>
                <w:rFonts w:ascii="Cambria Math" w:hAnsi="Cambria Math" w:cs="Minion Pro"/>
                <w:sz w:val="22"/>
              </w:rPr>
              <m:t>mis</m:t>
            </m:r>
          </m:sup>
        </m:sSubSup>
        <m:r>
          <w:rPr>
            <w:rFonts w:ascii="Cambria Math" w:hAnsi="Cambria Math" w:cs="Minion Pro"/>
            <w:sz w:val="22"/>
          </w:rPr>
          <m:t>)δ+</m:t>
        </m:r>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r>
              <m:rPr>
                <m:sty m:val="p"/>
              </m:rPr>
              <w:rPr>
                <w:rFonts w:ascii="Cambria Math" w:hAnsi="Cambria Math" w:cs="Minion Pro"/>
                <w:sz w:val="22"/>
              </w:rPr>
              <m:t>ini</m:t>
            </m:r>
          </m:sub>
          <m:sup>
            <m:r>
              <m:rPr>
                <m:sty m:val="p"/>
              </m:rPr>
              <w:rPr>
                <w:rFonts w:ascii="Cambria Math" w:hAnsi="Cambria Math" w:cs="Minion Pro"/>
                <w:sz w:val="22"/>
              </w:rPr>
              <m:t>mis</m:t>
            </m:r>
          </m:sup>
        </m:sSubSup>
      </m:oMath>
      <w:r w:rsidRPr="00463734">
        <w:rPr>
          <w:rFonts w:ascii="Minion Pro" w:hAnsi="Minion Pro" w:cs="Minion Pro"/>
          <w:sz w:val="22"/>
        </w:rPr>
        <w:tab/>
      </w:r>
      <w:r w:rsidRPr="00463734">
        <w:rPr>
          <w:rFonts w:ascii="Minion Pro" w:hAnsi="Minion Pro" w:cs="Minion Pro" w:hint="eastAsia"/>
          <w:sz w:val="22"/>
        </w:rPr>
        <w:t>(S55)</w:t>
      </w:r>
    </w:p>
    <w:p w14:paraId="078507EB" w14:textId="77777777" w:rsidR="00055865" w:rsidRPr="00463734" w:rsidRDefault="00000000">
      <w:pPr>
        <w:ind w:firstLine="420"/>
        <w:rPr>
          <w:rFonts w:ascii="Minion Pro" w:hAnsi="Minion Pro" w:cs="Minion Pro"/>
          <w:sz w:val="22"/>
          <w:szCs w:val="22"/>
        </w:rPr>
      </w:pPr>
      <w:r w:rsidRPr="00463734">
        <w:rPr>
          <w:rFonts w:ascii="Minion Pro" w:hAnsi="Minion Pro" w:cs="Minion Pro"/>
          <w:sz w:val="22"/>
          <w:szCs w:val="22"/>
        </w:rPr>
        <w:t xml:space="preserve">Based on the above transformation, Equation </w:t>
      </w:r>
      <w:r w:rsidRPr="00463734">
        <w:rPr>
          <w:rFonts w:ascii="Minion Pro" w:hAnsi="Minion Pro" w:cs="Minion Pro" w:hint="eastAsia"/>
          <w:sz w:val="22"/>
          <w:szCs w:val="22"/>
        </w:rPr>
        <w:t>S53</w:t>
      </w:r>
      <w:r w:rsidRPr="00463734">
        <w:rPr>
          <w:rFonts w:ascii="Minion Pro" w:hAnsi="Minion Pro" w:cs="Minion Pro"/>
          <w:sz w:val="22"/>
          <w:szCs w:val="22"/>
        </w:rPr>
        <w:t xml:space="preserve"> can be expressed as:</w:t>
      </w:r>
    </w:p>
    <w:p w14:paraId="158D8450"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m>
          <m:mPr>
            <m:plcHide m:val="1"/>
            <m:mcs>
              <m:mc>
                <m:mcPr>
                  <m:count m:val="1"/>
                  <m:mcJc m:val="center"/>
                </m:mcPr>
              </m:mc>
            </m:mcs>
            <m:ctrlPr>
              <w:rPr>
                <w:rFonts w:ascii="Cambria Math" w:hAnsi="Cambria Math" w:cs="Minion Pro"/>
                <w:sz w:val="22"/>
              </w:rPr>
            </m:ctrlPr>
          </m:mPr>
          <m:mr>
            <m:e>
              <m:r>
                <m:rPr>
                  <m:sty m:val="p"/>
                </m:rPr>
                <w:rPr>
                  <w:rFonts w:ascii="Cambria Math" w:hAnsi="Cambria Math" w:cs="Minion Pro"/>
                  <w:sz w:val="22"/>
                </w:rPr>
                <m:t>Minimize</m:t>
              </m:r>
              <m:sSub>
                <m:sSubPr>
                  <m:ctrlPr>
                    <w:rPr>
                      <w:rFonts w:ascii="Cambria Math" w:hAnsi="Cambria Math" w:cs="Minion Pro"/>
                      <w:sz w:val="22"/>
                    </w:rPr>
                  </m:ctrlPr>
                </m:sSubPr>
                <m:e>
                  <m:r>
                    <w:rPr>
                      <w:rFonts w:ascii="Cambria Math" w:hAnsi="Cambria Math" w:cs="Minion Pro"/>
                      <w:sz w:val="22"/>
                    </w:rPr>
                    <m:t>R</m:t>
                  </m:r>
                </m:e>
                <m:sub>
                  <m:r>
                    <m:rPr>
                      <m:sty m:val="p"/>
                    </m:rPr>
                    <w:rPr>
                      <w:rFonts w:ascii="Cambria Math" w:hAnsi="Cambria Math" w:cs="Minion Pro"/>
                      <w:sz w:val="22"/>
                    </w:rPr>
                    <m:t>sys</m:t>
                  </m:r>
                </m:sub>
              </m:sSub>
            </m:e>
          </m:mr>
          <m:mr>
            <m:e>
              <m:r>
                <m:rPr>
                  <m:sty m:val="p"/>
                </m:rPr>
                <w:rPr>
                  <w:rFonts w:ascii="Cambria Math" w:hAnsi="Cambria Math" w:cs="Minion Pro"/>
                  <w:sz w:val="22"/>
                </w:rPr>
                <m:t>s.t.</m:t>
              </m:r>
              <m:nary>
                <m:naryPr>
                  <m:chr m:val="∑"/>
                  <m:limLoc m:val="undOvr"/>
                  <m:supHide m:val="1"/>
                  <m:ctrlPr>
                    <w:rPr>
                      <w:rFonts w:ascii="Cambria Math" w:hAnsi="Cambria Math" w:cs="Minion Pro"/>
                      <w:sz w:val="22"/>
                    </w:rPr>
                  </m:ctrlPr>
                </m:naryPr>
                <m:sub>
                  <m:r>
                    <w:rPr>
                      <w:rFonts w:ascii="Cambria Math" w:hAnsi="Cambria Math" w:cs="Minion Pro"/>
                      <w:sz w:val="22"/>
                    </w:rPr>
                    <m:t>d∈D</m:t>
                  </m:r>
                </m:sub>
                <m:sup/>
                <m:e>
                  <m:sSub>
                    <m:sSubPr>
                      <m:ctrlPr>
                        <w:rPr>
                          <w:rFonts w:ascii="Cambria Math" w:hAnsi="Cambria Math" w:cs="Minion Pro"/>
                          <w:sz w:val="22"/>
                        </w:rPr>
                      </m:ctrlPr>
                    </m:sSubPr>
                    <m:e>
                      <m:r>
                        <w:rPr>
                          <w:rFonts w:ascii="Cambria Math" w:hAnsi="Cambria Math" w:cs="Minion Pro"/>
                          <w:sz w:val="22"/>
                        </w:rPr>
                        <m:t>δ</m:t>
                      </m:r>
                    </m:e>
                    <m:sub>
                      <m:r>
                        <w:rPr>
                          <w:rFonts w:ascii="Cambria Math" w:hAnsi="Cambria Math" w:cs="Minion Pro"/>
                          <w:sz w:val="22"/>
                        </w:rPr>
                        <m:t>d</m:t>
                      </m:r>
                    </m:sub>
                  </m:sSub>
                </m:e>
              </m:nary>
              <m:r>
                <w:rPr>
                  <w:rFonts w:ascii="Cambria Math" w:hAnsi="Cambria Math" w:cs="Minion Pro"/>
                  <w:sz w:val="22"/>
                </w:rPr>
                <m:t>≤</m:t>
              </m:r>
              <m:acc>
                <m:accPr>
                  <m:chr m:val="̄"/>
                  <m:ctrlPr>
                    <w:rPr>
                      <w:rFonts w:ascii="Cambria Math" w:hAnsi="Cambria Math" w:cs="Minion Pro"/>
                      <w:sz w:val="22"/>
                    </w:rPr>
                  </m:ctrlPr>
                </m:accPr>
                <m:e>
                  <m:r>
                    <w:rPr>
                      <w:rFonts w:ascii="Cambria Math" w:hAnsi="Cambria Math" w:cs="Minion Pro"/>
                      <w:sz w:val="22"/>
                    </w:rPr>
                    <m:t>δ</m:t>
                  </m:r>
                </m:e>
              </m:acc>
            </m:e>
          </m:mr>
          <m:mr>
            <m:e>
              <m:r>
                <w:rPr>
                  <w:rFonts w:ascii="Cambria Math" w:hAnsi="Cambria Math" w:cs="Minion Pro"/>
                  <w:sz w:val="22"/>
                </w:rPr>
                <m:t>(4-1)-(4-22),(4-28)-(4-29)</m:t>
              </m:r>
            </m:e>
          </m:mr>
        </m:m>
      </m:oMath>
      <w:r w:rsidRPr="00463734">
        <w:rPr>
          <w:rFonts w:ascii="Minion Pro" w:hAnsi="Minion Pro" w:cs="Minion Pro"/>
          <w:sz w:val="22"/>
        </w:rPr>
        <w:tab/>
      </w:r>
      <w:r w:rsidRPr="00463734">
        <w:rPr>
          <w:rFonts w:ascii="Minion Pro" w:hAnsi="Minion Pro" w:cs="Minion Pro" w:hint="eastAsia"/>
          <w:sz w:val="22"/>
        </w:rPr>
        <w:t>(S56)</w:t>
      </w:r>
    </w:p>
    <w:p w14:paraId="71199E8B"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bCs/>
          <w:snapToGrid w:val="0"/>
          <w:kern w:val="0"/>
          <w:sz w:val="22"/>
          <w:szCs w:val="22"/>
          <w:lang w:bidi="en-US"/>
        </w:rPr>
        <w:t xml:space="preserve">In Equation </w:t>
      </w:r>
      <w:r w:rsidRPr="00463734">
        <w:rPr>
          <w:rFonts w:ascii="Minion Pro" w:hAnsi="Minion Pro" w:cs="Minion Pro" w:hint="eastAsia"/>
          <w:bCs/>
          <w:snapToGrid w:val="0"/>
          <w:kern w:val="0"/>
          <w:sz w:val="22"/>
          <w:szCs w:val="22"/>
          <w:lang w:bidi="en-US"/>
        </w:rPr>
        <w:t>S56</w:t>
      </w:r>
      <w:r w:rsidRPr="00463734">
        <w:rPr>
          <w:rFonts w:ascii="Minion Pro" w:hAnsi="Minion Pro" w:cs="Minion Pro"/>
          <w:bCs/>
          <w:snapToGrid w:val="0"/>
          <w:kern w:val="0"/>
          <w:sz w:val="22"/>
          <w:szCs w:val="22"/>
          <w:lang w:bidi="en-US"/>
        </w:rPr>
        <w:t xml:space="preserve">, by substituting Equations </w:t>
      </w:r>
      <w:r w:rsidRPr="00463734">
        <w:rPr>
          <w:rFonts w:ascii="Minion Pro" w:hAnsi="Minion Pro" w:cs="Minion Pro" w:hint="eastAsia"/>
          <w:bCs/>
          <w:snapToGrid w:val="0"/>
          <w:kern w:val="0"/>
          <w:sz w:val="22"/>
          <w:szCs w:val="22"/>
          <w:lang w:bidi="en-US"/>
        </w:rPr>
        <w:t>S54</w:t>
      </w:r>
      <w:r w:rsidRPr="00463734">
        <w:rPr>
          <w:rFonts w:ascii="Minion Pro" w:hAnsi="Minion Pro" w:cs="Minion Pro"/>
          <w:bCs/>
          <w:snapToGrid w:val="0"/>
          <w:kern w:val="0"/>
          <w:sz w:val="22"/>
          <w:szCs w:val="22"/>
          <w:lang w:bidi="en-US"/>
        </w:rPr>
        <w:t xml:space="preserve"> and </w:t>
      </w:r>
      <w:r w:rsidRPr="00463734">
        <w:rPr>
          <w:rFonts w:ascii="Minion Pro" w:hAnsi="Minion Pro" w:cs="Minion Pro" w:hint="eastAsia"/>
          <w:bCs/>
          <w:snapToGrid w:val="0"/>
          <w:kern w:val="0"/>
          <w:sz w:val="22"/>
          <w:szCs w:val="22"/>
          <w:lang w:bidi="en-US"/>
        </w:rPr>
        <w:t>S55</w:t>
      </w:r>
      <w:r w:rsidRPr="00463734">
        <w:rPr>
          <w:rFonts w:ascii="Minion Pro" w:hAnsi="Minion Pro" w:cs="Minion Pro"/>
          <w:bCs/>
          <w:snapToGrid w:val="0"/>
          <w:kern w:val="0"/>
          <w:sz w:val="22"/>
          <w:szCs w:val="22"/>
          <w:lang w:bidi="en-US"/>
        </w:rPr>
        <w:t xml:space="preserve"> into the constraint conditions </w:t>
      </w:r>
      <w:r w:rsidRPr="00463734">
        <w:rPr>
          <w:rFonts w:ascii="Minion Pro" w:hAnsi="Minion Pro" w:cs="Minion Pro" w:hint="eastAsia"/>
          <w:bCs/>
          <w:snapToGrid w:val="0"/>
          <w:kern w:val="0"/>
          <w:sz w:val="22"/>
          <w:szCs w:val="22"/>
          <w:lang w:bidi="en-US"/>
        </w:rPr>
        <w:t>S33</w:t>
      </w:r>
      <w:r w:rsidRPr="00463734">
        <w:rPr>
          <w:rFonts w:ascii="Minion Pro" w:hAnsi="Minion Pro" w:cs="Minion Pro"/>
          <w:bCs/>
          <w:snapToGrid w:val="0"/>
          <w:kern w:val="0"/>
          <w:sz w:val="22"/>
          <w:szCs w:val="22"/>
          <w:lang w:bidi="en-US"/>
        </w:rPr>
        <w:t xml:space="preserve">, </w:t>
      </w:r>
      <w:r w:rsidRPr="00463734">
        <w:rPr>
          <w:rFonts w:ascii="Minion Pro" w:hAnsi="Minion Pro" w:cs="Minion Pro" w:hint="eastAsia"/>
          <w:bCs/>
          <w:snapToGrid w:val="0"/>
          <w:kern w:val="0"/>
          <w:sz w:val="22"/>
          <w:szCs w:val="22"/>
          <w:lang w:bidi="en-US"/>
        </w:rPr>
        <w:t>S35</w:t>
      </w:r>
      <w:r w:rsidRPr="00463734">
        <w:rPr>
          <w:rFonts w:ascii="Minion Pro" w:hAnsi="Minion Pro" w:cs="Minion Pro"/>
          <w:bCs/>
          <w:snapToGrid w:val="0"/>
          <w:kern w:val="0"/>
          <w:sz w:val="22"/>
          <w:szCs w:val="22"/>
          <w:lang w:bidi="en-US"/>
        </w:rPr>
        <w:t xml:space="preserve">, </w:t>
      </w:r>
      <w:r w:rsidRPr="00463734">
        <w:rPr>
          <w:rFonts w:ascii="Minion Pro" w:hAnsi="Minion Pro" w:cs="Minion Pro" w:hint="eastAsia"/>
          <w:bCs/>
          <w:snapToGrid w:val="0"/>
          <w:kern w:val="0"/>
          <w:sz w:val="22"/>
          <w:szCs w:val="22"/>
          <w:lang w:bidi="en-US"/>
        </w:rPr>
        <w:t>S38</w:t>
      </w:r>
      <w:r w:rsidRPr="00463734">
        <w:rPr>
          <w:rFonts w:ascii="Minion Pro" w:hAnsi="Minion Pro" w:cs="Minion Pro"/>
          <w:bCs/>
          <w:snapToGrid w:val="0"/>
          <w:kern w:val="0"/>
          <w:sz w:val="22"/>
          <w:szCs w:val="22"/>
          <w:lang w:bidi="en-US"/>
        </w:rPr>
        <w:t xml:space="preserve">, </w:t>
      </w:r>
      <w:r w:rsidRPr="00463734">
        <w:rPr>
          <w:rFonts w:ascii="Minion Pro" w:hAnsi="Minion Pro" w:cs="Minion Pro" w:hint="eastAsia"/>
          <w:bCs/>
          <w:snapToGrid w:val="0"/>
          <w:kern w:val="0"/>
          <w:sz w:val="22"/>
          <w:szCs w:val="22"/>
          <w:lang w:bidi="en-US"/>
        </w:rPr>
        <w:t>S43</w:t>
      </w:r>
      <w:r w:rsidRPr="00463734">
        <w:rPr>
          <w:rFonts w:ascii="Minion Pro" w:hAnsi="Minion Pro" w:cs="Minion Pro"/>
          <w:bCs/>
          <w:snapToGrid w:val="0"/>
          <w:kern w:val="0"/>
          <w:sz w:val="22"/>
          <w:szCs w:val="22"/>
          <w:lang w:bidi="en-US"/>
        </w:rPr>
        <w:t xml:space="preserve">, </w:t>
      </w:r>
      <w:r w:rsidRPr="00463734">
        <w:rPr>
          <w:rFonts w:ascii="Minion Pro" w:hAnsi="Minion Pro" w:cs="Minion Pro" w:hint="eastAsia"/>
          <w:bCs/>
          <w:snapToGrid w:val="0"/>
          <w:kern w:val="0"/>
          <w:sz w:val="22"/>
          <w:szCs w:val="22"/>
          <w:lang w:bidi="en-US"/>
        </w:rPr>
        <w:t>S44</w:t>
      </w:r>
      <w:r w:rsidRPr="00463734">
        <w:rPr>
          <w:rFonts w:ascii="Minion Pro" w:hAnsi="Minion Pro" w:cs="Minion Pro"/>
          <w:bCs/>
          <w:snapToGrid w:val="0"/>
          <w:kern w:val="0"/>
          <w:sz w:val="22"/>
          <w:szCs w:val="22"/>
          <w:lang w:bidi="en-US"/>
        </w:rPr>
        <w:t xml:space="preserve"> and </w:t>
      </w:r>
      <w:r w:rsidRPr="00463734">
        <w:rPr>
          <w:rFonts w:ascii="Minion Pro" w:hAnsi="Minion Pro" w:cs="Minion Pro" w:hint="eastAsia"/>
          <w:sz w:val="22"/>
          <w:szCs w:val="22"/>
        </w:rPr>
        <w:t>S47</w:t>
      </w:r>
      <w:r w:rsidRPr="00463734">
        <w:rPr>
          <w:rFonts w:ascii="Minion Pro" w:hAnsi="Minion Pro" w:cs="Minion Pro"/>
          <w:sz w:val="22"/>
          <w:szCs w:val="22"/>
        </w:rPr>
        <w:t xml:space="preserve">, the variables in the system risk expression are transformed from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S,ini</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S,upd</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to </w:t>
      </w:r>
      <m:oMath>
        <m:r>
          <m:rPr>
            <m:sty m:val="p"/>
          </m:rPr>
          <w:rPr>
            <w:rFonts w:ascii="Cambria Math" w:hAnsi="Cambria Math" w:cs="Minion Pro"/>
            <w:sz w:val="22"/>
            <w:szCs w:val="22"/>
          </w:rPr>
          <m:t>δ</m:t>
        </m:r>
      </m:oMath>
      <w:r w:rsidRPr="00463734">
        <w:rPr>
          <w:rFonts w:ascii="Minion Pro" w:hAnsi="Minion Pro" w:cs="Minion Pro"/>
          <w:sz w:val="22"/>
          <w:szCs w:val="22"/>
        </w:rPr>
        <w:t>.</w:t>
      </w:r>
    </w:p>
    <w:p w14:paraId="7EE41E26"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773B79AE" wp14:editId="3FB7FFDF">
            <wp:extent cx="3959860" cy="1082675"/>
            <wp:effectExtent l="0" t="0" r="2540" b="9525"/>
            <wp:docPr id="19"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4"/>
                    <pic:cNvPicPr>
                      <a:picLocks noChangeAspect="1"/>
                    </pic:cNvPicPr>
                  </pic:nvPicPr>
                  <pic:blipFill>
                    <a:blip r:embed="rId64"/>
                    <a:stretch>
                      <a:fillRect/>
                    </a:stretch>
                  </pic:blipFill>
                  <pic:spPr>
                    <a:xfrm>
                      <a:off x="0" y="0"/>
                      <a:ext cx="3959860" cy="1082675"/>
                    </a:xfrm>
                    <a:prstGeom prst="rect">
                      <a:avLst/>
                    </a:prstGeom>
                    <a:noFill/>
                    <a:ln>
                      <a:noFill/>
                    </a:ln>
                  </pic:spPr>
                </pic:pic>
              </a:graphicData>
            </a:graphic>
          </wp:inline>
        </w:drawing>
      </w:r>
    </w:p>
    <w:p w14:paraId="10658820"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Chromosome for the optimal allocation problem</w:t>
      </w:r>
    </w:p>
    <w:p w14:paraId="2223F1E4"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10DFEB00" wp14:editId="7947226F">
            <wp:extent cx="2561590" cy="3599815"/>
            <wp:effectExtent l="0" t="0" r="3810" b="6985"/>
            <wp:docPr id="20" name="图片 36"/>
            <wp:cNvGraphicFramePr/>
            <a:graphic xmlns:a="http://schemas.openxmlformats.org/drawingml/2006/main">
              <a:graphicData uri="http://schemas.openxmlformats.org/drawingml/2006/picture">
                <pic:pic xmlns:pic="http://schemas.openxmlformats.org/drawingml/2006/picture">
                  <pic:nvPicPr>
                    <pic:cNvPr id="20" name="图片 36"/>
                    <pic:cNvPicPr/>
                  </pic:nvPicPr>
                  <pic:blipFill>
                    <a:blip r:embed="rId65"/>
                    <a:stretch>
                      <a:fillRect/>
                    </a:stretch>
                  </pic:blipFill>
                  <pic:spPr>
                    <a:xfrm>
                      <a:off x="0" y="0"/>
                      <a:ext cx="2561590" cy="3599815"/>
                    </a:xfrm>
                    <a:prstGeom prst="rect">
                      <a:avLst/>
                    </a:prstGeom>
                    <a:noFill/>
                    <a:ln>
                      <a:noFill/>
                    </a:ln>
                  </pic:spPr>
                </pic:pic>
              </a:graphicData>
            </a:graphic>
          </wp:inline>
        </w:drawing>
      </w:r>
    </w:p>
    <w:p w14:paraId="58038F7E" w14:textId="77777777" w:rsidR="00055865" w:rsidRPr="00463734" w:rsidRDefault="00000000">
      <w:pPr>
        <w:pStyle w:val="figurecaption"/>
        <w:numPr>
          <w:ilvl w:val="0"/>
          <w:numId w:val="5"/>
        </w:numPr>
        <w:jc w:val="center"/>
        <w:rPr>
          <w:rFonts w:cs="Minion Pro"/>
          <w:bCs/>
        </w:rPr>
      </w:pPr>
      <w:r w:rsidRPr="00463734">
        <w:rPr>
          <w:rFonts w:ascii="Minion Pro" w:hAnsi="Minion Pro" w:cs="Minion Pro"/>
        </w:rPr>
        <w:t>Flow chart of defense resource allocation under random attack</w:t>
      </w:r>
    </w:p>
    <w:p w14:paraId="1BA4C28C"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section addresses a nonlinear integer programming (NIP) problem, classified as NP-hard, which conventional solvers cannot handle directly. Heuristic algorithms like genetic algorithms (GA) are typically employed for such problems. GA transforms optimization into </w:t>
      </w:r>
      <w:r w:rsidRPr="00463734">
        <w:rPr>
          <w:rFonts w:eastAsia="宋体" w:cs="Minion Pro"/>
          <w:bCs/>
          <w:color w:val="auto"/>
          <w:lang w:eastAsia="zh-CN"/>
        </w:rPr>
        <w:lastRenderedPageBreak/>
        <w:t>biological evolution processes (selection, crossover, mutation), where superior genes propagate through adaptive evaluation. It solves complex combinatorial optimization without exhaustive search, leveraging parallel computing and global search capabilities. Here, GA solves the NIP problem (</w:t>
      </w:r>
      <w:r w:rsidRPr="00463734">
        <w:rPr>
          <w:rFonts w:eastAsia="宋体" w:cs="Minion Pro" w:hint="eastAsia"/>
          <w:bCs/>
          <w:color w:val="auto"/>
          <w:lang w:eastAsia="zh-CN"/>
        </w:rPr>
        <w:t>Figure S14</w:t>
      </w:r>
      <w:r w:rsidRPr="00463734">
        <w:rPr>
          <w:rFonts w:eastAsia="宋体" w:cs="Minion Pro"/>
          <w:bCs/>
          <w:color w:val="auto"/>
          <w:lang w:eastAsia="zh-CN"/>
        </w:rPr>
        <w:t>): chromosomes represent solutions, genes denote RTU configuration positions (1=configured, 0=unconfigured).</w:t>
      </w:r>
    </w:p>
    <w:p w14:paraId="1AC82C4F"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Figure S15</w:t>
      </w:r>
      <w:r w:rsidRPr="00463734">
        <w:rPr>
          <w:rFonts w:eastAsia="宋体" w:cs="Minion Pro"/>
          <w:bCs/>
          <w:color w:val="auto"/>
          <w:lang w:eastAsia="zh-CN"/>
        </w:rPr>
        <w:t xml:space="preserve"> illustrates the process of optimizing the allocation of defense resources.Firstly, the power system is divided based on the candidate RTU locations, forming different load point area sets based on the topological positions, and calculating the risks of load nodes under normal and fault conditions. Subsequently, a security defense resource optimization allocation model with risk as the objective function is established, and the genetic algorithm is used for the solution.</w:t>
      </w:r>
    </w:p>
    <w:p w14:paraId="0C589610" w14:textId="77777777" w:rsidR="00055865" w:rsidRPr="00463734" w:rsidRDefault="00000000">
      <w:pPr>
        <w:pStyle w:val="TSP21heading1"/>
        <w:tabs>
          <w:tab w:val="left" w:pos="0"/>
        </w:tabs>
        <w:jc w:val="both"/>
        <w:outlineLvl w:val="9"/>
        <w:rPr>
          <w:rFonts w:cs="Minion Pro"/>
          <w:i/>
          <w:iCs/>
          <w:color w:val="auto"/>
          <w:lang w:eastAsia="zh-CN"/>
        </w:rPr>
      </w:pPr>
      <w:r w:rsidRPr="00463734">
        <w:rPr>
          <w:rFonts w:eastAsiaTheme="minorEastAsia" w:cs="Minion Pro" w:hint="eastAsia"/>
          <w:i/>
          <w:iCs/>
          <w:color w:val="auto"/>
          <w:lang w:eastAsia="zh-CN"/>
        </w:rPr>
        <w:t xml:space="preserve">2.3 </w:t>
      </w:r>
      <w:r w:rsidRPr="00463734">
        <w:rPr>
          <w:rFonts w:cs="Minion Pro"/>
          <w:i/>
          <w:iCs/>
          <w:color w:val="auto"/>
          <w:lang w:eastAsia="zh-CN"/>
        </w:rPr>
        <w:t>Optimal Allocation of Security Defense Resources Based on Dynamic Offensive-Defense Game Theory</w:t>
      </w:r>
    </w:p>
    <w:p w14:paraId="3D81A29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the context of attack scenarios, the attacker not only has the ability to launch information attacks, but also is familiar with the topological structure of the distribution network, load information, and control strategies, which enables them to formulate attack strategies accordingly; the defender can take effective measures in advance to reduce the impact of the attack. Based on the risk expression in Section 4.2 and combined with the characteristics of actual network attack and defense games, this section constructs the expression of distribution network risks under information attacks. The Stackelberg game model is used to describe the interaction relationship between the attacker and the defender, and a two-layer mathematical programming model reflecting the dynamic attack and defense process is established. At the same time, the solution methods and processes are given.</w:t>
      </w:r>
    </w:p>
    <w:p w14:paraId="3147D007"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2.3.1 </w:t>
      </w:r>
      <w:r w:rsidRPr="00463734">
        <w:rPr>
          <w:rFonts w:cs="Minion Pro"/>
          <w:b w:val="0"/>
          <w:bCs/>
          <w:i/>
          <w:iCs/>
          <w:color w:val="auto"/>
          <w:lang w:eastAsia="zh-CN"/>
        </w:rPr>
        <w:t>Consider the Risk Expression of the Offensive-Defensive Game</w:t>
      </w:r>
    </w:p>
    <w:p w14:paraId="2B046D78"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In this scenario, the distribution network risks are similar to those described in Section 4.3. They can all be expressed as the cumulative sum of the risks of all load nodes. As mentioned in Section 4.2, the system risk is represented by the failure rates of RTU under information attacks, namely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mis</m:t>
            </m:r>
          </m:sup>
        </m:sSubSup>
      </m:oMath>
      <w:r w:rsidRPr="00463734">
        <w:rPr>
          <w:rFonts w:ascii="Minion Pro" w:hAnsi="Minion Pro" w:cs="Minion Pro"/>
          <w:sz w:val="22"/>
          <w:szCs w:val="22"/>
        </w:rPr>
        <w:t>. The failure probability of the RTU depends on the strategies of both the attacker and the defender.</w:t>
      </w:r>
    </w:p>
    <w:p w14:paraId="63E84EA9" w14:textId="77777777" w:rsidR="00055865" w:rsidRPr="00463734" w:rsidRDefault="00000000">
      <w:pPr>
        <w:spacing w:after="60" w:line="240" w:lineRule="atLeast"/>
        <w:ind w:firstLine="425"/>
        <w:rPr>
          <w:rFonts w:ascii="Minion Pro" w:hAnsi="Minion Pro" w:cs="Minion Pro"/>
          <w:bCs/>
          <w:snapToGrid w:val="0"/>
          <w:kern w:val="0"/>
          <w:sz w:val="22"/>
          <w:szCs w:val="22"/>
          <w:lang w:bidi="en-US"/>
        </w:rPr>
      </w:pPr>
      <w:r w:rsidRPr="00463734">
        <w:rPr>
          <w:rFonts w:ascii="Minion Pro" w:hAnsi="Minion Pro" w:cs="Minion Pro"/>
          <w:bCs/>
          <w:snapToGrid w:val="0"/>
          <w:kern w:val="0"/>
          <w:sz w:val="22"/>
          <w:szCs w:val="22"/>
          <w:lang w:bidi="en-US"/>
        </w:rPr>
        <w:t>Both the offensive and defensive sides have limited resources (including attack costs, terminal security configuration expenses, and operation and maintenance costs, etc.), and they allocate resources according to their respective purposes. The allocation of offensive and defensive resources will affect the vulnerability of components, that is, the failure probability: an increase in offensive resources will increase the failure probability, while an increase in defensive resources will reduce the failure probability. Therefore, the configuration of offensive and defensive resources on the RTU directly affects the risk level of the distribution network. Both sides achieve their respective attack/defense goals through dynamic decision-making in the game.</w:t>
      </w:r>
    </w:p>
    <w:p w14:paraId="621EA0D4"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The attack strategy set of the information attacker is C</w:t>
      </w:r>
      <w:r w:rsidRPr="00463734">
        <w:rPr>
          <w:rFonts w:ascii="Minion Pro" w:hAnsi="Minion Pro" w:cs="Minion Pro"/>
          <w:sz w:val="22"/>
          <w:szCs w:val="22"/>
          <w:vertAlign w:val="superscript"/>
        </w:rPr>
        <w:t>A</w:t>
      </w:r>
      <w:r w:rsidRPr="00463734">
        <w:rPr>
          <w:rFonts w:ascii="Minion Pro" w:hAnsi="Minion Pro" w:cs="Minion Pro"/>
          <w:sz w:val="22"/>
          <w:szCs w:val="22"/>
        </w:rPr>
        <w:t xml:space="preserve">, where element </w:t>
      </w:r>
      <m:oMath>
        <m:sSubSup>
          <m:sSubSupPr>
            <m:ctrlPr>
              <w:rPr>
                <w:rFonts w:ascii="Cambria Math" w:hAnsi="Cambria Math" w:cs="Minion Pro"/>
                <w:sz w:val="22"/>
                <w:szCs w:val="22"/>
              </w:rPr>
            </m:ctrlPr>
          </m:sSubSupPr>
          <m:e>
            <m:r>
              <m:rPr>
                <m:sty m:val="p"/>
              </m:rPr>
              <w:rPr>
                <w:rFonts w:ascii="Cambria Math" w:hAnsi="Cambria Math" w:cs="Minion Pro"/>
                <w:sz w:val="22"/>
                <w:szCs w:val="22"/>
              </w:rPr>
              <m:t>c</m:t>
            </m:r>
          </m:e>
          <m:sub>
            <m:r>
              <m:rPr>
                <m:sty m:val="p"/>
              </m:rPr>
              <w:rPr>
                <w:rFonts w:ascii="Cambria Math" w:hAnsi="Cambria Math" w:cs="Minion Pro"/>
                <w:sz w:val="22"/>
                <w:szCs w:val="22"/>
              </w:rPr>
              <m:t>i</m:t>
            </m:r>
          </m:sub>
          <m:sup>
            <m:r>
              <m:rPr>
                <m:sty m:val="p"/>
              </m:rPr>
              <w:rPr>
                <w:rFonts w:ascii="Cambria Math" w:hAnsi="Cambria Math" w:cs="Minion Pro"/>
                <w:sz w:val="22"/>
                <w:szCs w:val="22"/>
              </w:rPr>
              <m:t>A</m:t>
            </m:r>
          </m:sup>
        </m:sSubSup>
      </m:oMath>
      <w:r w:rsidRPr="00463734">
        <w:rPr>
          <w:rFonts w:ascii="Minion Pro" w:hAnsi="Minion Pro" w:cs="Minion Pro"/>
          <w:sz w:val="22"/>
          <w:szCs w:val="22"/>
        </w:rPr>
        <w:t xml:space="preserve"> ∈ C</w:t>
      </w:r>
      <w:r w:rsidRPr="00463734">
        <w:rPr>
          <w:rFonts w:ascii="Minion Pro" w:hAnsi="Minion Pro" w:cs="Minion Pro"/>
          <w:sz w:val="22"/>
          <w:szCs w:val="22"/>
          <w:vertAlign w:val="superscript"/>
        </w:rPr>
        <w:t>A</w:t>
      </w:r>
      <w:r w:rsidRPr="00463734">
        <w:rPr>
          <w:rFonts w:ascii="Minion Pro" w:hAnsi="Minion Pro" w:cs="Minion Pro"/>
          <w:sz w:val="22"/>
          <w:szCs w:val="22"/>
        </w:rPr>
        <w:t xml:space="preserve"> (i = 1, 2,..., n</w:t>
      </w:r>
      <w:r w:rsidRPr="00463734">
        <w:rPr>
          <w:rFonts w:ascii="Minion Pro" w:hAnsi="Minion Pro" w:cs="Minion Pro"/>
          <w:sz w:val="22"/>
          <w:szCs w:val="22"/>
          <w:vertAlign w:val="subscript"/>
        </w:rPr>
        <w:t>A</w:t>
      </w:r>
      <w:r w:rsidRPr="00463734">
        <w:rPr>
          <w:rFonts w:ascii="Minion Pro" w:hAnsi="Minion Pro" w:cs="Minion Pro"/>
          <w:sz w:val="22"/>
          <w:szCs w:val="22"/>
        </w:rPr>
        <w:t>; n</w:t>
      </w:r>
      <w:r w:rsidRPr="00463734">
        <w:rPr>
          <w:rFonts w:ascii="Minion Pro" w:hAnsi="Minion Pro" w:cs="Minion Pro"/>
          <w:sz w:val="22"/>
          <w:szCs w:val="22"/>
          <w:vertAlign w:val="subscript"/>
        </w:rPr>
        <w:t>A</w:t>
      </w:r>
      <w:r w:rsidRPr="00463734">
        <w:rPr>
          <w:rFonts w:ascii="Minion Pro" w:hAnsi="Minion Pro" w:cs="Minion Pro"/>
          <w:sz w:val="22"/>
          <w:szCs w:val="22"/>
        </w:rPr>
        <w:t xml:space="preserve"> represents the number of available resource allocation strategies for the attack) represents the allocation strategy of attack resources, which can be expressed as:</w:t>
      </w:r>
    </w:p>
    <w:p w14:paraId="4C0CD362"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c</m:t>
            </m:r>
          </m:e>
          <m:sub>
            <m:r>
              <w:rPr>
                <w:rFonts w:ascii="Cambria Math" w:hAnsi="Cambria Math" w:cs="Minion Pro"/>
                <w:sz w:val="22"/>
              </w:rPr>
              <m:t>i</m:t>
            </m:r>
          </m:sub>
          <m:sup>
            <m:r>
              <m:rPr>
                <m:sty m:val="p"/>
              </m:rPr>
              <w:rPr>
                <w:rFonts w:ascii="Cambria Math" w:hAnsi="Cambria Math" w:cs="Minion Pro"/>
                <w:sz w:val="22"/>
              </w:rPr>
              <m:t>A</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s</m:t>
            </m:r>
          </m:e>
          <m:sub>
            <m:r>
              <w:rPr>
                <w:rFonts w:ascii="Cambria Math" w:hAnsi="Cambria Math" w:cs="Minion Pro"/>
                <w:sz w:val="22"/>
              </w:rPr>
              <m:t>i,1</m:t>
            </m:r>
          </m:sub>
          <m:sup>
            <m:r>
              <m:rPr>
                <m:sty m:val="p"/>
              </m:rPr>
              <w:rPr>
                <w:rFonts w:ascii="Cambria Math" w:hAnsi="Cambria Math" w:cs="Minion Pro"/>
                <w:sz w:val="22"/>
              </w:rPr>
              <m:t>A</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s</m:t>
            </m:r>
          </m:e>
          <m:sub>
            <m:r>
              <w:rPr>
                <w:rFonts w:ascii="Cambria Math" w:hAnsi="Cambria Math" w:cs="Minion Pro"/>
                <w:sz w:val="22"/>
              </w:rPr>
              <m:t>i,2</m:t>
            </m:r>
          </m:sub>
          <m:sup>
            <m:r>
              <m:rPr>
                <m:sty m:val="p"/>
              </m:rPr>
              <w:rPr>
                <w:rFonts w:ascii="Cambria Math" w:hAnsi="Cambria Math" w:cs="Minion Pro"/>
                <w:sz w:val="22"/>
              </w:rPr>
              <m:t>A</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s</m:t>
            </m:r>
          </m:e>
          <m:sub>
            <m:r>
              <w:rPr>
                <w:rFonts w:ascii="Cambria Math" w:hAnsi="Cambria Math" w:cs="Minion Pro"/>
                <w:sz w:val="22"/>
              </w:rPr>
              <m:t>i,</m:t>
            </m:r>
            <m:sSub>
              <m:sSubPr>
                <m:ctrlPr>
                  <w:rPr>
                    <w:rFonts w:ascii="Cambria Math" w:hAnsi="Cambria Math" w:cs="Minion Pro"/>
                    <w:sz w:val="22"/>
                  </w:rPr>
                </m:ctrlPr>
              </m:sSubPr>
              <m:e>
                <m:r>
                  <w:rPr>
                    <w:rFonts w:ascii="Cambria Math" w:hAnsi="Cambria Math" w:cs="Minion Pro"/>
                    <w:sz w:val="22"/>
                  </w:rPr>
                  <m:t>n</m:t>
                </m:r>
              </m:e>
              <m:sub>
                <m:r>
                  <w:rPr>
                    <w:rFonts w:ascii="Cambria Math" w:hAnsi="Cambria Math" w:cs="Minion Pro"/>
                    <w:sz w:val="22"/>
                  </w:rPr>
                  <m:t>s</m:t>
                </m:r>
              </m:sub>
            </m:sSub>
          </m:sub>
          <m:sup>
            <m:r>
              <m:rPr>
                <m:sty m:val="p"/>
              </m:rPr>
              <w:rPr>
                <w:rFonts w:ascii="Cambria Math" w:hAnsi="Cambria Math" w:cs="Minion Pro"/>
                <w:sz w:val="22"/>
              </w:rPr>
              <m:t>A</m:t>
            </m:r>
          </m:sup>
        </m:sSubSup>
        <m:r>
          <w:rPr>
            <w:rFonts w:ascii="Cambria Math" w:hAnsi="Cambria Math" w:cs="Minion Pro"/>
            <w:sz w:val="22"/>
          </w:rPr>
          <m:t>}</m:t>
        </m:r>
      </m:oMath>
      <w:r w:rsidRPr="00463734">
        <w:rPr>
          <w:rFonts w:ascii="Minion Pro" w:hAnsi="Minion Pro" w:cs="Minion Pro"/>
          <w:sz w:val="22"/>
        </w:rPr>
        <w:tab/>
      </w:r>
      <w:r w:rsidRPr="00463734">
        <w:rPr>
          <w:rFonts w:ascii="Minion Pro" w:hAnsi="Minion Pro" w:cs="Minion Pro" w:hint="eastAsia"/>
          <w:sz w:val="22"/>
        </w:rPr>
        <w:t>(S57)</w:t>
      </w:r>
    </w:p>
    <w:p w14:paraId="231645CC"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lastRenderedPageBreak/>
        <w:tab/>
      </w:r>
      <m:oMath>
        <m:nary>
          <m:naryPr>
            <m:chr m:val="∑"/>
            <m:limLoc m:val="undOvr"/>
            <m:ctrlPr>
              <w:rPr>
                <w:rFonts w:ascii="Cambria Math" w:hAnsi="Cambria Math" w:cs="Minion Pro"/>
                <w:sz w:val="22"/>
              </w:rPr>
            </m:ctrlPr>
          </m:naryPr>
          <m:sub>
            <m:r>
              <w:rPr>
                <w:rFonts w:ascii="Cambria Math" w:hAnsi="Cambria Math" w:cs="Minion Pro"/>
                <w:sz w:val="22"/>
              </w:rPr>
              <m:t>z=1</m:t>
            </m:r>
          </m:sub>
          <m:sup>
            <m:sSub>
              <m:sSubPr>
                <m:ctrlPr>
                  <w:rPr>
                    <w:rFonts w:ascii="Cambria Math" w:hAnsi="Cambria Math" w:cs="Minion Pro"/>
                    <w:sz w:val="22"/>
                  </w:rPr>
                </m:ctrlPr>
              </m:sSubPr>
              <m:e>
                <m:r>
                  <w:rPr>
                    <w:rFonts w:ascii="Cambria Math" w:hAnsi="Cambria Math" w:cs="Minion Pro"/>
                    <w:sz w:val="22"/>
                  </w:rPr>
                  <m:t>n</m:t>
                </m:r>
              </m:e>
              <m:sub>
                <m:r>
                  <w:rPr>
                    <w:rFonts w:ascii="Cambria Math" w:hAnsi="Cambria Math" w:cs="Minion Pro"/>
                    <w:sz w:val="22"/>
                  </w:rPr>
                  <m:t>s</m:t>
                </m:r>
              </m:sub>
            </m:sSub>
          </m:sup>
          <m:e>
            <m:sSubSup>
              <m:sSubSupPr>
                <m:ctrlPr>
                  <w:rPr>
                    <w:rFonts w:ascii="Cambria Math" w:hAnsi="Cambria Math" w:cs="Minion Pro"/>
                    <w:sz w:val="22"/>
                  </w:rPr>
                </m:ctrlPr>
              </m:sSubSupPr>
              <m:e>
                <m:r>
                  <w:rPr>
                    <w:rFonts w:ascii="Cambria Math" w:hAnsi="Cambria Math" w:cs="Minion Pro"/>
                    <w:sz w:val="22"/>
                  </w:rPr>
                  <m:t>s</m:t>
                </m:r>
              </m:e>
              <m:sub>
                <m:r>
                  <w:rPr>
                    <w:rFonts w:ascii="Cambria Math" w:hAnsi="Cambria Math" w:cs="Minion Pro"/>
                    <w:sz w:val="22"/>
                  </w:rPr>
                  <m:t>i,z</m:t>
                </m:r>
              </m:sub>
              <m:sup>
                <m:r>
                  <m:rPr>
                    <m:sty m:val="p"/>
                  </m:rPr>
                  <w:rPr>
                    <w:rFonts w:ascii="Cambria Math" w:hAnsi="Cambria Math" w:cs="Minion Pro"/>
                    <w:sz w:val="22"/>
                  </w:rPr>
                  <m:t>A</m:t>
                </m:r>
              </m:sup>
            </m:sSubSup>
          </m:e>
        </m:nary>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S</m:t>
            </m:r>
          </m:e>
          <m:sup>
            <m:r>
              <m:rPr>
                <m:sty m:val="p"/>
              </m:rPr>
              <w:rPr>
                <w:rFonts w:ascii="Cambria Math" w:hAnsi="Cambria Math" w:cs="Minion Pro"/>
                <w:sz w:val="22"/>
              </w:rPr>
              <m:t>A</m:t>
            </m:r>
          </m:sup>
        </m:sSup>
      </m:oMath>
      <w:r w:rsidRPr="00463734">
        <w:rPr>
          <w:rFonts w:ascii="Minion Pro" w:hAnsi="Minion Pro" w:cs="Minion Pro"/>
          <w:sz w:val="22"/>
        </w:rPr>
        <w:tab/>
      </w:r>
      <w:r w:rsidRPr="00463734">
        <w:rPr>
          <w:rFonts w:ascii="Minion Pro" w:hAnsi="Minion Pro" w:cs="Minion Pro" w:hint="eastAsia"/>
          <w:sz w:val="22"/>
        </w:rPr>
        <w:t>(S58)</w:t>
      </w:r>
    </w:p>
    <w:p w14:paraId="28806BDE" w14:textId="77777777"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In the formula: n</w:t>
      </w:r>
      <w:r w:rsidRPr="00463734">
        <w:rPr>
          <w:rFonts w:ascii="Minion Pro" w:hAnsi="Minion Pro" w:cs="Minion Pro"/>
          <w:sz w:val="22"/>
          <w:szCs w:val="22"/>
          <w:vertAlign w:val="subscript"/>
        </w:rPr>
        <w:t>s</w:t>
      </w:r>
      <w:r w:rsidRPr="00463734">
        <w:rPr>
          <w:rFonts w:ascii="Minion Pro" w:hAnsi="Minion Pro" w:cs="Minion Pro"/>
          <w:sz w:val="22"/>
          <w:szCs w:val="22"/>
        </w:rPr>
        <w:t xml:space="preserve"> represents the number of terminal devices under threat; S</w:t>
      </w:r>
      <w:r w:rsidRPr="00463734">
        <w:rPr>
          <w:rFonts w:ascii="Minion Pro" w:hAnsi="Minion Pro" w:cs="Minion Pro"/>
          <w:sz w:val="22"/>
          <w:szCs w:val="22"/>
          <w:vertAlign w:val="superscript"/>
        </w:rPr>
        <w:t>A</w:t>
      </w:r>
      <w:r w:rsidRPr="00463734">
        <w:rPr>
          <w:rFonts w:ascii="Minion Pro" w:hAnsi="Minion Pro" w:cs="Minion Pro"/>
          <w:sz w:val="22"/>
          <w:szCs w:val="22"/>
        </w:rPr>
        <w:t xml:space="preserve"> is the total amount of attack resources owned by the attacker; </w:t>
      </w:r>
      <m:oMath>
        <m:sSubSup>
          <m:sSubSupPr>
            <m:ctrlPr>
              <w:rPr>
                <w:rFonts w:ascii="Cambria Math" w:hAnsi="Cambria Math" w:cs="Minion Pro"/>
                <w:sz w:val="22"/>
                <w:szCs w:val="22"/>
              </w:rPr>
            </m:ctrlPr>
          </m:sSubSupPr>
          <m:e>
            <m:r>
              <m:rPr>
                <m:sty m:val="p"/>
              </m:rPr>
              <w:rPr>
                <w:rFonts w:ascii="Cambria Math" w:hAnsi="Cambria Math" w:cs="Minion Pro"/>
                <w:sz w:val="22"/>
                <w:szCs w:val="22"/>
              </w:rPr>
              <m:t>s</m:t>
            </m:r>
          </m:e>
          <m:sub>
            <m:r>
              <m:rPr>
                <m:sty m:val="p"/>
              </m:rPr>
              <w:rPr>
                <w:rFonts w:ascii="Cambria Math" w:hAnsi="Cambria Math" w:cs="Minion Pro"/>
                <w:sz w:val="22"/>
                <w:szCs w:val="22"/>
              </w:rPr>
              <m:t>i,z</m:t>
            </m:r>
          </m:sub>
          <m:sup>
            <m:r>
              <m:rPr>
                <m:sty m:val="p"/>
              </m:rPr>
              <w:rPr>
                <w:rFonts w:ascii="Cambria Math" w:hAnsi="Cambria Math" w:cs="Minion Pro"/>
                <w:sz w:val="22"/>
                <w:szCs w:val="22"/>
              </w:rPr>
              <m:t>A</m:t>
            </m:r>
          </m:sup>
        </m:sSubSup>
      </m:oMath>
      <w:r w:rsidRPr="00463734">
        <w:rPr>
          <w:rFonts w:ascii="Minion Pro" w:hAnsi="Minion Pro" w:cs="Minion Pro"/>
          <w:sz w:val="22"/>
          <w:szCs w:val="22"/>
        </w:rPr>
        <w:t xml:space="preserve"> represents the attack resources allocated by the attacker on the z-th RTU according to the attack resource allocation strategy</w:t>
      </w:r>
      <m:oMath>
        <m:sSubSup>
          <m:sSubSupPr>
            <m:ctrlPr>
              <w:rPr>
                <w:rFonts w:ascii="Cambria Math" w:hAnsi="Cambria Math" w:cs="Minion Pro"/>
                <w:sz w:val="22"/>
                <w:szCs w:val="22"/>
              </w:rPr>
            </m:ctrlPr>
          </m:sSubSupPr>
          <m:e>
            <m:r>
              <m:rPr>
                <m:sty m:val="p"/>
              </m:rPr>
              <w:rPr>
                <w:rFonts w:ascii="Cambria Math" w:hAnsi="Cambria Math" w:cs="Minion Pro"/>
                <w:sz w:val="22"/>
                <w:szCs w:val="22"/>
              </w:rPr>
              <m:t xml:space="preserve"> c</m:t>
            </m:r>
          </m:e>
          <m:sub>
            <m:r>
              <m:rPr>
                <m:sty m:val="p"/>
              </m:rPr>
              <w:rPr>
                <w:rFonts w:ascii="Cambria Math" w:hAnsi="Cambria Math" w:cs="Minion Pro"/>
                <w:sz w:val="22"/>
                <w:szCs w:val="22"/>
              </w:rPr>
              <m:t>i</m:t>
            </m:r>
          </m:sub>
          <m:sup>
            <m:r>
              <m:rPr>
                <m:sty m:val="p"/>
              </m:rPr>
              <w:rPr>
                <w:rFonts w:ascii="Cambria Math" w:hAnsi="Cambria Math" w:cs="Minion Pro"/>
                <w:sz w:val="22"/>
                <w:szCs w:val="22"/>
              </w:rPr>
              <m:t>A</m:t>
            </m:r>
          </m:sup>
        </m:sSubSup>
      </m:oMath>
      <w:r w:rsidRPr="00463734">
        <w:rPr>
          <w:rFonts w:ascii="Minion Pro" w:hAnsi="Minion Pro" w:cs="Minion Pro"/>
          <w:sz w:val="22"/>
          <w:szCs w:val="22"/>
        </w:rPr>
        <w:t xml:space="preserve"> , where 0 ≤ </w:t>
      </w:r>
      <m:oMath>
        <m:sSubSup>
          <m:sSubSupPr>
            <m:ctrlPr>
              <w:rPr>
                <w:rFonts w:ascii="Cambria Math" w:hAnsi="Cambria Math" w:cs="Minion Pro"/>
                <w:sz w:val="22"/>
                <w:szCs w:val="22"/>
              </w:rPr>
            </m:ctrlPr>
          </m:sSubSupPr>
          <m:e>
            <m:r>
              <m:rPr>
                <m:sty m:val="p"/>
              </m:rPr>
              <w:rPr>
                <w:rFonts w:ascii="Cambria Math" w:hAnsi="Cambria Math" w:cs="Minion Pro"/>
                <w:sz w:val="22"/>
                <w:szCs w:val="22"/>
              </w:rPr>
              <m:t>s</m:t>
            </m:r>
          </m:e>
          <m:sub>
            <m:r>
              <m:rPr>
                <m:sty m:val="p"/>
              </m:rPr>
              <w:rPr>
                <w:rFonts w:ascii="Cambria Math" w:hAnsi="Cambria Math" w:cs="Minion Pro"/>
                <w:sz w:val="22"/>
                <w:szCs w:val="22"/>
              </w:rPr>
              <m:t>i,z</m:t>
            </m:r>
          </m:sub>
          <m:sup>
            <m:r>
              <m:rPr>
                <m:sty m:val="p"/>
              </m:rPr>
              <w:rPr>
                <w:rFonts w:ascii="Cambria Math" w:hAnsi="Cambria Math" w:cs="Minion Pro"/>
                <w:sz w:val="22"/>
                <w:szCs w:val="22"/>
              </w:rPr>
              <m:t>A</m:t>
            </m:r>
          </m:sup>
        </m:sSubSup>
      </m:oMath>
      <w:r w:rsidRPr="00463734">
        <w:rPr>
          <w:rFonts w:ascii="Minion Pro" w:hAnsi="Minion Pro" w:cs="Minion Pro"/>
          <w:sz w:val="22"/>
          <w:szCs w:val="22"/>
        </w:rPr>
        <w:t xml:space="preserve"> ≤ S</w:t>
      </w:r>
      <w:r w:rsidRPr="00463734">
        <w:rPr>
          <w:rFonts w:ascii="Minion Pro" w:hAnsi="Minion Pro" w:cs="Minion Pro"/>
          <w:sz w:val="22"/>
          <w:szCs w:val="22"/>
          <w:vertAlign w:val="superscript"/>
        </w:rPr>
        <w:t>A</w:t>
      </w:r>
      <w:r w:rsidRPr="00463734">
        <w:rPr>
          <w:rFonts w:ascii="Minion Pro" w:hAnsi="Minion Pro" w:cs="Minion Pro"/>
          <w:sz w:val="22"/>
          <w:szCs w:val="22"/>
        </w:rPr>
        <w:t xml:space="preserve">. Considering the flexibility of information attacks, </w:t>
      </w:r>
      <m:oMath>
        <m:sSubSup>
          <m:sSubSupPr>
            <m:ctrlPr>
              <w:rPr>
                <w:rFonts w:ascii="Cambria Math" w:hAnsi="Cambria Math" w:cs="Minion Pro"/>
                <w:sz w:val="22"/>
                <w:szCs w:val="22"/>
              </w:rPr>
            </m:ctrlPr>
          </m:sSubSupPr>
          <m:e>
            <m:r>
              <m:rPr>
                <m:sty m:val="p"/>
              </m:rPr>
              <w:rPr>
                <w:rFonts w:ascii="Cambria Math" w:hAnsi="Cambria Math" w:cs="Minion Pro"/>
                <w:sz w:val="22"/>
                <w:szCs w:val="22"/>
              </w:rPr>
              <m:t>s</m:t>
            </m:r>
          </m:e>
          <m:sub>
            <m:r>
              <m:rPr>
                <m:sty m:val="p"/>
              </m:rPr>
              <w:rPr>
                <w:rFonts w:ascii="Cambria Math" w:hAnsi="Cambria Math" w:cs="Minion Pro"/>
                <w:sz w:val="22"/>
                <w:szCs w:val="22"/>
              </w:rPr>
              <m:t>i,z</m:t>
            </m:r>
          </m:sub>
          <m:sup>
            <m:r>
              <m:rPr>
                <m:sty m:val="p"/>
              </m:rPr>
              <w:rPr>
                <w:rFonts w:ascii="Cambria Math" w:hAnsi="Cambria Math" w:cs="Minion Pro"/>
                <w:sz w:val="22"/>
                <w:szCs w:val="22"/>
              </w:rPr>
              <m:t>A</m:t>
            </m:r>
          </m:sup>
        </m:sSubSup>
      </m:oMath>
      <w:r w:rsidRPr="00463734">
        <w:rPr>
          <w:rFonts w:ascii="Minion Pro" w:hAnsi="Minion Pro" w:cs="Minion Pro"/>
          <w:sz w:val="22"/>
          <w:szCs w:val="22"/>
        </w:rPr>
        <w:t xml:space="preserve"> is set as a continuous variable.</w:t>
      </w:r>
    </w:p>
    <w:p w14:paraId="61B6E56F"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Similar to the attacker's strategy, the defender allocates defense resources to RTUs to enhance their information security protection capabilities. The defender's defense strategy set is C</w:t>
      </w:r>
      <w:r w:rsidRPr="00463734">
        <w:rPr>
          <w:rFonts w:ascii="Minion Pro" w:hAnsi="Minion Pro" w:cs="Minion Pro"/>
          <w:sz w:val="22"/>
          <w:szCs w:val="22"/>
          <w:vertAlign w:val="superscript"/>
        </w:rPr>
        <w:t>D</w:t>
      </w:r>
      <w:r w:rsidRPr="00463734">
        <w:rPr>
          <w:rFonts w:ascii="Minion Pro" w:hAnsi="Minion Pro" w:cs="Minion Pro"/>
          <w:sz w:val="22"/>
          <w:szCs w:val="22"/>
        </w:rPr>
        <w:t xml:space="preserve">, where the elements </w:t>
      </w:r>
      <m:oMath>
        <m:sSubSup>
          <m:sSubSupPr>
            <m:ctrlPr>
              <w:rPr>
                <w:rFonts w:ascii="Cambria Math" w:hAnsi="Cambria Math" w:cs="Minion Pro"/>
                <w:sz w:val="22"/>
                <w:szCs w:val="22"/>
              </w:rPr>
            </m:ctrlPr>
          </m:sSubSupPr>
          <m:e>
            <m:r>
              <m:rPr>
                <m:sty m:val="p"/>
              </m:rPr>
              <w:rPr>
                <w:rFonts w:ascii="Cambria Math" w:hAnsi="Cambria Math" w:cs="Minion Pro"/>
                <w:sz w:val="22"/>
                <w:szCs w:val="22"/>
              </w:rPr>
              <m:t>c</m:t>
            </m:r>
          </m:e>
          <m:sub>
            <m:r>
              <m:rPr>
                <m:sty m:val="p"/>
              </m:rPr>
              <w:rPr>
                <w:rFonts w:ascii="Cambria Math" w:hAnsi="Cambria Math" w:cs="Minion Pro"/>
                <w:sz w:val="22"/>
                <w:szCs w:val="22"/>
              </w:rPr>
              <m:t>j</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 C</w:t>
      </w:r>
      <w:r w:rsidRPr="00463734">
        <w:rPr>
          <w:rFonts w:ascii="Minion Pro" w:hAnsi="Minion Pro" w:cs="Minion Pro"/>
          <w:sz w:val="22"/>
          <w:szCs w:val="22"/>
          <w:vertAlign w:val="superscript"/>
        </w:rPr>
        <w:t>D</w:t>
      </w:r>
      <w:r w:rsidRPr="00463734">
        <w:rPr>
          <w:rFonts w:ascii="Minion Pro" w:hAnsi="Minion Pro" w:cs="Minion Pro"/>
          <w:sz w:val="22"/>
          <w:szCs w:val="22"/>
        </w:rPr>
        <w:t xml:space="preserve"> (j = 1, 2,..., n</w:t>
      </w:r>
      <w:r w:rsidRPr="00463734">
        <w:rPr>
          <w:rFonts w:ascii="Minion Pro" w:hAnsi="Minion Pro" w:cs="Minion Pro"/>
          <w:sz w:val="22"/>
          <w:szCs w:val="22"/>
          <w:vertAlign w:val="subscript"/>
        </w:rPr>
        <w:t>D</w:t>
      </w:r>
      <w:r w:rsidRPr="00463734">
        <w:rPr>
          <w:rFonts w:ascii="Minion Pro" w:hAnsi="Minion Pro" w:cs="Minion Pro"/>
          <w:sz w:val="22"/>
          <w:szCs w:val="22"/>
        </w:rPr>
        <w:t>; n</w:t>
      </w:r>
      <w:r w:rsidRPr="00463734">
        <w:rPr>
          <w:rFonts w:ascii="Minion Pro" w:hAnsi="Minion Pro" w:cs="Minion Pro"/>
          <w:sz w:val="22"/>
          <w:szCs w:val="22"/>
          <w:vertAlign w:val="subscript"/>
        </w:rPr>
        <w:t>D</w:t>
      </w:r>
      <w:r w:rsidRPr="00463734">
        <w:rPr>
          <w:rFonts w:ascii="Minion Pro" w:hAnsi="Minion Pro" w:cs="Minion Pro"/>
          <w:sz w:val="22"/>
          <w:szCs w:val="22"/>
        </w:rPr>
        <w:t xml:space="preserve"> is the number of defense resource allocation strategies available to the defender), which can be expressed as:</w:t>
      </w:r>
    </w:p>
    <w:p w14:paraId="408CBF99"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c</m:t>
            </m:r>
          </m:e>
          <m:sub>
            <m:r>
              <w:rPr>
                <w:rFonts w:ascii="Cambria Math" w:hAnsi="Cambria Math" w:cs="Minion Pro"/>
                <w:sz w:val="22"/>
              </w:rPr>
              <m:t>j</m:t>
            </m:r>
          </m:sub>
          <m:sup>
            <m:r>
              <w:rPr>
                <w:rFonts w:ascii="Cambria Math" w:hAnsi="Cambria Math" w:cs="Minion Pro"/>
                <w:sz w:val="22"/>
              </w:rPr>
              <m:t>D</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σ</m:t>
            </m:r>
          </m:e>
          <m:sub>
            <m:r>
              <w:rPr>
                <w:rFonts w:ascii="Cambria Math" w:hAnsi="Cambria Math" w:cs="Minion Pro"/>
                <w:sz w:val="22"/>
              </w:rPr>
              <m:t>j,1</m:t>
            </m:r>
          </m:sub>
          <m:sup>
            <m:r>
              <m:rPr>
                <m:sty m:val="p"/>
              </m:rPr>
              <w:rPr>
                <w:rFonts w:ascii="Cambria Math" w:hAnsi="Cambria Math" w:cs="Minion Pro"/>
                <w:sz w:val="22"/>
              </w:rPr>
              <m:t>D</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σ</m:t>
            </m:r>
          </m:e>
          <m:sub>
            <m:r>
              <w:rPr>
                <w:rFonts w:ascii="Cambria Math" w:hAnsi="Cambria Math" w:cs="Minion Pro"/>
                <w:sz w:val="22"/>
              </w:rPr>
              <m:t>j,2</m:t>
            </m:r>
          </m:sub>
          <m:sup>
            <m:r>
              <m:rPr>
                <m:sty m:val="p"/>
              </m:rPr>
              <w:rPr>
                <w:rFonts w:ascii="Cambria Math" w:hAnsi="Cambria Math" w:cs="Minion Pro"/>
                <w:sz w:val="22"/>
              </w:rPr>
              <m:t>D</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σ</m:t>
            </m:r>
          </m:e>
          <m:sub>
            <m:r>
              <w:rPr>
                <w:rFonts w:ascii="Cambria Math" w:hAnsi="Cambria Math" w:cs="Minion Pro"/>
                <w:sz w:val="22"/>
              </w:rPr>
              <m:t>j,</m:t>
            </m:r>
            <m:sSub>
              <m:sSubPr>
                <m:ctrlPr>
                  <w:rPr>
                    <w:rFonts w:ascii="Cambria Math" w:hAnsi="Cambria Math" w:cs="Minion Pro"/>
                    <w:sz w:val="22"/>
                  </w:rPr>
                </m:ctrlPr>
              </m:sSubPr>
              <m:e>
                <m:r>
                  <w:rPr>
                    <w:rFonts w:ascii="Cambria Math" w:hAnsi="Cambria Math" w:cs="Minion Pro"/>
                    <w:sz w:val="22"/>
                  </w:rPr>
                  <m:t>n</m:t>
                </m:r>
              </m:e>
              <m:sub>
                <m:r>
                  <w:rPr>
                    <w:rFonts w:ascii="Cambria Math" w:hAnsi="Cambria Math" w:cs="Minion Pro"/>
                    <w:sz w:val="22"/>
                  </w:rPr>
                  <m:t>s</m:t>
                </m:r>
              </m:sub>
            </m:sSub>
          </m:sub>
          <m:sup>
            <m:r>
              <m:rPr>
                <m:sty m:val="p"/>
              </m:rPr>
              <w:rPr>
                <w:rFonts w:ascii="Cambria Math" w:hAnsi="Cambria Math" w:cs="Minion Pro"/>
                <w:sz w:val="22"/>
              </w:rPr>
              <m:t>D</m:t>
            </m:r>
          </m:sup>
        </m:sSubSup>
        <m:r>
          <w:rPr>
            <w:rFonts w:ascii="Cambria Math" w:hAnsi="Cambria Math" w:cs="Minion Pro"/>
            <w:sz w:val="22"/>
          </w:rPr>
          <m:t>}</m:t>
        </m:r>
      </m:oMath>
      <w:r w:rsidRPr="00463734">
        <w:rPr>
          <w:rFonts w:ascii="Minion Pro" w:hAnsi="Minion Pro" w:cs="Minion Pro"/>
          <w:sz w:val="22"/>
        </w:rPr>
        <w:tab/>
      </w:r>
      <w:r w:rsidRPr="00463734">
        <w:rPr>
          <w:rFonts w:ascii="Minion Pro" w:hAnsi="Minion Pro" w:cs="Minion Pro" w:hint="eastAsia"/>
          <w:sz w:val="22"/>
        </w:rPr>
        <w:t>(S59)</w:t>
      </w:r>
    </w:p>
    <w:p w14:paraId="729F161D"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nary>
          <m:naryPr>
            <m:chr m:val="∑"/>
            <m:limLoc m:val="undOvr"/>
            <m:ctrlPr>
              <w:rPr>
                <w:rFonts w:ascii="Cambria Math" w:hAnsi="Cambria Math" w:cs="Minion Pro"/>
                <w:sz w:val="22"/>
              </w:rPr>
            </m:ctrlPr>
          </m:naryPr>
          <m:sub>
            <m:r>
              <w:rPr>
                <w:rFonts w:ascii="Cambria Math" w:hAnsi="Cambria Math" w:cs="Minion Pro"/>
                <w:sz w:val="22"/>
              </w:rPr>
              <m:t>k=1</m:t>
            </m:r>
          </m:sub>
          <m:sup>
            <m:sSub>
              <m:sSubPr>
                <m:ctrlPr>
                  <w:rPr>
                    <w:rFonts w:ascii="Cambria Math" w:hAnsi="Cambria Math" w:cs="Minion Pro"/>
                    <w:sz w:val="22"/>
                  </w:rPr>
                </m:ctrlPr>
              </m:sSubPr>
              <m:e>
                <m:r>
                  <w:rPr>
                    <w:rFonts w:ascii="Cambria Math" w:hAnsi="Cambria Math" w:cs="Minion Pro"/>
                    <w:sz w:val="22"/>
                  </w:rPr>
                  <m:t>n</m:t>
                </m:r>
              </m:e>
              <m:sub>
                <m:r>
                  <w:rPr>
                    <w:rFonts w:ascii="Cambria Math" w:hAnsi="Cambria Math" w:cs="Minion Pro"/>
                    <w:sz w:val="22"/>
                  </w:rPr>
                  <m:t>s</m:t>
                </m:r>
              </m:sub>
            </m:sSub>
          </m:sup>
          <m:e>
            <m:sSubSup>
              <m:sSubSupPr>
                <m:ctrlPr>
                  <w:rPr>
                    <w:rFonts w:ascii="Cambria Math" w:hAnsi="Cambria Math" w:cs="Minion Pro"/>
                    <w:sz w:val="22"/>
                  </w:rPr>
                </m:ctrlPr>
              </m:sSubSupPr>
              <m:e>
                <m:r>
                  <w:rPr>
                    <w:rFonts w:ascii="Cambria Math" w:hAnsi="Cambria Math" w:cs="Minion Pro"/>
                    <w:sz w:val="22"/>
                  </w:rPr>
                  <m:t>σ</m:t>
                </m:r>
              </m:e>
              <m:sub>
                <m:r>
                  <w:rPr>
                    <w:rFonts w:ascii="Cambria Math" w:hAnsi="Cambria Math" w:cs="Minion Pro"/>
                    <w:sz w:val="22"/>
                  </w:rPr>
                  <m:t>j,k</m:t>
                </m:r>
              </m:sub>
              <m:sup>
                <m:r>
                  <m:rPr>
                    <m:sty m:val="p"/>
                  </m:rPr>
                  <w:rPr>
                    <w:rFonts w:ascii="Cambria Math" w:hAnsi="Cambria Math" w:cs="Minion Pro"/>
                    <w:sz w:val="22"/>
                  </w:rPr>
                  <m:t>D</m:t>
                </m:r>
              </m:sup>
            </m:sSubSup>
          </m:e>
        </m:nary>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S</m:t>
            </m:r>
          </m:e>
          <m:sup>
            <m:r>
              <m:rPr>
                <m:sty m:val="p"/>
              </m:rPr>
              <w:rPr>
                <w:rFonts w:ascii="Cambria Math" w:hAnsi="Cambria Math" w:cs="Minion Pro"/>
                <w:sz w:val="22"/>
              </w:rPr>
              <m:t>D</m:t>
            </m:r>
          </m:sup>
        </m:sSup>
      </m:oMath>
      <w:r w:rsidRPr="00463734">
        <w:rPr>
          <w:rFonts w:ascii="Minion Pro" w:hAnsi="Minion Pro" w:cs="Minion Pro"/>
          <w:sz w:val="22"/>
        </w:rPr>
        <w:tab/>
      </w:r>
      <w:r w:rsidRPr="00463734">
        <w:rPr>
          <w:rFonts w:ascii="Minion Pro" w:hAnsi="Minion Pro" w:cs="Minion Pro" w:hint="eastAsia"/>
          <w:sz w:val="22"/>
        </w:rPr>
        <w:t>(S60)</w:t>
      </w:r>
    </w:p>
    <w:p w14:paraId="5C2045F4" w14:textId="77777777"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In the formula: S</w:t>
      </w:r>
      <w:r w:rsidRPr="00463734">
        <w:rPr>
          <w:rFonts w:ascii="Minion Pro" w:hAnsi="Minion Pro" w:cs="Minion Pro"/>
          <w:sz w:val="22"/>
          <w:szCs w:val="22"/>
          <w:vertAlign w:val="superscript"/>
        </w:rPr>
        <w:t>D</w:t>
      </w:r>
      <w:r w:rsidRPr="00463734">
        <w:rPr>
          <w:rFonts w:ascii="Minion Pro" w:hAnsi="Minion Pro" w:cs="Minion Pro"/>
          <w:sz w:val="22"/>
          <w:szCs w:val="22"/>
        </w:rPr>
        <w:t xml:space="preserve"> represents the number of RTUs that the defender has the resources to configure securely; </w:t>
      </w:r>
      <m:oMath>
        <m:sSubSup>
          <m:sSubSupPr>
            <m:ctrlPr>
              <w:rPr>
                <w:rFonts w:ascii="Cambria Math" w:hAnsi="Cambria Math" w:cs="Minion Pro"/>
                <w:sz w:val="22"/>
                <w:szCs w:val="22"/>
              </w:rPr>
            </m:ctrlPr>
          </m:sSubSupPr>
          <m:e>
            <m:r>
              <m:rPr>
                <m:sty m:val="p"/>
              </m:rPr>
              <w:rPr>
                <w:rFonts w:ascii="Cambria Math" w:hAnsi="Cambria Math" w:cs="Minion Pro"/>
                <w:sz w:val="22"/>
                <w:szCs w:val="22"/>
              </w:rPr>
              <m:t>σ</m:t>
            </m:r>
          </m:e>
          <m:sub>
            <m:r>
              <m:rPr>
                <m:sty m:val="p"/>
              </m:rPr>
              <w:rPr>
                <w:rFonts w:ascii="Cambria Math" w:hAnsi="Cambria Math" w:cs="Minion Pro"/>
                <w:sz w:val="22"/>
                <w:szCs w:val="22"/>
              </w:rPr>
              <m:t>j,k</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 {0,1} indicates whether the defender in the defense resource allocation strategy </w:t>
      </w:r>
      <m:oMath>
        <m:sSubSup>
          <m:sSubSupPr>
            <m:ctrlPr>
              <w:rPr>
                <w:rFonts w:ascii="Cambria Math" w:hAnsi="Cambria Math" w:cs="Minion Pro"/>
                <w:sz w:val="22"/>
                <w:szCs w:val="22"/>
              </w:rPr>
            </m:ctrlPr>
          </m:sSubSupPr>
          <m:e>
            <m:r>
              <m:rPr>
                <m:sty m:val="p"/>
              </m:rPr>
              <w:rPr>
                <w:rFonts w:ascii="Cambria Math" w:hAnsi="Cambria Math" w:cs="Minion Pro"/>
                <w:sz w:val="22"/>
                <w:szCs w:val="22"/>
              </w:rPr>
              <m:t>c</m:t>
            </m:r>
          </m:e>
          <m:sub>
            <m:r>
              <m:rPr>
                <m:sty m:val="p"/>
              </m:rPr>
              <w:rPr>
                <w:rFonts w:ascii="Cambria Math" w:hAnsi="Cambria Math" w:cs="Minion Pro"/>
                <w:sz w:val="22"/>
                <w:szCs w:val="22"/>
              </w:rPr>
              <m:t>j</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configures the k-th RTU securely.</w:t>
      </w:r>
    </w:p>
    <w:p w14:paraId="5D287F60"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For the risk assessment method in Section 4.2, its variables are the probability of RTU failure under information attack,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.In the scenario of offensive and defensive game, these variables depend on the resource allocation strategies of both the attacker and the defender: The more resources the attacker invests in a certain RTU, the higher the probability of a successful attack; however, the marginal benefit of attack resources decreases. If the defender configures the RTU for security, the protection level will be higher; otherwise, it will be lower. The above relationship can be expressed as:</w:t>
      </w:r>
    </w:p>
    <w:p w14:paraId="75AB68A1"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sub>
          <m:sup>
            <m:r>
              <m:rPr>
                <m:sty m:val="p"/>
              </m:rPr>
              <w:rPr>
                <w:rFonts w:ascii="Cambria Math" w:hAnsi="Cambria Math" w:cs="Minion Pro"/>
                <w:sz w:val="22"/>
              </w:rPr>
              <m:t>rej</m:t>
            </m:r>
          </m:sup>
        </m:sSubSup>
        <m:r>
          <w:rPr>
            <w:rFonts w:ascii="Cambria Math" w:hAnsi="Cambria Math" w:cs="Minion Pro"/>
            <w:sz w:val="22"/>
          </w:rPr>
          <m:t>=</m:t>
        </m:r>
        <m:f>
          <m:fPr>
            <m:ctrlPr>
              <w:rPr>
                <w:rFonts w:ascii="Cambria Math" w:hAnsi="Cambria Math" w:cs="Minion Pro"/>
                <w:i/>
                <w:sz w:val="22"/>
              </w:rPr>
            </m:ctrlPr>
          </m:fPr>
          <m:num>
            <m:r>
              <w:rPr>
                <w:rFonts w:ascii="Cambria Math" w:hAnsi="Cambria Math" w:cs="Minion Pro"/>
                <w:sz w:val="22"/>
              </w:rPr>
              <m:t>1-</m:t>
            </m:r>
            <m:sSup>
              <m:sSupPr>
                <m:ctrlPr>
                  <w:rPr>
                    <w:rFonts w:ascii="Cambria Math" w:hAnsi="Cambria Math" w:cs="Minion Pro"/>
                    <w:sz w:val="22"/>
                  </w:rPr>
                </m:ctrlPr>
              </m:sSupPr>
              <m:e>
                <m:r>
                  <m:rPr>
                    <m:sty m:val="p"/>
                  </m:rPr>
                  <w:rPr>
                    <w:rFonts w:ascii="Cambria Math" w:hAnsi="Cambria Math" w:cs="Minion Pro"/>
                    <w:sz w:val="22"/>
                  </w:rPr>
                  <m:t>e</m:t>
                </m:r>
              </m:e>
              <m: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α</m:t>
                    </m:r>
                  </m:e>
                  <m:sub>
                    <m:r>
                      <m:rPr>
                        <m:sty m:val="p"/>
                      </m:rPr>
                      <w:rPr>
                        <w:rFonts w:ascii="Cambria Math" w:hAnsi="Cambria Math" w:cs="Minion Pro"/>
                        <w:sz w:val="22"/>
                      </w:rPr>
                      <m:t>rej</m:t>
                    </m:r>
                  </m:sub>
                  <m:sup>
                    <m:r>
                      <m:rPr>
                        <m:sty m:val="p"/>
                      </m:rPr>
                      <w:rPr>
                        <w:rFonts w:ascii="Cambria Math" w:hAnsi="Cambria Math" w:cs="Minion Pro"/>
                        <w:sz w:val="22"/>
                      </w:rPr>
                      <m:t>A</m:t>
                    </m:r>
                  </m:sup>
                </m:sSubSup>
                <m:sSubSup>
                  <m:sSubSupPr>
                    <m:ctrlPr>
                      <w:rPr>
                        <w:rFonts w:ascii="Cambria Math" w:hAnsi="Cambria Math" w:cs="Minion Pro"/>
                        <w:sz w:val="22"/>
                      </w:rPr>
                    </m:ctrlPr>
                  </m:sSubSupPr>
                  <m:e>
                    <m:r>
                      <w:rPr>
                        <w:rFonts w:ascii="Cambria Math" w:hAnsi="Cambria Math" w:cs="Minion Pro"/>
                        <w:sz w:val="22"/>
                      </w:rPr>
                      <m:t>s</m:t>
                    </m:r>
                  </m:e>
                  <m:sub>
                    <m:r>
                      <w:rPr>
                        <w:rFonts w:ascii="Cambria Math" w:hAnsi="Cambria Math" w:cs="Minion Pro"/>
                        <w:sz w:val="22"/>
                      </w:rPr>
                      <m:t>i,z</m:t>
                    </m:r>
                  </m:sub>
                  <m:sup>
                    <m:r>
                      <m:rPr>
                        <m:sty m:val="p"/>
                      </m:rPr>
                      <w:rPr>
                        <w:rFonts w:ascii="Cambria Math" w:hAnsi="Cambria Math" w:cs="Minion Pro"/>
                        <w:sz w:val="22"/>
                      </w:rPr>
                      <m:t>A</m:t>
                    </m:r>
                  </m:sup>
                </m:sSubSup>
              </m:sup>
            </m:sSup>
            <m:ctrlPr>
              <w:rPr>
                <w:rFonts w:ascii="Cambria Math" w:hAnsi="Cambria Math" w:cs="Minion Pro"/>
                <w:sz w:val="22"/>
              </w:rPr>
            </m:ctrlPr>
          </m:num>
          <m:den>
            <m:sSubSup>
              <m:sSubSupPr>
                <m:ctrlPr>
                  <w:rPr>
                    <w:rFonts w:ascii="Cambria Math" w:hAnsi="Cambria Math" w:cs="Minion Pro"/>
                    <w:sz w:val="22"/>
                  </w:rPr>
                </m:ctrlPr>
              </m:sSubSupPr>
              <m:e>
                <m:r>
                  <w:rPr>
                    <w:rFonts w:ascii="Cambria Math" w:hAnsi="Cambria Math" w:cs="Minion Pro"/>
                    <w:sz w:val="22"/>
                  </w:rPr>
                  <m:t>β</m:t>
                </m:r>
              </m:e>
              <m:sub>
                <m:r>
                  <m:rPr>
                    <m:sty m:val="p"/>
                  </m:rPr>
                  <w:rPr>
                    <w:rFonts w:ascii="Cambria Math" w:hAnsi="Cambria Math" w:cs="Minion Pro"/>
                    <w:sz w:val="22"/>
                  </w:rPr>
                  <m:t>rej</m:t>
                </m:r>
              </m:sub>
              <m:sup>
                <m:r>
                  <m:rPr>
                    <m:sty m:val="p"/>
                  </m:rPr>
                  <w:rPr>
                    <w:rFonts w:ascii="Cambria Math" w:hAnsi="Cambria Math" w:cs="Minion Pro"/>
                    <w:sz w:val="22"/>
                  </w:rPr>
                  <m:t>D</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σ</m:t>
                </m:r>
              </m:e>
              <m:sub>
                <m:r>
                  <w:rPr>
                    <w:rFonts w:ascii="Cambria Math" w:hAnsi="Cambria Math" w:cs="Minion Pro"/>
                    <w:sz w:val="22"/>
                  </w:rPr>
                  <m:t>j,k</m:t>
                </m:r>
              </m:sub>
              <m:sup>
                <m:r>
                  <m:rPr>
                    <m:sty m:val="p"/>
                  </m:rPr>
                  <w:rPr>
                    <w:rFonts w:ascii="Cambria Math" w:hAnsi="Cambria Math" w:cs="Minion Pro"/>
                    <w:sz w:val="22"/>
                  </w:rPr>
                  <m:t>D</m:t>
                </m:r>
              </m:sup>
            </m:sSubSup>
            <m:ctrlPr>
              <w:rPr>
                <w:rFonts w:ascii="Cambria Math" w:hAnsi="Cambria Math" w:cs="Minion Pro"/>
                <w:sz w:val="22"/>
              </w:rPr>
            </m:ctrlPr>
          </m:den>
        </m:f>
      </m:oMath>
      <w:r w:rsidRPr="00463734">
        <w:rPr>
          <w:rFonts w:ascii="Minion Pro" w:hAnsi="Minion Pro" w:cs="Minion Pro"/>
          <w:sz w:val="22"/>
        </w:rPr>
        <w:tab/>
      </w:r>
      <w:r w:rsidRPr="00463734">
        <w:rPr>
          <w:rFonts w:ascii="Minion Pro" w:hAnsi="Minion Pro" w:cs="Minion Pro" w:hint="eastAsia"/>
          <w:sz w:val="22"/>
        </w:rPr>
        <w:t>(S61)</w:t>
      </w:r>
    </w:p>
    <w:p w14:paraId="4BD9D1C3"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sSubSup>
          <m:sSubSupPr>
            <m:ctrlPr>
              <w:rPr>
                <w:rFonts w:ascii="Cambria Math" w:hAnsi="Cambria Math" w:cs="Minion Pro"/>
                <w:sz w:val="22"/>
              </w:rPr>
            </m:ctrlPr>
          </m:sSubSupPr>
          <m:e>
            <m:r>
              <w:rPr>
                <w:rFonts w:ascii="Cambria Math" w:hAnsi="Cambria Math" w:cs="Minion Pro"/>
                <w:sz w:val="22"/>
              </w:rPr>
              <m:t>P</m:t>
            </m:r>
          </m:e>
          <m:sub>
            <m:r>
              <w:rPr>
                <w:rFonts w:ascii="Cambria Math" w:hAnsi="Cambria Math" w:cs="Minion Pro"/>
                <w:sz w:val="22"/>
              </w:rPr>
              <m:t>S</m:t>
            </m:r>
          </m:sub>
          <m:sup>
            <m:r>
              <m:rPr>
                <m:sty m:val="p"/>
              </m:rPr>
              <w:rPr>
                <w:rFonts w:ascii="Cambria Math" w:hAnsi="Cambria Math" w:cs="Minion Pro"/>
                <w:sz w:val="22"/>
              </w:rPr>
              <m:t>mis</m:t>
            </m:r>
          </m:sup>
        </m:sSubSup>
        <m:r>
          <w:rPr>
            <w:rFonts w:ascii="Cambria Math" w:hAnsi="Cambria Math" w:cs="Minion Pro"/>
            <w:sz w:val="22"/>
          </w:rPr>
          <m:t>=</m:t>
        </m:r>
        <m:f>
          <m:fPr>
            <m:ctrlPr>
              <w:rPr>
                <w:rFonts w:ascii="Cambria Math" w:hAnsi="Cambria Math" w:cs="Minion Pro"/>
                <w:i/>
                <w:sz w:val="22"/>
              </w:rPr>
            </m:ctrlPr>
          </m:fPr>
          <m:num>
            <m:r>
              <w:rPr>
                <w:rFonts w:ascii="Cambria Math" w:hAnsi="Cambria Math" w:cs="Minion Pro"/>
                <w:sz w:val="22"/>
              </w:rPr>
              <m:t>1-</m:t>
            </m:r>
            <m:sSup>
              <m:sSupPr>
                <m:ctrlPr>
                  <w:rPr>
                    <w:rFonts w:ascii="Cambria Math" w:hAnsi="Cambria Math" w:cs="Minion Pro"/>
                    <w:sz w:val="22"/>
                  </w:rPr>
                </m:ctrlPr>
              </m:sSupPr>
              <m:e>
                <m:r>
                  <m:rPr>
                    <m:sty m:val="p"/>
                  </m:rPr>
                  <w:rPr>
                    <w:rFonts w:ascii="Cambria Math" w:hAnsi="Cambria Math" w:cs="Minion Pro"/>
                    <w:sz w:val="22"/>
                  </w:rPr>
                  <m:t>e</m:t>
                </m:r>
              </m:e>
              <m: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α</m:t>
                    </m:r>
                  </m:e>
                  <m:sub>
                    <m:r>
                      <m:rPr>
                        <m:sty m:val="p"/>
                      </m:rPr>
                      <w:rPr>
                        <w:rFonts w:ascii="Cambria Math" w:hAnsi="Cambria Math" w:cs="Minion Pro"/>
                        <w:sz w:val="22"/>
                      </w:rPr>
                      <m:t>mis</m:t>
                    </m:r>
                  </m:sub>
                  <m:sup>
                    <m:r>
                      <m:rPr>
                        <m:sty m:val="p"/>
                      </m:rPr>
                      <w:rPr>
                        <w:rFonts w:ascii="Cambria Math" w:hAnsi="Cambria Math" w:cs="Minion Pro"/>
                        <w:sz w:val="22"/>
                      </w:rPr>
                      <m:t>A</m:t>
                    </m:r>
                  </m:sup>
                </m:sSubSup>
                <m:sSubSup>
                  <m:sSubSupPr>
                    <m:ctrlPr>
                      <w:rPr>
                        <w:rFonts w:ascii="Cambria Math" w:hAnsi="Cambria Math" w:cs="Minion Pro"/>
                        <w:sz w:val="22"/>
                      </w:rPr>
                    </m:ctrlPr>
                  </m:sSubSupPr>
                  <m:e>
                    <m:r>
                      <w:rPr>
                        <w:rFonts w:ascii="Cambria Math" w:hAnsi="Cambria Math" w:cs="Minion Pro"/>
                        <w:sz w:val="22"/>
                      </w:rPr>
                      <m:t>s</m:t>
                    </m:r>
                  </m:e>
                  <m:sub>
                    <m:r>
                      <w:rPr>
                        <w:rFonts w:ascii="Cambria Math" w:hAnsi="Cambria Math" w:cs="Minion Pro"/>
                        <w:sz w:val="22"/>
                      </w:rPr>
                      <m:t>i,z</m:t>
                    </m:r>
                  </m:sub>
                  <m:sup>
                    <m:r>
                      <m:rPr>
                        <m:sty m:val="p"/>
                      </m:rPr>
                      <w:rPr>
                        <w:rFonts w:ascii="Cambria Math" w:hAnsi="Cambria Math" w:cs="Minion Pro"/>
                        <w:sz w:val="22"/>
                      </w:rPr>
                      <m:t>A</m:t>
                    </m:r>
                  </m:sup>
                </m:sSubSup>
              </m:sup>
            </m:sSup>
            <m:ctrlPr>
              <w:rPr>
                <w:rFonts w:ascii="Cambria Math" w:hAnsi="Cambria Math" w:cs="Minion Pro"/>
                <w:sz w:val="22"/>
              </w:rPr>
            </m:ctrlPr>
          </m:num>
          <m:den>
            <m:sSubSup>
              <m:sSubSupPr>
                <m:ctrlPr>
                  <w:rPr>
                    <w:rFonts w:ascii="Cambria Math" w:hAnsi="Cambria Math" w:cs="Minion Pro"/>
                    <w:sz w:val="22"/>
                  </w:rPr>
                </m:ctrlPr>
              </m:sSubSupPr>
              <m:e>
                <m:r>
                  <w:rPr>
                    <w:rFonts w:ascii="Cambria Math" w:hAnsi="Cambria Math" w:cs="Minion Pro"/>
                    <w:sz w:val="22"/>
                  </w:rPr>
                  <m:t>β</m:t>
                </m:r>
              </m:e>
              <m:sub>
                <m:r>
                  <m:rPr>
                    <m:sty m:val="p"/>
                  </m:rPr>
                  <w:rPr>
                    <w:rFonts w:ascii="Cambria Math" w:hAnsi="Cambria Math" w:cs="Minion Pro"/>
                    <w:sz w:val="22"/>
                  </w:rPr>
                  <m:t>mis</m:t>
                </m:r>
              </m:sub>
              <m:sup>
                <m:r>
                  <m:rPr>
                    <m:sty m:val="p"/>
                  </m:rPr>
                  <w:rPr>
                    <w:rFonts w:ascii="Cambria Math" w:hAnsi="Cambria Math" w:cs="Minion Pro"/>
                    <w:sz w:val="22"/>
                  </w:rPr>
                  <m:t>D</m:t>
                </m:r>
              </m:sup>
            </m:sSubSup>
            <m:r>
              <w:rPr>
                <w:rFonts w:ascii="Cambria Math" w:hAnsi="Cambria Math" w:cs="Minion Pro"/>
                <w:sz w:val="22"/>
              </w:rPr>
              <m:t>+</m:t>
            </m:r>
            <m:sSubSup>
              <m:sSubSupPr>
                <m:ctrlPr>
                  <w:rPr>
                    <w:rFonts w:ascii="Cambria Math" w:hAnsi="Cambria Math" w:cs="Minion Pro"/>
                    <w:sz w:val="22"/>
                  </w:rPr>
                </m:ctrlPr>
              </m:sSubSupPr>
              <m:e>
                <m:r>
                  <w:rPr>
                    <w:rFonts w:ascii="Cambria Math" w:hAnsi="Cambria Math" w:cs="Minion Pro"/>
                    <w:sz w:val="22"/>
                  </w:rPr>
                  <m:t>σ</m:t>
                </m:r>
              </m:e>
              <m:sub>
                <m:r>
                  <w:rPr>
                    <w:rFonts w:ascii="Cambria Math" w:hAnsi="Cambria Math" w:cs="Minion Pro"/>
                    <w:sz w:val="22"/>
                  </w:rPr>
                  <m:t>j,k</m:t>
                </m:r>
              </m:sub>
              <m:sup>
                <m:r>
                  <m:rPr>
                    <m:sty m:val="p"/>
                  </m:rPr>
                  <w:rPr>
                    <w:rFonts w:ascii="Cambria Math" w:hAnsi="Cambria Math" w:cs="Minion Pro"/>
                    <w:sz w:val="22"/>
                  </w:rPr>
                  <m:t>D</m:t>
                </m:r>
              </m:sup>
            </m:sSubSup>
            <m:ctrlPr>
              <w:rPr>
                <w:rFonts w:ascii="Cambria Math" w:hAnsi="Cambria Math" w:cs="Minion Pro"/>
                <w:sz w:val="22"/>
              </w:rPr>
            </m:ctrlPr>
          </m:den>
        </m:f>
      </m:oMath>
      <w:r w:rsidRPr="00463734">
        <w:rPr>
          <w:rFonts w:ascii="Minion Pro" w:hAnsi="Minion Pro" w:cs="Minion Pro"/>
          <w:sz w:val="22"/>
        </w:rPr>
        <w:tab/>
      </w:r>
      <w:r w:rsidRPr="00463734">
        <w:rPr>
          <w:rFonts w:ascii="Minion Pro" w:hAnsi="Minion Pro" w:cs="Minion Pro" w:hint="eastAsia"/>
          <w:sz w:val="22"/>
        </w:rPr>
        <w:t>(S62)</w:t>
      </w:r>
    </w:p>
    <w:p w14:paraId="7E51079E" w14:textId="77777777"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In the formula:</w:t>
      </w:r>
      <m:oMath>
        <m:sSubSup>
          <m:sSubSupPr>
            <m:ctrlPr>
              <w:rPr>
                <w:rFonts w:ascii="Cambria Math" w:hAnsi="Cambria Math" w:cs="Minion Pro"/>
                <w:sz w:val="22"/>
                <w:szCs w:val="22"/>
              </w:rPr>
            </m:ctrlPr>
          </m:sSubSupPr>
          <m:e>
            <m:r>
              <m:rPr>
                <m:sty m:val="p"/>
              </m:rPr>
              <w:rPr>
                <w:rFonts w:ascii="Cambria Math" w:hAnsi="Cambria Math" w:cs="Minion Pro"/>
                <w:sz w:val="22"/>
                <w:szCs w:val="22"/>
              </w:rPr>
              <m:t>α</m:t>
            </m:r>
          </m:e>
          <m:sub>
            <m:r>
              <m:rPr>
                <m:sty m:val="p"/>
              </m:rPr>
              <w:rPr>
                <w:rFonts w:ascii="Cambria Math" w:hAnsi="Cambria Math" w:cs="Minion Pro"/>
                <w:sz w:val="22"/>
                <w:szCs w:val="22"/>
              </w:rPr>
              <m:t>rej</m:t>
            </m:r>
          </m:sub>
          <m:sup>
            <m:r>
              <m:rPr>
                <m:sty m:val="p"/>
              </m:rPr>
              <w:rPr>
                <w:rFonts w:ascii="Cambria Math" w:hAnsi="Cambria Math" w:cs="Minion Pro"/>
                <w:sz w:val="22"/>
                <w:szCs w:val="22"/>
              </w:rPr>
              <m:t>A</m:t>
            </m:r>
          </m:sup>
        </m:sSubSup>
        <m:r>
          <m:rPr>
            <m:sty m:val="p"/>
          </m:rPr>
          <w:rPr>
            <w:rFonts w:ascii="Cambria Math" w:hAnsi="Cambria Math" w:cs="Minion Pro"/>
            <w:sz w:val="22"/>
            <w:szCs w:val="22"/>
          </w:rPr>
          <m:t>=-</m:t>
        </m:r>
        <m:func>
          <m:funcPr>
            <m:ctrlPr>
              <w:rPr>
                <w:rFonts w:ascii="Cambria Math" w:hAnsi="Cambria Math" w:cs="Minion Pro"/>
                <w:sz w:val="22"/>
                <w:szCs w:val="22"/>
              </w:rPr>
            </m:ctrlPr>
          </m:funcPr>
          <m:fName>
            <m:r>
              <m:rPr>
                <m:sty m:val="p"/>
              </m:rPr>
              <w:rPr>
                <w:rFonts w:ascii="Cambria Math" w:hAnsi="Cambria Math" w:cs="Minion Pro"/>
                <w:sz w:val="22"/>
                <w:szCs w:val="22"/>
              </w:rPr>
              <m:t>ln</m:t>
            </m:r>
          </m:fName>
          <m:e>
            <m:r>
              <m:rPr>
                <m:sty m:val="p"/>
              </m:rPr>
              <w:rPr>
                <w:rFonts w:ascii="Cambria Math" w:hAnsi="Cambria Math" w:cs="Minion Pro"/>
                <w:sz w:val="22"/>
                <w:szCs w:val="22"/>
              </w:rPr>
              <m:t>(</m:t>
            </m:r>
          </m:e>
        </m:func>
        <m:r>
          <m:rPr>
            <m:sty m:val="p"/>
          </m:rPr>
          <w:rPr>
            <w:rFonts w:ascii="Cambria Math" w:hAnsi="Cambria Math" w:cs="Minion Pro"/>
            <w:sz w:val="22"/>
            <w:szCs w:val="22"/>
          </w:rPr>
          <m:t>1-A</m:t>
        </m:r>
        <m:sSub>
          <m:sSubPr>
            <m:ctrlPr>
              <w:rPr>
                <w:rFonts w:ascii="Cambria Math" w:hAnsi="Cambria Math" w:cs="Minion Pro"/>
                <w:sz w:val="22"/>
                <w:szCs w:val="22"/>
              </w:rPr>
            </m:ctrlPr>
          </m:sSubPr>
          <m:e>
            <m:r>
              <m:rPr>
                <m:sty m:val="p"/>
              </m:rPr>
              <w:rPr>
                <w:rFonts w:ascii="Cambria Math" w:hAnsi="Cambria Math" w:cs="Minion Pro"/>
                <w:sz w:val="22"/>
                <w:szCs w:val="22"/>
              </w:rPr>
              <m:t>F</m:t>
            </m:r>
          </m:e>
          <m:sub>
            <m:r>
              <m:rPr>
                <m:sty m:val="p"/>
              </m:rPr>
              <w:rPr>
                <w:rFonts w:ascii="Cambria Math" w:hAnsi="Cambria Math" w:cs="Minion Pro"/>
                <w:sz w:val="22"/>
                <w:szCs w:val="22"/>
              </w:rPr>
              <m:t>rej</m:t>
            </m:r>
          </m:sub>
        </m:sSub>
        <m:r>
          <m:rPr>
            <m:sty m:val="p"/>
          </m:rPr>
          <w:rPr>
            <w:rFonts w:ascii="Cambria Math" w:hAnsi="Cambria Math" w:cs="Minion Pro"/>
            <w:sz w:val="22"/>
            <w:szCs w:val="22"/>
          </w:rPr>
          <m:t>)</m:t>
        </m:r>
      </m:oMath>
      <w:r w:rsidRPr="00463734">
        <w:rPr>
          <w:rFonts w:ascii="Minion Pro" w:hAnsi="Minion Pro" w:cs="Minion Pro"/>
          <w:sz w:val="22"/>
          <w:szCs w:val="22"/>
        </w:rPr>
        <w:t>/</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C</m:t>
            </m:r>
          </m:e>
          <m:sub>
            <m:r>
              <m:rPr>
                <m:sty m:val="p"/>
              </m:rPr>
              <w:rPr>
                <w:rFonts w:ascii="Cambria Math" w:hAnsi="Cambria Math" w:cs="Minion Pro"/>
                <w:sz w:val="22"/>
                <w:szCs w:val="22"/>
              </w:rPr>
              <m:t>rej</m:t>
            </m:r>
          </m:sub>
        </m:sSub>
        <m:r>
          <m:rPr>
            <m:sty m:val="p"/>
          </m:rPr>
          <w:rPr>
            <w:rFonts w:ascii="Cambria Math" w:hAnsi="Cambria Math" w:cs="Minion Pro"/>
            <w:sz w:val="22"/>
            <w:szCs w:val="22"/>
          </w:rPr>
          <m:t>,</m:t>
        </m:r>
        <m:sSubSup>
          <m:sSubSupPr>
            <m:ctrlPr>
              <w:rPr>
                <w:rFonts w:ascii="Cambria Math" w:hAnsi="Cambria Math" w:cs="Minion Pro"/>
                <w:sz w:val="22"/>
                <w:szCs w:val="22"/>
              </w:rPr>
            </m:ctrlPr>
          </m:sSubSupPr>
          <m:e>
            <m:r>
              <m:rPr>
                <m:sty m:val="p"/>
              </m:rPr>
              <w:rPr>
                <w:rFonts w:ascii="Cambria Math" w:hAnsi="Cambria Math" w:cs="Minion Pro"/>
                <w:sz w:val="22"/>
                <w:szCs w:val="22"/>
              </w:rPr>
              <m:t>α</m:t>
            </m:r>
          </m:e>
          <m:sub>
            <m:r>
              <m:rPr>
                <m:sty m:val="p"/>
              </m:rPr>
              <w:rPr>
                <w:rFonts w:ascii="Cambria Math" w:hAnsi="Cambria Math" w:cs="Minion Pro"/>
                <w:sz w:val="22"/>
                <w:szCs w:val="22"/>
              </w:rPr>
              <m:t>mis</m:t>
            </m:r>
          </m:sub>
          <m:sup>
            <m:r>
              <m:rPr>
                <m:sty m:val="p"/>
              </m:rPr>
              <w:rPr>
                <w:rFonts w:ascii="Cambria Math" w:hAnsi="Cambria Math" w:cs="Minion Pro"/>
                <w:sz w:val="22"/>
                <w:szCs w:val="22"/>
              </w:rPr>
              <m:t>A</m:t>
            </m:r>
          </m:sup>
        </m:sSubSup>
        <m:r>
          <m:rPr>
            <m:sty m:val="p"/>
          </m:rPr>
          <w:rPr>
            <w:rFonts w:ascii="Cambria Math" w:hAnsi="Cambria Math" w:cs="Minion Pro"/>
            <w:sz w:val="22"/>
            <w:szCs w:val="22"/>
          </w:rPr>
          <m:t>-</m:t>
        </m:r>
        <m:func>
          <m:funcPr>
            <m:ctrlPr>
              <w:rPr>
                <w:rFonts w:ascii="Cambria Math" w:hAnsi="Cambria Math" w:cs="Minion Pro"/>
                <w:sz w:val="22"/>
                <w:szCs w:val="22"/>
              </w:rPr>
            </m:ctrlPr>
          </m:funcPr>
          <m:fName>
            <m:r>
              <m:rPr>
                <m:sty m:val="p"/>
              </m:rPr>
              <w:rPr>
                <w:rFonts w:ascii="Cambria Math" w:hAnsi="Cambria Math" w:cs="Minion Pro"/>
                <w:sz w:val="22"/>
                <w:szCs w:val="22"/>
              </w:rPr>
              <m:t>ln</m:t>
            </m:r>
          </m:fName>
          <m:e>
            <m:r>
              <m:rPr>
                <m:sty m:val="p"/>
              </m:rPr>
              <w:rPr>
                <w:rFonts w:ascii="Cambria Math" w:hAnsi="Cambria Math" w:cs="Minion Pro"/>
                <w:sz w:val="22"/>
                <w:szCs w:val="22"/>
              </w:rPr>
              <m:t>(</m:t>
            </m:r>
          </m:e>
        </m:func>
        <m:r>
          <m:rPr>
            <m:sty m:val="p"/>
          </m:rPr>
          <w:rPr>
            <w:rFonts w:ascii="Cambria Math" w:hAnsi="Cambria Math" w:cs="Minion Pro"/>
            <w:sz w:val="22"/>
            <w:szCs w:val="22"/>
          </w:rPr>
          <m:t>1-A</m:t>
        </m:r>
        <m:sSub>
          <m:sSubPr>
            <m:ctrlPr>
              <w:rPr>
                <w:rFonts w:ascii="Cambria Math" w:hAnsi="Cambria Math" w:cs="Minion Pro"/>
                <w:sz w:val="22"/>
                <w:szCs w:val="22"/>
              </w:rPr>
            </m:ctrlPr>
          </m:sSubPr>
          <m:e>
            <m:r>
              <m:rPr>
                <m:sty m:val="p"/>
              </m:rPr>
              <w:rPr>
                <w:rFonts w:ascii="Cambria Math" w:hAnsi="Cambria Math" w:cs="Minion Pro"/>
                <w:sz w:val="22"/>
                <w:szCs w:val="22"/>
              </w:rPr>
              <m:t>F</m:t>
            </m:r>
          </m:e>
          <m:sub>
            <m:r>
              <m:rPr>
                <m:sty m:val="p"/>
              </m:rPr>
              <w:rPr>
                <w:rFonts w:ascii="Cambria Math" w:hAnsi="Cambria Math" w:cs="Minion Pro"/>
                <w:sz w:val="22"/>
                <w:szCs w:val="22"/>
              </w:rPr>
              <m:t>mis</m:t>
            </m:r>
          </m:sub>
        </m:sSub>
        <m:r>
          <m:rPr>
            <m:sty m:val="p"/>
          </m:rPr>
          <w:rPr>
            <w:rFonts w:ascii="Cambria Math" w:hAnsi="Cambria Math" w:cs="Minion Pro"/>
            <w:sz w:val="22"/>
            <w:szCs w:val="22"/>
          </w:rPr>
          <m:t>)</m:t>
        </m:r>
      </m:oMath>
      <w:r w:rsidRPr="00463734">
        <w:rPr>
          <w:rFonts w:ascii="Minion Pro" w:hAnsi="Minion Pro" w:cs="Minion Pro"/>
          <w:sz w:val="22"/>
          <w:szCs w:val="22"/>
        </w:rPr>
        <w:t>/</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C</m:t>
            </m:r>
          </m:e>
          <m:sub>
            <m:r>
              <m:rPr>
                <m:sty m:val="p"/>
              </m:rPr>
              <w:rPr>
                <w:rFonts w:ascii="Cambria Math" w:hAnsi="Cambria Math" w:cs="Minion Pro"/>
                <w:sz w:val="22"/>
                <w:szCs w:val="22"/>
              </w:rPr>
              <m:t>mis</m:t>
            </m:r>
          </m:sub>
        </m:sSub>
      </m:oMath>
      <w:r w:rsidRPr="00463734">
        <w:rPr>
          <w:rFonts w:ascii="Minion Pro" w:hAnsi="Minion Pro" w:cs="Minion Pro"/>
          <w:sz w:val="22"/>
          <w:szCs w:val="22"/>
        </w:rPr>
        <w:t xml:space="preserve"> are the resource conversion coefficients for the denial-of-service and misoperation of RTU caused by availability attacks and integrity attacks, respectively. </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C</m:t>
            </m:r>
          </m:e>
          <m:sub>
            <m:r>
              <m:rPr>
                <m:sty m:val="p"/>
              </m:rPr>
              <w:rPr>
                <w:rFonts w:ascii="Cambria Math" w:hAnsi="Cambria Math" w:cs="Minion Pro"/>
                <w:sz w:val="22"/>
                <w:szCs w:val="22"/>
              </w:rPr>
              <m:t>rej</m:t>
            </m:r>
          </m:sub>
        </m:sSub>
      </m:oMath>
      <w:r w:rsidRPr="00463734">
        <w:rPr>
          <w:rFonts w:ascii="Minion Pro" w:hAnsi="Minion Pro" w:cs="Minion Pro"/>
          <w:sz w:val="22"/>
          <w:szCs w:val="22"/>
        </w:rPr>
        <w:t xml:space="preserve"> and </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C</m:t>
            </m:r>
          </m:e>
          <m:sub>
            <m:r>
              <m:rPr>
                <m:sty m:val="p"/>
              </m:rPr>
              <w:rPr>
                <w:rFonts w:ascii="Cambria Math" w:hAnsi="Cambria Math" w:cs="Minion Pro"/>
                <w:sz w:val="22"/>
                <w:szCs w:val="22"/>
              </w:rPr>
              <m:t>mis</m:t>
            </m:r>
          </m:sub>
        </m:sSub>
      </m:oMath>
      <w:r w:rsidRPr="00463734">
        <w:rPr>
          <w:rFonts w:ascii="Minion Pro" w:hAnsi="Minion Pro" w:cs="Minion Pro"/>
          <w:sz w:val="22"/>
          <w:szCs w:val="22"/>
        </w:rPr>
        <w:t xml:space="preserve"> are the resource input coefficients for the attacker to disrupt the availability and integrity of the target, and </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F</m:t>
            </m:r>
          </m:e>
          <m:sub>
            <m:r>
              <m:rPr>
                <m:sty m:val="p"/>
              </m:rPr>
              <w:rPr>
                <w:rFonts w:ascii="Cambria Math" w:hAnsi="Cambria Math" w:cs="Minion Pro"/>
                <w:sz w:val="22"/>
                <w:szCs w:val="22"/>
              </w:rPr>
              <m:t>rej</m:t>
            </m:r>
          </m:sub>
        </m:sSub>
      </m:oMath>
      <w:r w:rsidRPr="00463734">
        <w:rPr>
          <w:rFonts w:ascii="Minion Pro" w:hAnsi="Minion Pro" w:cs="Minion Pro"/>
          <w:sz w:val="22"/>
          <w:szCs w:val="22"/>
        </w:rPr>
        <w:t xml:space="preserve"> and </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F</m:t>
            </m:r>
          </m:e>
          <m:sub>
            <m:r>
              <m:rPr>
                <m:sty m:val="p"/>
              </m:rPr>
              <w:rPr>
                <w:rFonts w:ascii="Cambria Math" w:hAnsi="Cambria Math" w:cs="Minion Pro"/>
                <w:sz w:val="22"/>
                <w:szCs w:val="22"/>
              </w:rPr>
              <m:t>mis</m:t>
            </m:r>
          </m:sub>
        </m:sSub>
      </m:oMath>
      <w:r w:rsidRPr="00463734">
        <w:rPr>
          <w:rFonts w:ascii="Minion Pro" w:hAnsi="Minion Pro" w:cs="Minion Pro"/>
          <w:sz w:val="22"/>
          <w:szCs w:val="22"/>
        </w:rPr>
        <w:t xml:space="preserve"> ∈ (0, 1] represent the degree of damage to the availability and integrity of the target caused by the input resources, that is, the probability that the attacker can successfully disrupt the availability and integrity of the target by inputting resources of </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C</m:t>
            </m:r>
          </m:e>
          <m:sub>
            <m:r>
              <m:rPr>
                <m:sty m:val="p"/>
              </m:rPr>
              <w:rPr>
                <w:rFonts w:ascii="Cambria Math" w:hAnsi="Cambria Math" w:cs="Minion Pro"/>
                <w:sz w:val="22"/>
                <w:szCs w:val="22"/>
              </w:rPr>
              <m:t>rej</m:t>
            </m:r>
          </m:sub>
        </m:sSub>
      </m:oMath>
      <w:r w:rsidRPr="00463734">
        <w:rPr>
          <w:rFonts w:ascii="Minion Pro" w:hAnsi="Minion Pro" w:cs="Minion Pro"/>
          <w:sz w:val="22"/>
          <w:szCs w:val="22"/>
        </w:rPr>
        <w:t xml:space="preserve"> and </w:t>
      </w:r>
      <m:oMath>
        <m:r>
          <m:rPr>
            <m:sty m:val="p"/>
          </m:rPr>
          <w:rPr>
            <w:rFonts w:ascii="Cambria Math" w:hAnsi="Cambria Math" w:cs="Minion Pro"/>
            <w:sz w:val="22"/>
            <w:szCs w:val="22"/>
          </w:rPr>
          <m:t>A</m:t>
        </m:r>
        <m:sSub>
          <m:sSubPr>
            <m:ctrlPr>
              <w:rPr>
                <w:rFonts w:ascii="Cambria Math" w:hAnsi="Cambria Math" w:cs="Minion Pro"/>
                <w:sz w:val="22"/>
                <w:szCs w:val="22"/>
              </w:rPr>
            </m:ctrlPr>
          </m:sSubPr>
          <m:e>
            <m:r>
              <m:rPr>
                <m:sty m:val="p"/>
              </m:rPr>
              <w:rPr>
                <w:rFonts w:ascii="Cambria Math" w:hAnsi="Cambria Math" w:cs="Minion Pro"/>
                <w:sz w:val="22"/>
                <w:szCs w:val="22"/>
              </w:rPr>
              <m:t>C</m:t>
            </m:r>
          </m:e>
          <m:sub>
            <m:r>
              <m:rPr>
                <m:sty m:val="p"/>
              </m:rPr>
              <w:rPr>
                <w:rFonts w:ascii="Cambria Math" w:hAnsi="Cambria Math" w:cs="Minion Pro"/>
                <w:sz w:val="22"/>
                <w:szCs w:val="22"/>
              </w:rPr>
              <m:t>mis</m:t>
            </m:r>
          </m:sub>
        </m:sSub>
      </m:oMath>
      <w:r w:rsidRPr="00463734">
        <w:rPr>
          <w:rFonts w:ascii="Minion Pro" w:hAnsi="Minion Pro" w:cs="Minion Pro"/>
          <w:sz w:val="22"/>
          <w:szCs w:val="22"/>
        </w:rPr>
        <w:t xml:space="preserve"> . </w:t>
      </w:r>
      <m:oMath>
        <m:sSubSup>
          <m:sSubSupPr>
            <m:ctrlPr>
              <w:rPr>
                <w:rFonts w:ascii="Cambria Math" w:hAnsi="Cambria Math" w:cs="Minion Pro"/>
                <w:sz w:val="22"/>
                <w:szCs w:val="22"/>
              </w:rPr>
            </m:ctrlPr>
          </m:sSubSupPr>
          <m:e>
            <m:r>
              <m:rPr>
                <m:sty m:val="p"/>
              </m:rPr>
              <w:rPr>
                <w:rFonts w:ascii="Cambria Math" w:hAnsi="Cambria Math" w:cs="Minion Pro"/>
                <w:sz w:val="22"/>
                <w:szCs w:val="22"/>
              </w:rPr>
              <m:t>β</m:t>
            </m:r>
          </m:e>
          <m:sub>
            <m:r>
              <m:rPr>
                <m:sty m:val="p"/>
              </m:rPr>
              <w:rPr>
                <w:rFonts w:ascii="Cambria Math" w:hAnsi="Cambria Math" w:cs="Minion Pro"/>
                <w:sz w:val="22"/>
                <w:szCs w:val="22"/>
              </w:rPr>
              <m:t>rej</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β</m:t>
            </m:r>
          </m:e>
          <m:sub>
            <m:r>
              <m:rPr>
                <m:sty m:val="p"/>
              </m:rPr>
              <w:rPr>
                <w:rFonts w:ascii="Cambria Math" w:hAnsi="Cambria Math" w:cs="Minion Pro"/>
                <w:sz w:val="22"/>
                <w:szCs w:val="22"/>
              </w:rPr>
              <m:t>mis</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are the defense resource coefficients for availability attacks and integrity attacks, which are determined by the adopted information security defense technologies. When </w:t>
      </w:r>
      <m:oMath>
        <m:sSubSup>
          <m:sSubSupPr>
            <m:ctrlPr>
              <w:rPr>
                <w:rFonts w:ascii="Cambria Math" w:hAnsi="Cambria Math" w:cs="Minion Pro"/>
                <w:sz w:val="22"/>
                <w:szCs w:val="22"/>
              </w:rPr>
            </m:ctrlPr>
          </m:sSubSupPr>
          <m:e>
            <m:r>
              <m:rPr>
                <m:sty m:val="p"/>
              </m:rPr>
              <w:rPr>
                <w:rFonts w:ascii="Cambria Math" w:hAnsi="Cambria Math" w:cs="Minion Pro"/>
                <w:sz w:val="22"/>
                <w:szCs w:val="22"/>
              </w:rPr>
              <m:t>β</m:t>
            </m:r>
          </m:e>
          <m:sub>
            <m:r>
              <m:rPr>
                <m:sty m:val="p"/>
              </m:rPr>
              <w:rPr>
                <w:rFonts w:ascii="Cambria Math" w:hAnsi="Cambria Math" w:cs="Minion Pro"/>
                <w:sz w:val="22"/>
                <w:szCs w:val="22"/>
              </w:rPr>
              <m:t>rej</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β</m:t>
            </m:r>
          </m:e>
          <m:sub>
            <m:r>
              <m:rPr>
                <m:sty m:val="p"/>
              </m:rPr>
              <w:rPr>
                <w:rFonts w:ascii="Cambria Math" w:hAnsi="Cambria Math" w:cs="Minion Pro"/>
                <w:sz w:val="22"/>
                <w:szCs w:val="22"/>
              </w:rPr>
              <m:t>mis</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are 0, it indicates that the adopted defense method is ineffective; when their </w:t>
      </w:r>
      <w:r w:rsidRPr="00463734">
        <w:rPr>
          <w:rFonts w:ascii="Minion Pro" w:hAnsi="Minion Pro" w:cs="Minion Pro"/>
          <w:sz w:val="22"/>
          <w:szCs w:val="22"/>
        </w:rPr>
        <w:lastRenderedPageBreak/>
        <w:t xml:space="preserve">values are infinity, it indicates that the information attack can be completely defended. Set </w:t>
      </w:r>
      <m:oMath>
        <m:sSubSup>
          <m:sSubSupPr>
            <m:ctrlPr>
              <w:rPr>
                <w:rFonts w:ascii="Cambria Math" w:hAnsi="Cambria Math" w:cs="Minion Pro"/>
                <w:sz w:val="22"/>
                <w:szCs w:val="22"/>
              </w:rPr>
            </m:ctrlPr>
          </m:sSubSupPr>
          <m:e>
            <m:r>
              <m:rPr>
                <m:sty m:val="p"/>
              </m:rPr>
              <w:rPr>
                <w:rFonts w:ascii="Cambria Math" w:hAnsi="Cambria Math" w:cs="Minion Pro"/>
                <w:sz w:val="22"/>
                <w:szCs w:val="22"/>
              </w:rPr>
              <m:t>β</m:t>
            </m:r>
          </m:e>
          <m:sub>
            <m:r>
              <m:rPr>
                <m:sty m:val="p"/>
              </m:rPr>
              <w:rPr>
                <w:rFonts w:ascii="Cambria Math" w:hAnsi="Cambria Math" w:cs="Minion Pro"/>
                <w:sz w:val="22"/>
                <w:szCs w:val="22"/>
              </w:rPr>
              <m:t>rej</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β</m:t>
            </m:r>
          </m:e>
          <m:sub>
            <m:r>
              <m:rPr>
                <m:sty m:val="p"/>
              </m:rPr>
              <w:rPr>
                <w:rFonts w:ascii="Cambria Math" w:hAnsi="Cambria Math" w:cs="Minion Pro"/>
                <w:sz w:val="22"/>
                <w:szCs w:val="22"/>
              </w:rPr>
              <m:t>mis</m:t>
            </m:r>
          </m:sub>
          <m:sup>
            <m:r>
              <m:rPr>
                <m:sty m:val="p"/>
              </m:rPr>
              <w:rPr>
                <w:rFonts w:ascii="Cambria Math" w:hAnsi="Cambria Math" w:cs="Minion Pro"/>
                <w:sz w:val="22"/>
                <w:szCs w:val="22"/>
              </w:rPr>
              <m:t>D</m:t>
            </m:r>
          </m:sup>
        </m:sSubSup>
      </m:oMath>
      <w:r w:rsidRPr="00463734">
        <w:rPr>
          <w:rFonts w:ascii="Minion Pro" w:hAnsi="Minion Pro" w:cs="Minion Pro"/>
          <w:sz w:val="22"/>
          <w:szCs w:val="22"/>
        </w:rPr>
        <w:t xml:space="preserve"> as infinite constants each; that is, the adopted information security technology can completely prevent the corresponding information attack. In Equations </w:t>
      </w:r>
      <w:r w:rsidRPr="00463734">
        <w:rPr>
          <w:rFonts w:ascii="Minion Pro" w:hAnsi="Minion Pro" w:cs="Minion Pro" w:hint="eastAsia"/>
          <w:sz w:val="22"/>
          <w:szCs w:val="22"/>
        </w:rPr>
        <w:t>S61</w:t>
      </w:r>
      <w:r w:rsidRPr="00463734">
        <w:rPr>
          <w:rFonts w:ascii="Minion Pro" w:hAnsi="Minion Pro" w:cs="Minion Pro"/>
          <w:sz w:val="22"/>
          <w:szCs w:val="22"/>
        </w:rPr>
        <w:t xml:space="preserve"> and </w:t>
      </w:r>
      <w:r w:rsidRPr="00463734">
        <w:rPr>
          <w:rFonts w:ascii="Minion Pro" w:hAnsi="Minion Pro" w:cs="Minion Pro" w:hint="eastAsia"/>
          <w:sz w:val="22"/>
          <w:szCs w:val="22"/>
        </w:rPr>
        <w:t>S62</w:t>
      </w:r>
      <w:r w:rsidRPr="00463734">
        <w:rPr>
          <w:rFonts w:ascii="Minion Pro" w:hAnsi="Minion Pro" w:cs="Minion Pro"/>
          <w:sz w:val="22"/>
          <w:szCs w:val="22"/>
        </w:rPr>
        <w:t>, the numerator represents the influence of the attacker’s input resources on the failure probability caused by the attack; the denominator represents the influence of the defender's input resources on the failure probability.</w:t>
      </w:r>
    </w:p>
    <w:p w14:paraId="059E3A2E"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 xml:space="preserve">By using equations </w:t>
      </w:r>
      <w:r w:rsidRPr="00463734">
        <w:rPr>
          <w:rFonts w:ascii="Minion Pro" w:hAnsi="Minion Pro" w:cs="Minion Pro" w:hint="eastAsia"/>
          <w:sz w:val="22"/>
          <w:szCs w:val="22"/>
        </w:rPr>
        <w:t>S61</w:t>
      </w:r>
      <w:r w:rsidRPr="00463734">
        <w:rPr>
          <w:rFonts w:ascii="Minion Pro" w:hAnsi="Minion Pro" w:cs="Minion Pro"/>
          <w:sz w:val="22"/>
          <w:szCs w:val="22"/>
        </w:rPr>
        <w:t xml:space="preserve"> and </w:t>
      </w:r>
      <w:r w:rsidRPr="00463734">
        <w:rPr>
          <w:rFonts w:ascii="Minion Pro" w:hAnsi="Minion Pro" w:cs="Minion Pro" w:hint="eastAsia"/>
          <w:sz w:val="22"/>
          <w:szCs w:val="22"/>
        </w:rPr>
        <w:t>S62</w:t>
      </w:r>
      <w:r w:rsidRPr="00463734">
        <w:rPr>
          <w:rFonts w:ascii="Minion Pro" w:hAnsi="Minion Pro" w:cs="Minion Pro"/>
          <w:sz w:val="22"/>
          <w:szCs w:val="22"/>
        </w:rPr>
        <w:t xml:space="preserve">, the variables in the risk assessment of node load are transformed from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rej</m:t>
            </m:r>
          </m:sup>
        </m:sSubSup>
      </m:oMath>
      <w:r w:rsidRPr="00463734">
        <w:rPr>
          <w:rFonts w:ascii="Minion Pro" w:hAnsi="Minion Pro" w:cs="Minion Pro"/>
          <w:sz w:val="22"/>
          <w:szCs w:val="22"/>
        </w:rPr>
        <w:t xml:space="preserve"> and </w:t>
      </w:r>
      <m:oMath>
        <m:sSubSup>
          <m:sSubSupPr>
            <m:ctrlPr>
              <w:rPr>
                <w:rFonts w:ascii="Cambria Math" w:hAnsi="Cambria Math" w:cs="Minion Pro"/>
                <w:sz w:val="22"/>
                <w:szCs w:val="22"/>
              </w:rPr>
            </m:ctrlPr>
          </m:sSubSupPr>
          <m:e>
            <m:r>
              <m:rPr>
                <m:sty m:val="p"/>
              </m:rPr>
              <w:rPr>
                <w:rFonts w:ascii="Cambria Math" w:hAnsi="Cambria Math" w:cs="Minion Pro"/>
                <w:sz w:val="22"/>
                <w:szCs w:val="22"/>
              </w:rPr>
              <m:t>P</m:t>
            </m:r>
          </m:e>
          <m:sub>
            <m:r>
              <m:rPr>
                <m:sty m:val="p"/>
              </m:rPr>
              <w:rPr>
                <w:rFonts w:ascii="Cambria Math" w:hAnsi="Cambria Math" w:cs="Minion Pro"/>
                <w:sz w:val="22"/>
                <w:szCs w:val="22"/>
              </w:rPr>
              <m:t>S</m:t>
            </m:r>
          </m:sub>
          <m:sup>
            <m:r>
              <m:rPr>
                <m:sty m:val="p"/>
              </m:rPr>
              <w:rPr>
                <w:rFonts w:ascii="Cambria Math" w:hAnsi="Cambria Math" w:cs="Minion Pro"/>
                <w:sz w:val="22"/>
                <w:szCs w:val="22"/>
              </w:rPr>
              <m:t>mis</m:t>
            </m:r>
          </m:sup>
        </m:sSubSup>
      </m:oMath>
      <w:r w:rsidRPr="00463734">
        <w:rPr>
          <w:rFonts w:ascii="Minion Pro" w:hAnsi="Minion Pro" w:cs="Minion Pro"/>
          <w:sz w:val="22"/>
          <w:szCs w:val="22"/>
        </w:rPr>
        <w:t xml:space="preserve"> to the attack resources invested by the attacker for the device </w:t>
      </w:r>
      <m:oMath>
        <m:sSubSup>
          <m:sSubSupPr>
            <m:ctrlPr>
              <w:rPr>
                <w:rFonts w:ascii="Cambria Math" w:hAnsi="Cambria Math" w:cs="Minion Pro"/>
                <w:sz w:val="22"/>
                <w:szCs w:val="22"/>
              </w:rPr>
            </m:ctrlPr>
          </m:sSubSupPr>
          <m:e>
            <m:r>
              <m:rPr>
                <m:sty m:val="p"/>
              </m:rPr>
              <w:rPr>
                <w:rFonts w:ascii="Cambria Math" w:hAnsi="Cambria Math" w:cs="Minion Pro"/>
                <w:sz w:val="22"/>
                <w:szCs w:val="22"/>
              </w:rPr>
              <m:t>s</m:t>
            </m:r>
          </m:e>
          <m:sub>
            <m:r>
              <m:rPr>
                <m:sty m:val="p"/>
              </m:rPr>
              <w:rPr>
                <w:rFonts w:ascii="Cambria Math" w:hAnsi="Cambria Math" w:cs="Minion Pro"/>
                <w:sz w:val="22"/>
                <w:szCs w:val="22"/>
              </w:rPr>
              <m:t>j,k</m:t>
            </m:r>
          </m:sub>
          <m:sup>
            <m:r>
              <m:rPr>
                <m:sty m:val="p"/>
              </m:rPr>
              <w:rPr>
                <w:rFonts w:ascii="Cambria Math" w:hAnsi="Cambria Math" w:cs="Minion Pro"/>
                <w:sz w:val="22"/>
                <w:szCs w:val="22"/>
              </w:rPr>
              <m:t>A</m:t>
            </m:r>
          </m:sup>
        </m:sSubSup>
      </m:oMath>
      <w:r w:rsidRPr="00463734">
        <w:rPr>
          <w:rFonts w:ascii="Minion Pro" w:hAnsi="Minion Pro" w:cs="Minion Pro"/>
          <w:sz w:val="22"/>
          <w:szCs w:val="22"/>
        </w:rPr>
        <w:t xml:space="preserve"> and whether the defender configures the device for security </w:t>
      </w:r>
      <m:oMath>
        <m:sSubSup>
          <m:sSubSupPr>
            <m:ctrlPr>
              <w:rPr>
                <w:rFonts w:ascii="Cambria Math" w:hAnsi="Cambria Math" w:cs="Minion Pro"/>
                <w:sz w:val="22"/>
                <w:szCs w:val="22"/>
              </w:rPr>
            </m:ctrlPr>
          </m:sSubSupPr>
          <m:e>
            <m:r>
              <m:rPr>
                <m:sty m:val="p"/>
              </m:rPr>
              <w:rPr>
                <w:rFonts w:ascii="Cambria Math" w:hAnsi="Cambria Math" w:cs="Minion Pro"/>
                <w:sz w:val="22"/>
                <w:szCs w:val="22"/>
              </w:rPr>
              <m:t>σ</m:t>
            </m:r>
          </m:e>
          <m:sub>
            <m:r>
              <m:rPr>
                <m:sty m:val="p"/>
              </m:rPr>
              <w:rPr>
                <w:rFonts w:ascii="Cambria Math" w:hAnsi="Cambria Math" w:cs="Minion Pro"/>
                <w:sz w:val="22"/>
                <w:szCs w:val="22"/>
              </w:rPr>
              <m:t>j,k</m:t>
            </m:r>
          </m:sub>
          <m:sup>
            <m:r>
              <m:rPr>
                <m:sty m:val="p"/>
              </m:rPr>
              <w:rPr>
                <w:rFonts w:ascii="Cambria Math" w:hAnsi="Cambria Math" w:cs="Minion Pro"/>
                <w:sz w:val="22"/>
                <w:szCs w:val="22"/>
              </w:rPr>
              <m:t>D</m:t>
            </m:r>
          </m:sup>
        </m:sSubSup>
      </m:oMath>
      <w:r w:rsidRPr="00463734">
        <w:rPr>
          <w:rFonts w:ascii="Minion Pro" w:hAnsi="Minion Pro" w:cs="Minion Pro"/>
          <w:sz w:val="22"/>
          <w:szCs w:val="22"/>
        </w:rPr>
        <w:t>. This enables the strategy choices of the attacker and the defender to be incorporated into the optimization model.</w:t>
      </w:r>
    </w:p>
    <w:p w14:paraId="222A9AE7"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2.3.2 </w:t>
      </w:r>
      <w:r w:rsidRPr="00463734">
        <w:rPr>
          <w:rFonts w:cs="Minion Pro"/>
          <w:b w:val="0"/>
          <w:bCs/>
          <w:i/>
          <w:iCs/>
          <w:color w:val="auto"/>
          <w:lang w:eastAsia="zh-CN"/>
        </w:rPr>
        <w:t>Establishment and Solution of Dynamic Offensive-Defensive Game Model</w:t>
      </w:r>
    </w:p>
    <w:p w14:paraId="57855F7E"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bCs/>
          <w:snapToGrid w:val="0"/>
          <w:kern w:val="0"/>
          <w:sz w:val="22"/>
          <w:szCs w:val="22"/>
          <w:lang w:bidi="en-US"/>
        </w:rPr>
        <w:t xml:space="preserve">The Stackelberg game (leader-follower game) was first proposed by a German economist in 1934, describing the mutual influence behavior of the leader and the follower in sequential decision-making. In the scenario of this article, the behaviors of the defender and the attacker exhibit significant game characteristics: both sides adjust their own strategies based on the opponent's strategy to maximize their benefits, and there is a clear temporal sequence. The defender usually allocates resources during the construction stage of the distribution network, while the attacker selects attack methods based on the defense strategy during the operation stage. The defender has the initiative. Therefore, in this section, the Stackelberg game is used to describe the attack and defense behaviors, with the defender as the leader and the attacker as the follower. As shown in </w:t>
      </w:r>
      <w:r w:rsidRPr="00463734">
        <w:rPr>
          <w:rFonts w:ascii="Minion Pro" w:hAnsi="Minion Pro" w:cs="Minion Pro" w:hint="eastAsia"/>
          <w:bCs/>
          <w:snapToGrid w:val="0"/>
          <w:kern w:val="0"/>
          <w:sz w:val="22"/>
          <w:szCs w:val="22"/>
          <w:lang w:bidi="en-US"/>
        </w:rPr>
        <w:t>Figure S16</w:t>
      </w:r>
      <w:r w:rsidRPr="00463734">
        <w:rPr>
          <w:rFonts w:ascii="Minion Pro" w:hAnsi="Minion Pro" w:cs="Minion Pro"/>
          <w:bCs/>
          <w:snapToGrid w:val="0"/>
          <w:kern w:val="0"/>
          <w:sz w:val="22"/>
          <w:szCs w:val="22"/>
          <w:lang w:bidi="en-US"/>
        </w:rPr>
        <w:t xml:space="preserve">, the attacker selects the most harmful attack strategy based on the current defense configuration, </w:t>
      </w:r>
      <w:r w:rsidRPr="00463734">
        <w:rPr>
          <w:rFonts w:ascii="Minion Pro" w:hAnsi="Minion Pro" w:cs="Minion Pro"/>
          <w:sz w:val="22"/>
          <w:szCs w:val="22"/>
        </w:rPr>
        <w:t>while the defender configures the RTU at the weak points to reduce the system risk under information attack.</w:t>
      </w:r>
    </w:p>
    <w:p w14:paraId="32AD3ADE"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3900E872" wp14:editId="72E23B72">
            <wp:extent cx="3959860" cy="1418590"/>
            <wp:effectExtent l="0" t="0" r="2540" b="3810"/>
            <wp:docPr id="2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8"/>
                    <pic:cNvPicPr>
                      <a:picLocks noChangeAspect="1"/>
                    </pic:cNvPicPr>
                  </pic:nvPicPr>
                  <pic:blipFill>
                    <a:blip r:embed="rId66"/>
                    <a:stretch>
                      <a:fillRect/>
                    </a:stretch>
                  </pic:blipFill>
                  <pic:spPr>
                    <a:xfrm>
                      <a:off x="0" y="0"/>
                      <a:ext cx="3959860" cy="1418590"/>
                    </a:xfrm>
                    <a:prstGeom prst="rect">
                      <a:avLst/>
                    </a:prstGeom>
                    <a:noFill/>
                    <a:ln>
                      <a:noFill/>
                    </a:ln>
                  </pic:spPr>
                </pic:pic>
              </a:graphicData>
            </a:graphic>
          </wp:inline>
        </w:drawing>
      </w:r>
    </w:p>
    <w:p w14:paraId="3AB8252D"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Interactions between attacker and defenders</w:t>
      </w:r>
    </w:p>
    <w:p w14:paraId="4576F09C"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The strategic choices between defenders and attackers constitute a dynamic offensive-defense game problem, which can be modeled using a two-level planning model. The game process is as follows: The defender first formulates a defense resource allocation strategy and implements security configurations for some RTUs; subsequently, the attacker, based on the knowledge of the defender's strategy, formulates an attack resource allocation strategy. For the scenario where CPDS is under attack, this section establishes the following two-level mathematical programming model for dynamic offensive-defense games:</w:t>
      </w:r>
    </w:p>
    <w:p w14:paraId="7EF97286"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lastRenderedPageBreak/>
        <w:tab/>
      </w:r>
      <m:oMath>
        <m:m>
          <m:mPr>
            <m:plcHide m:val="1"/>
            <m:mcs>
              <m:mc>
                <m:mcPr>
                  <m:count m:val="2"/>
                  <m:mcJc m:val="center"/>
                </m:mcPr>
              </m:mc>
            </m:mcs>
            <m:ctrlPr>
              <w:rPr>
                <w:rFonts w:ascii="Cambria Math" w:hAnsi="Cambria Math" w:cs="Minion Pro"/>
                <w:sz w:val="22"/>
              </w:rPr>
            </m:ctrlPr>
          </m:mPr>
          <m:mr>
            <m:e>
              <m:limLow>
                <m:limLowPr>
                  <m:ctrlPr>
                    <w:rPr>
                      <w:rFonts w:ascii="Cambria Math" w:hAnsi="Cambria Math" w:cs="Minion Pro"/>
                      <w:sz w:val="22"/>
                    </w:rPr>
                  </m:ctrlPr>
                </m:limLowPr>
                <m:e>
                  <m:r>
                    <m:rPr>
                      <m:sty m:val="p"/>
                    </m:rPr>
                    <w:rPr>
                      <w:rFonts w:ascii="Cambria Math" w:hAnsi="Cambria Math" w:cs="Minion Pro"/>
                      <w:sz w:val="22"/>
                    </w:rPr>
                    <m:t>min</m:t>
                  </m:r>
                </m:e>
                <m:lim>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lim>
              </m:limLow>
            </m:e>
            <m:e>
              <m:r>
                <w:rPr>
                  <w:rFonts w:ascii="Cambria Math" w:hAnsi="Cambria Math" w:cs="Minion Pro"/>
                  <w:sz w:val="22"/>
                </w:rPr>
                <m:t>R(</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A*</m:t>
                  </m:r>
                </m:sup>
              </m:sSup>
              <m:r>
                <w:rPr>
                  <w:rFonts w:ascii="Cambria Math" w:hAnsi="Cambria Math" w:cs="Minion Pro"/>
                  <w:sz w:val="22"/>
                </w:rPr>
                <m:t>)</m:t>
              </m:r>
            </m:e>
          </m:mr>
          <m:mr>
            <m:e>
              <m:r>
                <w:rPr>
                  <w:rFonts w:ascii="Cambria Math" w:hAnsi="Cambria Math" w:cs="Minion Pro"/>
                  <w:sz w:val="22"/>
                </w:rPr>
                <m:t>s.t.</m:t>
              </m:r>
            </m:e>
            <m:e>
              <m:sSup>
                <m:sSupPr>
                  <m:ctrlPr>
                    <w:rPr>
                      <w:rFonts w:ascii="Cambria Math" w:hAnsi="Cambria Math" w:cs="Minion Pro"/>
                      <w:sz w:val="22"/>
                    </w:rPr>
                  </m:ctrlPr>
                </m:sSupPr>
                <m:e>
                  <m:r>
                    <w:rPr>
                      <w:rFonts w:ascii="Cambria Math" w:hAnsi="Cambria Math" w:cs="Minion Pro"/>
                      <w:sz w:val="22"/>
                    </w:rPr>
                    <m:t>h</m:t>
                  </m:r>
                </m:e>
                <m:sup>
                  <m:r>
                    <w:rPr>
                      <w:rFonts w:ascii="Cambria Math" w:hAnsi="Cambria Math" w:cs="Minion Pro"/>
                      <w:sz w:val="22"/>
                    </w:rPr>
                    <m:t>D</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S</m:t>
                  </m:r>
                </m:e>
                <m:sup>
                  <m:r>
                    <w:rPr>
                      <w:rFonts w:ascii="Cambria Math" w:hAnsi="Cambria Math" w:cs="Minion Pro"/>
                      <w:sz w:val="22"/>
                    </w:rPr>
                    <m:t>D</m:t>
                  </m:r>
                </m:sup>
              </m:sSup>
              <m:r>
                <w:rPr>
                  <w:rFonts w:ascii="Cambria Math" w:hAnsi="Cambria Math" w:cs="Minion Pro"/>
                  <w:sz w:val="22"/>
                </w:rPr>
                <m:t>)⩾0</m:t>
              </m:r>
            </m:e>
          </m:mr>
          <m:mr>
            <m:e/>
            <m:e>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A</m:t>
                  </m:r>
                </m:sup>
              </m:sSup>
              <m:r>
                <w:rPr>
                  <w:rFonts w:ascii="Cambria Math" w:hAnsi="Cambria Math" w:cs="Minion Pro"/>
                  <w:sz w:val="22"/>
                </w:rPr>
                <m:t>=</m:t>
              </m:r>
              <m:func>
                <m:funcPr>
                  <m:ctrlPr>
                    <w:rPr>
                      <w:rFonts w:ascii="Cambria Math" w:hAnsi="Cambria Math" w:cs="Minion Pro"/>
                      <w:sz w:val="22"/>
                    </w:rPr>
                  </m:ctrlPr>
                </m:funcPr>
                <m:fName>
                  <m:r>
                    <w:rPr>
                      <w:rFonts w:ascii="Cambria Math" w:hAnsi="Cambria Math" w:cs="Minion Pro"/>
                      <w:sz w:val="22"/>
                    </w:rPr>
                    <m:t>arg</m:t>
                  </m:r>
                </m:fName>
                <m:e>
                  <m:limLow>
                    <m:limLowPr>
                      <m:ctrlPr>
                        <w:rPr>
                          <w:rFonts w:ascii="Cambria Math" w:hAnsi="Cambria Math" w:cs="Minion Pro"/>
                          <w:sz w:val="22"/>
                        </w:rPr>
                      </m:ctrlPr>
                    </m:limLowPr>
                    <m:e>
                      <m:r>
                        <m:rPr>
                          <m:sty m:val="p"/>
                        </m:rPr>
                        <w:rPr>
                          <w:rFonts w:ascii="Cambria Math" w:hAnsi="Cambria Math" w:cs="Minion Pro"/>
                          <w:sz w:val="22"/>
                        </w:rPr>
                        <m:t>max</m:t>
                      </m:r>
                    </m:e>
                    <m:lim>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A</m:t>
                          </m:r>
                        </m:sup>
                      </m:sSup>
                    </m:lim>
                  </m:limLow>
                </m:e>
              </m:func>
              <m:r>
                <w:rPr>
                  <w:rFonts w:ascii="Cambria Math" w:hAnsi="Cambria Math" w:cs="Minion Pro"/>
                  <w:sz w:val="22"/>
                </w:rPr>
                <m:t>R(</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A</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r>
                <w:rPr>
                  <w:rFonts w:ascii="Cambria Math" w:hAnsi="Cambria Math" w:cs="Minion Pro"/>
                  <w:sz w:val="22"/>
                </w:rPr>
                <m:t>)</m:t>
              </m:r>
            </m:e>
          </m:mr>
          <m:mr>
            <m:e>
              <m:r>
                <w:rPr>
                  <w:rFonts w:ascii="Cambria Math" w:hAnsi="Cambria Math" w:cs="Minion Pro"/>
                  <w:sz w:val="22"/>
                </w:rPr>
                <m:t>s.t.</m:t>
              </m:r>
            </m:e>
            <m:e>
              <m:sSup>
                <m:sSupPr>
                  <m:ctrlPr>
                    <w:rPr>
                      <w:rFonts w:ascii="Cambria Math" w:hAnsi="Cambria Math" w:cs="Minion Pro"/>
                      <w:sz w:val="22"/>
                    </w:rPr>
                  </m:ctrlPr>
                </m:sSupPr>
                <m:e>
                  <m:r>
                    <w:rPr>
                      <w:rFonts w:ascii="Cambria Math" w:hAnsi="Cambria Math" w:cs="Minion Pro"/>
                      <w:sz w:val="22"/>
                    </w:rPr>
                    <m:t>h</m:t>
                  </m:r>
                </m:e>
                <m:sup>
                  <m:r>
                    <w:rPr>
                      <w:rFonts w:ascii="Cambria Math" w:hAnsi="Cambria Math" w:cs="Minion Pro"/>
                      <w:sz w:val="22"/>
                    </w:rPr>
                    <m:t>A</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A</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S</m:t>
                  </m:r>
                </m:e>
                <m:sup>
                  <m:r>
                    <w:rPr>
                      <w:rFonts w:ascii="Cambria Math" w:hAnsi="Cambria Math" w:cs="Minion Pro"/>
                      <w:sz w:val="22"/>
                    </w:rPr>
                    <m:t>A</m:t>
                  </m:r>
                </m:sup>
              </m:sSup>
              <m:r>
                <w:rPr>
                  <w:rFonts w:ascii="Cambria Math" w:hAnsi="Cambria Math" w:cs="Minion Pro"/>
                  <w:sz w:val="22"/>
                </w:rPr>
                <m:t>)⩾0</m:t>
              </m:r>
            </m:e>
          </m:mr>
        </m:m>
      </m:oMath>
      <w:r w:rsidRPr="00463734">
        <w:rPr>
          <w:rFonts w:ascii="Minion Pro" w:hAnsi="Minion Pro" w:cs="Minion Pro"/>
          <w:sz w:val="22"/>
        </w:rPr>
        <w:tab/>
      </w:r>
      <w:r w:rsidRPr="00463734">
        <w:rPr>
          <w:rFonts w:ascii="Minion Pro" w:hAnsi="Minion Pro" w:cs="Minion Pro" w:hint="eastAsia"/>
          <w:sz w:val="22"/>
        </w:rPr>
        <w:t>(S63)</w:t>
      </w:r>
    </w:p>
    <w:p w14:paraId="42AB876D" w14:textId="05FCB91F" w:rsidR="00055865" w:rsidRPr="00463734" w:rsidRDefault="00000000">
      <w:pPr>
        <w:spacing w:after="60" w:line="240" w:lineRule="atLeast"/>
        <w:ind w:firstLine="420"/>
        <w:rPr>
          <w:rFonts w:ascii="Minion Pro" w:hAnsi="Minion Pro" w:cs="Minion Pro"/>
          <w:sz w:val="22"/>
          <w:szCs w:val="22"/>
        </w:rPr>
      </w:pPr>
      <w:r w:rsidRPr="00463734">
        <w:rPr>
          <w:rFonts w:ascii="Minion Pro" w:hAnsi="Minion Pro" w:cs="Minion Pro"/>
          <w:sz w:val="22"/>
          <w:szCs w:val="22"/>
        </w:rPr>
        <w:t>In the formula: h</w:t>
      </w:r>
      <w:r w:rsidRPr="00463734">
        <w:rPr>
          <w:rFonts w:ascii="Minion Pro" w:hAnsi="Minion Pro" w:cs="Minion Pro"/>
          <w:sz w:val="22"/>
          <w:szCs w:val="22"/>
          <w:vertAlign w:val="superscript"/>
        </w:rPr>
        <w:t>D</w:t>
      </w:r>
      <w:r w:rsidRPr="00463734">
        <w:rPr>
          <w:rFonts w:ascii="Minion Pro" w:hAnsi="Minion Pro" w:cs="Minion Pro"/>
          <w:sz w:val="22"/>
          <w:szCs w:val="22"/>
        </w:rPr>
        <w:t xml:space="preserve"> and h</w:t>
      </w:r>
      <w:r w:rsidRPr="00463734">
        <w:rPr>
          <w:rFonts w:ascii="Minion Pro" w:hAnsi="Minion Pro" w:cs="Minion Pro"/>
          <w:sz w:val="22"/>
          <w:szCs w:val="22"/>
          <w:vertAlign w:val="superscript"/>
        </w:rPr>
        <w:t>A</w:t>
      </w:r>
      <w:r w:rsidRPr="00463734">
        <w:rPr>
          <w:rFonts w:ascii="Minion Pro" w:hAnsi="Minion Pro" w:cs="Minion Pro"/>
          <w:sz w:val="22"/>
          <w:szCs w:val="22"/>
        </w:rPr>
        <w:t xml:space="preserve"> represent the constraints of the upper-level and lower-level planning models respectively; R represents the system risk, and the risk values under the attack strategy c</w:t>
      </w:r>
      <w:r w:rsidRPr="00463734">
        <w:rPr>
          <w:rFonts w:ascii="Minion Pro" w:hAnsi="Minion Pro" w:cs="Minion Pro"/>
          <w:sz w:val="22"/>
          <w:szCs w:val="22"/>
          <w:vertAlign w:val="superscript"/>
        </w:rPr>
        <w:t>A</w:t>
      </w:r>
      <w:r w:rsidRPr="00463734">
        <w:rPr>
          <w:rFonts w:ascii="Minion Pro" w:hAnsi="Minion Pro" w:cs="Minion Pro"/>
          <w:sz w:val="22"/>
          <w:szCs w:val="22"/>
        </w:rPr>
        <w:t xml:space="preserve"> and defense strategy c</w:t>
      </w:r>
      <w:r w:rsidRPr="00463734">
        <w:rPr>
          <w:rFonts w:ascii="Minion Pro" w:hAnsi="Minion Pro" w:cs="Minion Pro"/>
          <w:sz w:val="22"/>
          <w:szCs w:val="22"/>
          <w:vertAlign w:val="superscript"/>
        </w:rPr>
        <w:t>D</w:t>
      </w:r>
      <w:r w:rsidRPr="00463734">
        <w:rPr>
          <w:rFonts w:ascii="Minion Pro" w:hAnsi="Minion Pro" w:cs="Minion Pro"/>
          <w:sz w:val="22"/>
          <w:szCs w:val="22"/>
        </w:rPr>
        <w:t xml:space="preserve"> can be calculated according to Section 4.2 and Section 4.</w:t>
      </w:r>
      <w:r w:rsidRPr="00463734">
        <w:rPr>
          <w:rFonts w:ascii="Minion Pro" w:hAnsi="Minion Pro" w:cs="Minion Pro" w:hint="eastAsia"/>
          <w:sz w:val="22"/>
          <w:szCs w:val="22"/>
        </w:rPr>
        <w:t>3</w:t>
      </w:r>
      <w:r w:rsidRPr="00463734">
        <w:rPr>
          <w:rFonts w:ascii="Minion Pro" w:hAnsi="Minion Pro" w:cs="Minion Pro"/>
          <w:sz w:val="22"/>
          <w:szCs w:val="22"/>
        </w:rPr>
        <w:t>; the superscript * indicates the optimal solution.</w:t>
      </w:r>
    </w:p>
    <w:p w14:paraId="4977271B"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In the upper-level model, the defenders formulate the defense resource allocation strategy with the goal of minimizing the expected value of system risk; in the lower-level model, the attackers, based on the known defense strategy, formulate the attack strategy with the goal of maximizing the expected risk. Equation </w:t>
      </w:r>
      <w:r w:rsidRPr="00463734">
        <w:rPr>
          <w:rFonts w:eastAsia="宋体" w:cs="Minion Pro" w:hint="eastAsia"/>
          <w:bCs/>
          <w:color w:val="auto"/>
          <w:lang w:eastAsia="zh-CN"/>
        </w:rPr>
        <w:t>S63</w:t>
      </w:r>
      <w:r w:rsidRPr="00463734">
        <w:rPr>
          <w:rFonts w:eastAsia="宋体" w:cs="Minion Pro"/>
          <w:bCs/>
          <w:color w:val="auto"/>
          <w:lang w:eastAsia="zh-CN"/>
        </w:rPr>
        <w:t xml:space="preserve"> indicates that the lower-level optimization variables change with the upper-level variables and inversely affect the upper-level solution.</w:t>
      </w:r>
    </w:p>
    <w:p w14:paraId="7B240DB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hierarchical iterative algorithm is an iterative optimization method suitable for solving bilevel programming problems. It decomposes the original problem into two interrelated single-level problems and iteratively solves them in sequence, making it an ideal approach for solving complex bilevel programming problems. In this section, this algorithm is used to solve the proposed bilevel programming model: 1) Upper-level planning: Solving the defense resource allocation based on the attacker's strategy, and the obtained risk value is the lower bound of the original problem; 2) Lower-level planning: Solving the most severe attack strategy based on the defense configuration, and the obtained solution is the upper bound of the original problem. The upper-level optimization problem can be expressed as the defender optimizing the allocation of defense resources after obtaining the attack strategy:</w:t>
      </w:r>
    </w:p>
    <w:p w14:paraId="312F6705"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m>
          <m:mPr>
            <m:plcHide m:val="1"/>
            <m:mcs>
              <m:mc>
                <m:mcPr>
                  <m:count m:val="3"/>
                  <m:mcJc m:val="center"/>
                </m:mcPr>
              </m:mc>
            </m:mcs>
            <m:ctrlPr>
              <w:rPr>
                <w:rFonts w:ascii="Cambria Math" w:hAnsi="Cambria Math" w:cs="Minion Pro"/>
                <w:sz w:val="22"/>
              </w:rPr>
            </m:ctrlPr>
          </m:mPr>
          <m:mr>
            <m:e>
              <m:r>
                <w:rPr>
                  <w:rFonts w:ascii="Cambria Math" w:hAnsi="Cambria Math" w:cs="Minion Pro"/>
                  <w:sz w:val="22"/>
                </w:rPr>
                <m:t>(</m:t>
              </m:r>
              <m:r>
                <m:rPr>
                  <m:sty m:val="p"/>
                </m:rPr>
                <w:rPr>
                  <w:rFonts w:ascii="Cambria Math" w:hAnsi="Cambria Math" w:cs="Minion Pro"/>
                  <w:sz w:val="22"/>
                </w:rPr>
                <m:t>Leader</m:t>
              </m:r>
              <m:r>
                <w:rPr>
                  <w:rFonts w:ascii="Cambria Math" w:hAnsi="Cambria Math" w:cs="Minion Pro"/>
                  <w:sz w:val="22"/>
                </w:rPr>
                <m:t>)</m:t>
              </m:r>
            </m:e>
            <m:e>
              <m:func>
                <m:funcPr>
                  <m:ctrlPr>
                    <w:rPr>
                      <w:rFonts w:ascii="Cambria Math" w:hAnsi="Cambria Math" w:cs="Minion Pro"/>
                      <w:sz w:val="22"/>
                    </w:rPr>
                  </m:ctrlPr>
                </m:funcPr>
                <m:fName>
                  <m:limLow>
                    <m:limLowPr>
                      <m:ctrlPr>
                        <w:rPr>
                          <w:rFonts w:ascii="Cambria Math" w:hAnsi="Cambria Math" w:cs="Minion Pro"/>
                          <w:sz w:val="22"/>
                        </w:rPr>
                      </m:ctrlPr>
                    </m:limLowPr>
                    <m:e>
                      <m:r>
                        <m:rPr>
                          <m:sty m:val="p"/>
                        </m:rPr>
                        <w:rPr>
                          <w:rFonts w:ascii="Cambria Math" w:hAnsi="Cambria Math" w:cs="Minion Pro"/>
                          <w:sz w:val="22"/>
                        </w:rPr>
                        <m:t>min</m:t>
                      </m:r>
                    </m:e>
                    <m:lim>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lim>
                  </m:limLow>
                </m:fName>
                <m:e>
                  <m:r>
                    <w:rPr>
                      <w:rFonts w:ascii="Cambria Math" w:hAnsi="Cambria Math" w:cs="Minion Pro"/>
                      <w:sz w:val="22"/>
                    </w:rPr>
                    <m:t>R</m:t>
                  </m:r>
                </m:e>
              </m:func>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sSup>
                    <m:sSupPr>
                      <m:ctrlPr>
                        <w:rPr>
                          <w:rFonts w:ascii="Cambria Math" w:hAnsi="Cambria Math" w:cs="Minion Pro"/>
                          <w:sz w:val="22"/>
                        </w:rPr>
                      </m:ctrlPr>
                    </m:sSupPr>
                    <m:e>
                      <m:r>
                        <w:rPr>
                          <w:rFonts w:ascii="Cambria Math" w:hAnsi="Cambria Math" w:cs="Minion Pro"/>
                          <w:sz w:val="22"/>
                        </w:rPr>
                        <m:t>A</m:t>
                      </m:r>
                    </m:e>
                    <m:sup>
                      <m:r>
                        <w:rPr>
                          <w:rFonts w:ascii="Cambria Math" w:hAnsi="Cambria Math" w:cs="Minion Pro"/>
                          <w:sz w:val="22"/>
                        </w:rPr>
                        <m:t>*</m:t>
                      </m:r>
                    </m:sup>
                  </m:sSup>
                </m:sup>
              </m:sSup>
              <m:r>
                <w:rPr>
                  <w:rFonts w:ascii="Cambria Math" w:hAnsi="Cambria Math" w:cs="Minion Pro"/>
                  <w:sz w:val="22"/>
                </w:rPr>
                <m:t>)</m:t>
              </m:r>
            </m:e>
            <m:e/>
          </m:mr>
          <m:mr>
            <m:e>
              <m:r>
                <w:rPr>
                  <w:rFonts w:ascii="Cambria Math" w:hAnsi="Cambria Math" w:cs="Minion Pro"/>
                  <w:sz w:val="22"/>
                </w:rPr>
                <m:t>s.t.</m:t>
              </m:r>
            </m:e>
            <m:e>
              <m:sSup>
                <m:sSupPr>
                  <m:ctrlPr>
                    <w:rPr>
                      <w:rFonts w:ascii="Cambria Math" w:hAnsi="Cambria Math" w:cs="Minion Pro"/>
                      <w:sz w:val="22"/>
                    </w:rPr>
                  </m:ctrlPr>
                </m:sSupPr>
                <m:e>
                  <m:r>
                    <w:rPr>
                      <w:rFonts w:ascii="Cambria Math" w:hAnsi="Cambria Math" w:cs="Minion Pro"/>
                      <w:sz w:val="22"/>
                    </w:rPr>
                    <m:t>h</m:t>
                  </m:r>
                </m:e>
                <m:sup>
                  <m:r>
                    <w:rPr>
                      <w:rFonts w:ascii="Cambria Math" w:hAnsi="Cambria Math" w:cs="Minion Pro"/>
                      <w:sz w:val="22"/>
                    </w:rPr>
                    <m:t>D</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w:rPr>
                      <w:rFonts w:ascii="Cambria Math" w:hAnsi="Cambria Math" w:cs="Minion Pro"/>
                      <w:sz w:val="22"/>
                    </w:rPr>
                    <m:t>D</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S</m:t>
                  </m:r>
                </m:e>
                <m:sup>
                  <m:r>
                    <w:rPr>
                      <w:rFonts w:ascii="Cambria Math" w:hAnsi="Cambria Math" w:cs="Minion Pro"/>
                      <w:sz w:val="22"/>
                    </w:rPr>
                    <m:t>D</m:t>
                  </m:r>
                </m:sup>
              </m:sSup>
              <m:r>
                <w:rPr>
                  <w:rFonts w:ascii="Cambria Math" w:hAnsi="Cambria Math" w:cs="Minion Pro"/>
                  <w:sz w:val="22"/>
                </w:rPr>
                <m:t>)⩾0</m:t>
              </m:r>
            </m:e>
            <m:e/>
          </m:mr>
        </m:m>
      </m:oMath>
      <w:r w:rsidRPr="00463734">
        <w:rPr>
          <w:rFonts w:ascii="Minion Pro" w:hAnsi="Minion Pro" w:cs="Minion Pro"/>
          <w:sz w:val="22"/>
        </w:rPr>
        <w:tab/>
      </w:r>
      <w:r w:rsidRPr="00463734">
        <w:rPr>
          <w:rFonts w:ascii="Minion Pro" w:hAnsi="Minion Pro" w:cs="Minion Pro" w:hint="eastAsia"/>
          <w:sz w:val="22"/>
        </w:rPr>
        <w:t>(S64)</w:t>
      </w:r>
    </w:p>
    <w:p w14:paraId="02900B8E" w14:textId="77777777" w:rsidR="00055865" w:rsidRPr="00463734" w:rsidRDefault="00000000">
      <w:pPr>
        <w:spacing w:after="60" w:line="240" w:lineRule="atLeast"/>
        <w:ind w:firstLine="425"/>
        <w:rPr>
          <w:rFonts w:ascii="Minion Pro" w:hAnsi="Minion Pro" w:cs="Minion Pro"/>
          <w:sz w:val="22"/>
          <w:szCs w:val="22"/>
        </w:rPr>
      </w:pPr>
      <w:r w:rsidRPr="00463734">
        <w:rPr>
          <w:rFonts w:ascii="Minion Pro" w:hAnsi="Minion Pro" w:cs="Minion Pro"/>
          <w:sz w:val="22"/>
          <w:szCs w:val="22"/>
        </w:rPr>
        <w:t>The lower-level optimization problem is that after the attacker learns the defender's resource allocation strategy, they select the most severe attack strategy, which can be expressed as:</w:t>
      </w:r>
    </w:p>
    <w:p w14:paraId="6B17E6CE" w14:textId="77777777" w:rsidR="00055865" w:rsidRPr="00463734" w:rsidRDefault="00000000">
      <w:pPr>
        <w:tabs>
          <w:tab w:val="center" w:pos="4200"/>
          <w:tab w:val="right" w:pos="8295"/>
        </w:tabs>
        <w:adjustRightInd w:val="0"/>
        <w:snapToGrid w:val="0"/>
        <w:spacing w:after="60" w:line="240" w:lineRule="atLeast"/>
        <w:rPr>
          <w:rFonts w:ascii="Minion Pro" w:hAnsi="Minion Pro" w:cs="Minion Pro"/>
          <w:sz w:val="22"/>
        </w:rPr>
      </w:pPr>
      <w:r w:rsidRPr="00463734">
        <w:rPr>
          <w:rFonts w:ascii="Minion Pro" w:hAnsi="Minion Pro" w:cs="Minion Pro"/>
          <w:snapToGrid w:val="0"/>
          <w:sz w:val="22"/>
          <w:szCs w:val="22"/>
          <w:lang w:bidi="en-US"/>
        </w:rPr>
        <w:tab/>
      </w:r>
      <m:oMath>
        <m:m>
          <m:mPr>
            <m:plcHide m:val="1"/>
            <m:mcs>
              <m:mc>
                <m:mcPr>
                  <m:count m:val="2"/>
                  <m:mcJc m:val="center"/>
                </m:mcPr>
              </m:mc>
            </m:mcs>
            <m:ctrlPr>
              <w:rPr>
                <w:rFonts w:ascii="Cambria Math" w:hAnsi="Cambria Math" w:cs="Minion Pro"/>
                <w:sz w:val="22"/>
              </w:rPr>
            </m:ctrlPr>
          </m:mPr>
          <m:mr>
            <m:e>
              <m:r>
                <w:rPr>
                  <w:rFonts w:ascii="Cambria Math" w:hAnsi="Cambria Math" w:cs="Minion Pro"/>
                  <w:sz w:val="22"/>
                </w:rPr>
                <m:t>(</m:t>
              </m:r>
              <m:r>
                <m:rPr>
                  <m:sty m:val="p"/>
                </m:rPr>
                <w:rPr>
                  <w:rFonts w:ascii="Cambria Math" w:hAnsi="Cambria Math" w:cs="Minion Pro"/>
                  <w:sz w:val="22"/>
                </w:rPr>
                <m:t>Follow</m:t>
              </m:r>
              <m:r>
                <w:rPr>
                  <w:rFonts w:ascii="Cambria Math" w:hAnsi="Cambria Math" w:cs="Minion Pro"/>
                  <w:sz w:val="22"/>
                </w:rPr>
                <m:t>)</m:t>
              </m:r>
              <m:func>
                <m:funcPr>
                  <m:ctrlPr>
                    <w:rPr>
                      <w:rFonts w:ascii="Cambria Math" w:hAnsi="Cambria Math" w:cs="Minion Pro"/>
                      <w:sz w:val="22"/>
                    </w:rPr>
                  </m:ctrlPr>
                </m:funcPr>
                <m:fName>
                  <m:limLow>
                    <m:limLowPr>
                      <m:ctrlPr>
                        <w:rPr>
                          <w:rFonts w:ascii="Cambria Math" w:hAnsi="Cambria Math" w:cs="Minion Pro"/>
                          <w:sz w:val="22"/>
                        </w:rPr>
                      </m:ctrlPr>
                    </m:limLowPr>
                    <m:e>
                      <m:r>
                        <m:rPr>
                          <m:sty m:val="p"/>
                        </m:rPr>
                        <w:rPr>
                          <w:rFonts w:ascii="Cambria Math" w:hAnsi="Cambria Math" w:cs="Minion Pro"/>
                          <w:sz w:val="22"/>
                        </w:rPr>
                        <m:t>max</m:t>
                      </m:r>
                    </m:e>
                    <m:lim>
                      <m:sSup>
                        <m:sSupPr>
                          <m:ctrlPr>
                            <w:rPr>
                              <w:rFonts w:ascii="Cambria Math" w:hAnsi="Cambria Math" w:cs="Minion Pro"/>
                              <w:sz w:val="22"/>
                            </w:rPr>
                          </m:ctrlPr>
                        </m:sSupPr>
                        <m:e>
                          <m:r>
                            <w:rPr>
                              <w:rFonts w:ascii="Cambria Math" w:hAnsi="Cambria Math" w:cs="Minion Pro"/>
                              <w:sz w:val="22"/>
                            </w:rPr>
                            <m:t>c</m:t>
                          </m:r>
                        </m:e>
                        <m:sup>
                          <m:r>
                            <m:rPr>
                              <m:sty m:val="p"/>
                            </m:rPr>
                            <w:rPr>
                              <w:rFonts w:ascii="Cambria Math" w:hAnsi="Cambria Math" w:cs="Minion Pro"/>
                              <w:sz w:val="22"/>
                            </w:rPr>
                            <m:t>A</m:t>
                          </m:r>
                        </m:sup>
                      </m:sSup>
                    </m:lim>
                  </m:limLow>
                </m:fName>
                <m:e>
                  <m:r>
                    <w:rPr>
                      <w:rFonts w:ascii="Cambria Math" w:hAnsi="Cambria Math" w:cs="Minion Pro"/>
                      <w:sz w:val="22"/>
                    </w:rPr>
                    <m:t>R</m:t>
                  </m:r>
                </m:e>
              </m:func>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m:rPr>
                      <m:sty m:val="p"/>
                    </m:rPr>
                    <w:rPr>
                      <w:rFonts w:ascii="Cambria Math" w:hAnsi="Cambria Math" w:cs="Minion Pro"/>
                      <w:sz w:val="22"/>
                    </w:rPr>
                    <m:t>A</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sSup>
                    <m:sSupPr>
                      <m:ctrlPr>
                        <w:rPr>
                          <w:rFonts w:ascii="Cambria Math" w:hAnsi="Cambria Math" w:cs="Minion Pro"/>
                          <w:sz w:val="22"/>
                        </w:rPr>
                      </m:ctrlPr>
                    </m:sSupPr>
                    <m:e>
                      <m:r>
                        <m:rPr>
                          <m:sty m:val="p"/>
                        </m:rPr>
                        <w:rPr>
                          <w:rFonts w:ascii="Cambria Math" w:hAnsi="Cambria Math" w:cs="Minion Pro"/>
                          <w:sz w:val="22"/>
                        </w:rPr>
                        <m:t>D</m:t>
                      </m:r>
                    </m:e>
                    <m:sup>
                      <m:r>
                        <w:rPr>
                          <w:rFonts w:ascii="Cambria Math" w:hAnsi="Cambria Math" w:cs="Minion Pro"/>
                          <w:sz w:val="22"/>
                        </w:rPr>
                        <m:t>*</m:t>
                      </m:r>
                    </m:sup>
                  </m:sSup>
                </m:sup>
              </m:sSup>
              <m:r>
                <w:rPr>
                  <w:rFonts w:ascii="Cambria Math" w:hAnsi="Cambria Math" w:cs="Minion Pro"/>
                  <w:sz w:val="22"/>
                </w:rPr>
                <m:t>)</m:t>
              </m:r>
            </m:e>
            <m:e/>
          </m:mr>
          <m:mr>
            <m:e>
              <m:r>
                <w:rPr>
                  <w:rFonts w:ascii="Cambria Math" w:hAnsi="Cambria Math" w:cs="Minion Pro"/>
                  <w:sz w:val="22"/>
                </w:rPr>
                <m:t>s.t.</m:t>
              </m:r>
            </m:e>
            <m:e>
              <m:sSup>
                <m:sSupPr>
                  <m:ctrlPr>
                    <w:rPr>
                      <w:rFonts w:ascii="Cambria Math" w:hAnsi="Cambria Math" w:cs="Minion Pro"/>
                      <w:sz w:val="22"/>
                    </w:rPr>
                  </m:ctrlPr>
                </m:sSupPr>
                <m:e>
                  <m:r>
                    <w:rPr>
                      <w:rFonts w:ascii="Cambria Math" w:hAnsi="Cambria Math" w:cs="Minion Pro"/>
                      <w:sz w:val="22"/>
                    </w:rPr>
                    <m:t>h</m:t>
                  </m:r>
                </m:e>
                <m:sup>
                  <m:r>
                    <m:rPr>
                      <m:sty m:val="p"/>
                    </m:rPr>
                    <w:rPr>
                      <w:rFonts w:ascii="Cambria Math" w:hAnsi="Cambria Math" w:cs="Minion Pro"/>
                      <w:sz w:val="22"/>
                    </w:rPr>
                    <m:t>A</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c</m:t>
                  </m:r>
                </m:e>
                <m:sup>
                  <m:r>
                    <m:rPr>
                      <m:sty m:val="p"/>
                    </m:rPr>
                    <w:rPr>
                      <w:rFonts w:ascii="Cambria Math" w:hAnsi="Cambria Math" w:cs="Minion Pro"/>
                      <w:sz w:val="22"/>
                    </w:rPr>
                    <m:t>A</m:t>
                  </m:r>
                </m:sup>
              </m:sSup>
              <m:r>
                <w:rPr>
                  <w:rFonts w:ascii="Cambria Math" w:hAnsi="Cambria Math" w:cs="Minion Pro"/>
                  <w:sz w:val="22"/>
                </w:rPr>
                <m:t>,</m:t>
              </m:r>
              <m:sSup>
                <m:sSupPr>
                  <m:ctrlPr>
                    <w:rPr>
                      <w:rFonts w:ascii="Cambria Math" w:hAnsi="Cambria Math" w:cs="Minion Pro"/>
                      <w:sz w:val="22"/>
                    </w:rPr>
                  </m:ctrlPr>
                </m:sSupPr>
                <m:e>
                  <m:r>
                    <w:rPr>
                      <w:rFonts w:ascii="Cambria Math" w:hAnsi="Cambria Math" w:cs="Minion Pro"/>
                      <w:sz w:val="22"/>
                    </w:rPr>
                    <m:t>S</m:t>
                  </m:r>
                </m:e>
                <m:sup>
                  <m:r>
                    <m:rPr>
                      <m:sty m:val="p"/>
                    </m:rPr>
                    <w:rPr>
                      <w:rFonts w:ascii="Cambria Math" w:hAnsi="Cambria Math" w:cs="Minion Pro"/>
                      <w:sz w:val="22"/>
                    </w:rPr>
                    <m:t>A</m:t>
                  </m:r>
                </m:sup>
              </m:sSup>
              <m:r>
                <w:rPr>
                  <w:rFonts w:ascii="Cambria Math" w:hAnsi="Cambria Math" w:cs="Minion Pro"/>
                  <w:sz w:val="22"/>
                </w:rPr>
                <m:t>)⩾0</m:t>
              </m:r>
            </m:e>
          </m:mr>
        </m:m>
      </m:oMath>
      <w:r w:rsidRPr="00463734">
        <w:rPr>
          <w:rFonts w:ascii="Minion Pro" w:hAnsi="Minion Pro" w:cs="Minion Pro"/>
          <w:sz w:val="22"/>
        </w:rPr>
        <w:tab/>
      </w:r>
      <w:r w:rsidRPr="00463734">
        <w:rPr>
          <w:rFonts w:ascii="Minion Pro" w:hAnsi="Minion Pro" w:cs="Minion Pro" w:hint="eastAsia"/>
          <w:sz w:val="22"/>
        </w:rPr>
        <w:t>(S65)</w:t>
      </w:r>
    </w:p>
    <w:p w14:paraId="0EFE4AB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upper-level planning takes the nonlinear risk expression described in Section 4.2 as the objective function, with the decision variable being whether to perform security configuration for the RTU, which is an integer programming problem and is solved using the Pareto search method. The objective function of the lower-level planning is also nonlinear (Non-Linear Programming, NLP), with the decision variable being the attack resources invested in the RTU, which is a continuous variable and is solved using the Fmincon algorithm.</w:t>
      </w:r>
    </w:p>
    <w:p w14:paraId="4C857C8A"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Figure S17</w:t>
      </w:r>
      <w:r w:rsidRPr="00463734">
        <w:rPr>
          <w:rFonts w:eastAsia="宋体" w:cs="Minion Pro"/>
          <w:bCs/>
          <w:color w:val="auto"/>
          <w:lang w:eastAsia="zh-CN"/>
        </w:rPr>
        <w:t xml:space="preserve"> illustrates the process of solving the double-layer optimization problem using the hierarchical iterative algorithm. The upper layer optimizes defense resource allocation under a given attack strategy to minimize system risk. In response, the lower layer, based on this defense strategy, determines an attack strategy to maximize the risk and feeds the result back to the upper layer. This process iterates in a loop until the set number of iterations is reached or the convergence condition is satisfied.</w:t>
      </w:r>
    </w:p>
    <w:p w14:paraId="38079219" w14:textId="77777777" w:rsidR="00055865" w:rsidRPr="00463734" w:rsidRDefault="00000000">
      <w:pPr>
        <w:jc w:val="center"/>
        <w:rPr>
          <w:rFonts w:ascii="Minion Pro" w:hAnsi="Minion Pro" w:cs="Minion Pro"/>
        </w:rPr>
      </w:pPr>
      <w:r w:rsidRPr="00463734">
        <w:rPr>
          <w:rFonts w:ascii="Minion Pro" w:hAnsi="Minion Pro" w:cs="Minion Pro"/>
          <w:noProof/>
        </w:rPr>
        <w:lastRenderedPageBreak/>
        <w:drawing>
          <wp:inline distT="0" distB="0" distL="114300" distR="114300" wp14:anchorId="6C0F830A" wp14:editId="2A2315F0">
            <wp:extent cx="1913255" cy="3163570"/>
            <wp:effectExtent l="0" t="0" r="4445" b="11430"/>
            <wp:docPr id="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9"/>
                    <pic:cNvPicPr>
                      <a:picLocks noChangeAspect="1"/>
                    </pic:cNvPicPr>
                  </pic:nvPicPr>
                  <pic:blipFill>
                    <a:blip r:embed="rId67"/>
                    <a:stretch>
                      <a:fillRect/>
                    </a:stretch>
                  </pic:blipFill>
                  <pic:spPr>
                    <a:xfrm>
                      <a:off x="0" y="0"/>
                      <a:ext cx="1913255" cy="3163570"/>
                    </a:xfrm>
                    <a:prstGeom prst="rect">
                      <a:avLst/>
                    </a:prstGeom>
                    <a:noFill/>
                    <a:ln>
                      <a:noFill/>
                    </a:ln>
                  </pic:spPr>
                </pic:pic>
              </a:graphicData>
            </a:graphic>
          </wp:inline>
        </w:drawing>
      </w:r>
    </w:p>
    <w:p w14:paraId="157CAC5D"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Flow chart of defense resource allocation under targeted attack</w:t>
      </w:r>
    </w:p>
    <w:p w14:paraId="6AED391C"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In the dynamic offensive-defense game model, the defender's strategies are limited, while the attacker has an optimal attack strategy for each defense configuration. Therefore, the system risk can be quantified. The goals of both sides are to maximize and minimize the risk, respectively, forming a zero-sum game. The defender optimizes resource allocation to minimize the risk caused by the attacker. Under the assumption of rational decision-making by both sides, the model can obtain the optimal allocation strategy of defense resources, ensuring that the system risk remains below a certain limit at all times; that is, the proposed model has a game equilibrium solution.</w:t>
      </w:r>
    </w:p>
    <w:p w14:paraId="29B4D265" w14:textId="77777777" w:rsidR="00055865" w:rsidRPr="00463734" w:rsidRDefault="00000000">
      <w:pPr>
        <w:pStyle w:val="TSP21heading1"/>
        <w:tabs>
          <w:tab w:val="left" w:pos="0"/>
        </w:tabs>
        <w:outlineLvl w:val="9"/>
        <w:rPr>
          <w:rFonts w:cs="Minion Pro"/>
          <w:color w:val="auto"/>
        </w:rPr>
      </w:pPr>
      <w:r w:rsidRPr="00463734">
        <w:rPr>
          <w:rFonts w:eastAsiaTheme="minorEastAsia" w:cs="Minion Pro" w:hint="eastAsia"/>
          <w:color w:val="auto"/>
          <w:lang w:eastAsia="zh-CN"/>
        </w:rPr>
        <w:t xml:space="preserve">3 </w:t>
      </w:r>
      <w:r w:rsidRPr="00463734">
        <w:rPr>
          <w:rFonts w:cs="Minion Pro"/>
          <w:color w:val="auto"/>
          <w:lang w:eastAsia="zh-CN"/>
        </w:rPr>
        <w:t>Case Analysis</w:t>
      </w:r>
    </w:p>
    <w:p w14:paraId="18F843D6"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To verify the validity of the proposed concept and calculation method, this section selects the IEEE 33-node system and the CPS 62-node system as simulation examples for analysis. The related algorithms are implemented through programming on the MATLAB platform.</w:t>
      </w:r>
    </w:p>
    <w:p w14:paraId="074F25BD" w14:textId="77777777" w:rsidR="00055865" w:rsidRPr="00463734" w:rsidRDefault="00000000">
      <w:pPr>
        <w:pStyle w:val="TSP21heading1"/>
        <w:tabs>
          <w:tab w:val="left" w:pos="0"/>
        </w:tabs>
        <w:jc w:val="both"/>
        <w:outlineLvl w:val="9"/>
        <w:rPr>
          <w:rFonts w:cs="Minion Pro"/>
          <w:i/>
          <w:iCs/>
          <w:color w:val="auto"/>
          <w:lang w:eastAsia="zh-CN"/>
        </w:rPr>
      </w:pPr>
      <w:r w:rsidRPr="00463734">
        <w:rPr>
          <w:rFonts w:eastAsiaTheme="minorEastAsia" w:cs="Minion Pro" w:hint="eastAsia"/>
          <w:i/>
          <w:iCs/>
          <w:color w:val="auto"/>
          <w:lang w:eastAsia="zh-CN"/>
        </w:rPr>
        <w:t xml:space="preserve">3.1 </w:t>
      </w:r>
      <w:r w:rsidRPr="00463734">
        <w:rPr>
          <w:rFonts w:cs="Minion Pro"/>
          <w:i/>
          <w:iCs/>
          <w:color w:val="auto"/>
          <w:lang w:eastAsia="zh-CN"/>
        </w:rPr>
        <w:t>Description of the Testing System</w:t>
      </w:r>
    </w:p>
    <w:p w14:paraId="02677198" w14:textId="77777777" w:rsidR="00055865" w:rsidRPr="00463734" w:rsidRDefault="00000000">
      <w:pPr>
        <w:pStyle w:val="TSP21heading1"/>
        <w:tabs>
          <w:tab w:val="left" w:pos="0"/>
        </w:tabs>
        <w:jc w:val="both"/>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3.1.1 </w:t>
      </w:r>
      <w:r w:rsidRPr="00463734">
        <w:rPr>
          <w:rFonts w:cs="Minion Pro"/>
          <w:b w:val="0"/>
          <w:bCs/>
          <w:i/>
          <w:iCs/>
          <w:color w:val="auto"/>
          <w:lang w:eastAsia="zh-CN"/>
        </w:rPr>
        <w:t>IEEE 33-Node System</w:t>
      </w:r>
    </w:p>
    <w:p w14:paraId="557D94F5"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22"/>
          <w:szCs w:val="22"/>
          <w:lang w:bidi="en-US"/>
        </w:rPr>
      </w:pPr>
      <w:r w:rsidRPr="00463734">
        <w:rPr>
          <w:rFonts w:ascii="Minion Pro" w:eastAsia="Times New Roman" w:hAnsi="Minion Pro" w:cs="Minion Pro"/>
          <w:noProof/>
          <w:snapToGrid w:val="0"/>
          <w:sz w:val="22"/>
          <w:szCs w:val="22"/>
          <w:lang w:bidi="en-US"/>
        </w:rPr>
        <w:drawing>
          <wp:inline distT="0" distB="0" distL="114300" distR="114300" wp14:anchorId="1F0D630B" wp14:editId="5F9D6214">
            <wp:extent cx="3959860" cy="1317625"/>
            <wp:effectExtent l="0" t="0" r="2540" b="3175"/>
            <wp:docPr id="2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3"/>
                    <pic:cNvPicPr>
                      <a:picLocks noChangeAspect="1"/>
                    </pic:cNvPicPr>
                  </pic:nvPicPr>
                  <pic:blipFill>
                    <a:blip r:embed="rId68"/>
                    <a:stretch>
                      <a:fillRect/>
                    </a:stretch>
                  </pic:blipFill>
                  <pic:spPr>
                    <a:xfrm>
                      <a:off x="0" y="0"/>
                      <a:ext cx="3959860" cy="1317625"/>
                    </a:xfrm>
                    <a:prstGeom prst="rect">
                      <a:avLst/>
                    </a:prstGeom>
                    <a:noFill/>
                    <a:ln>
                      <a:noFill/>
                    </a:ln>
                  </pic:spPr>
                </pic:pic>
              </a:graphicData>
            </a:graphic>
          </wp:inline>
        </w:drawing>
      </w:r>
    </w:p>
    <w:p w14:paraId="4DC85272" w14:textId="77777777" w:rsidR="00055865" w:rsidRPr="00463734" w:rsidRDefault="00000000">
      <w:pPr>
        <w:pStyle w:val="figurecaption"/>
        <w:numPr>
          <w:ilvl w:val="0"/>
          <w:numId w:val="5"/>
        </w:numPr>
        <w:adjustRightInd w:val="0"/>
        <w:snapToGrid w:val="0"/>
        <w:spacing w:after="60"/>
        <w:jc w:val="center"/>
        <w:rPr>
          <w:rFonts w:ascii="Minion Pro" w:hAnsi="Minion Pro" w:cs="Minion Pro"/>
          <w:lang w:bidi="en-US"/>
        </w:rPr>
      </w:pPr>
      <w:r w:rsidRPr="00463734">
        <w:rPr>
          <w:rFonts w:ascii="Minion Pro" w:hAnsi="Minion Pro" w:cs="Minion Pro"/>
          <w:lang w:bidi="en-US"/>
        </w:rPr>
        <w:t>IEEE 33-node system</w:t>
      </w:r>
    </w:p>
    <w:p w14:paraId="190FCF4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IEEE 33-node system topology (</w:t>
      </w:r>
      <w:r w:rsidRPr="00463734">
        <w:rPr>
          <w:rFonts w:eastAsia="宋体" w:cs="Minion Pro" w:hint="eastAsia"/>
          <w:bCs/>
          <w:color w:val="auto"/>
          <w:lang w:eastAsia="zh-CN"/>
        </w:rPr>
        <w:t>Figure S18</w:t>
      </w:r>
      <w:r w:rsidRPr="00463734">
        <w:rPr>
          <w:rFonts w:eastAsia="宋体" w:cs="Minion Pro"/>
          <w:bCs/>
          <w:color w:val="auto"/>
          <w:lang w:eastAsia="zh-CN"/>
        </w:rPr>
        <w:t>) uses a centralized FA algorithm where the control center executes fault location, isolation, and restoration. Its 32 switches are moni</w:t>
      </w:r>
      <w:r w:rsidRPr="00463734">
        <w:rPr>
          <w:rFonts w:eastAsia="宋体" w:cs="Minion Pro"/>
          <w:bCs/>
          <w:color w:val="auto"/>
          <w:lang w:eastAsia="zh-CN"/>
        </w:rPr>
        <w:lastRenderedPageBreak/>
        <w:t>tored by RTUs communicating with the control center. Parameters include: feeder fault rate (0.05 times/km·a), FA operation time (5 min), average repair time (4 hr), switch malfunction probability from availability attacks (6%), misoperation probability from integrity attacks (0.06‰), and proportion-based weights for all terminal devices (1.0).</w:t>
      </w:r>
    </w:p>
    <w:p w14:paraId="0E8FDE44" w14:textId="77777777" w:rsidR="00055865" w:rsidRPr="00463734" w:rsidRDefault="00000000">
      <w:pPr>
        <w:pStyle w:val="TSP21heading1"/>
        <w:tabs>
          <w:tab w:val="left" w:pos="0"/>
        </w:tabs>
        <w:jc w:val="both"/>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3.1.2 </w:t>
      </w:r>
      <w:r w:rsidRPr="00463734">
        <w:rPr>
          <w:rFonts w:cs="Minion Pro"/>
          <w:b w:val="0"/>
          <w:bCs/>
          <w:i/>
          <w:iCs/>
          <w:color w:val="auto"/>
          <w:lang w:eastAsia="zh-CN"/>
        </w:rPr>
        <w:t>CPS 62 Node System</w:t>
      </w:r>
    </w:p>
    <w:p w14:paraId="404E99C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paper uses the CPS 62 node system as a test case, and its topological structure is shown in </w:t>
      </w:r>
      <w:r w:rsidRPr="00463734">
        <w:rPr>
          <w:rFonts w:eastAsia="宋体" w:cs="Minion Pro" w:hint="eastAsia"/>
          <w:bCs/>
          <w:color w:val="auto"/>
          <w:lang w:eastAsia="zh-CN"/>
        </w:rPr>
        <w:t>Figure S19</w:t>
      </w:r>
      <w:r w:rsidRPr="00463734">
        <w:rPr>
          <w:rFonts w:eastAsia="宋体" w:cs="Minion Pro"/>
          <w:bCs/>
          <w:color w:val="auto"/>
          <w:lang w:eastAsia="zh-CN"/>
        </w:rPr>
        <w:t>. This system consists of three feeder lines, and each feeder line is interconnected through tie switches. The three feeder lines are configured with 21, 19, and 19 switches, respectively, and each switch is monitored in real time by the corresponding RTU. The system loads are 2.06 MW, 1.73 MW, and 2.98 MW, respectively. The simulation parameters are set to be consistent with the IEEE 33-node system.</w:t>
      </w:r>
    </w:p>
    <w:p w14:paraId="226DBD7C"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22"/>
          <w:szCs w:val="22"/>
          <w:lang w:bidi="en-US"/>
        </w:rPr>
      </w:pPr>
      <w:r w:rsidRPr="00463734">
        <w:rPr>
          <w:rFonts w:ascii="Minion Pro" w:eastAsia="Times New Roman" w:hAnsi="Minion Pro" w:cs="Minion Pro"/>
          <w:noProof/>
          <w:snapToGrid w:val="0"/>
          <w:sz w:val="22"/>
          <w:szCs w:val="22"/>
          <w:lang w:bidi="en-US"/>
        </w:rPr>
        <w:drawing>
          <wp:inline distT="0" distB="0" distL="114300" distR="114300" wp14:anchorId="33C8853D" wp14:editId="2EAC452F">
            <wp:extent cx="3959860" cy="2496185"/>
            <wp:effectExtent l="0" t="0" r="2540" b="5715"/>
            <wp:docPr id="7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2"/>
                    <pic:cNvPicPr>
                      <a:picLocks noChangeAspect="1"/>
                    </pic:cNvPicPr>
                  </pic:nvPicPr>
                  <pic:blipFill>
                    <a:blip r:embed="rId69"/>
                    <a:stretch>
                      <a:fillRect/>
                    </a:stretch>
                  </pic:blipFill>
                  <pic:spPr>
                    <a:xfrm>
                      <a:off x="0" y="0"/>
                      <a:ext cx="3959860" cy="2496185"/>
                    </a:xfrm>
                    <a:prstGeom prst="rect">
                      <a:avLst/>
                    </a:prstGeom>
                    <a:noFill/>
                    <a:ln>
                      <a:noFill/>
                    </a:ln>
                  </pic:spPr>
                </pic:pic>
              </a:graphicData>
            </a:graphic>
          </wp:inline>
        </w:drawing>
      </w:r>
    </w:p>
    <w:p w14:paraId="670B0A3F" w14:textId="77777777" w:rsidR="00055865" w:rsidRPr="00463734" w:rsidRDefault="00000000">
      <w:pPr>
        <w:pStyle w:val="figurecaption"/>
        <w:numPr>
          <w:ilvl w:val="0"/>
          <w:numId w:val="5"/>
        </w:numPr>
        <w:adjustRightInd w:val="0"/>
        <w:snapToGrid w:val="0"/>
        <w:spacing w:after="60"/>
        <w:jc w:val="center"/>
        <w:rPr>
          <w:rFonts w:ascii="Minion Pro" w:hAnsi="Minion Pro" w:cs="Minion Pro"/>
          <w:lang w:bidi="en-US"/>
        </w:rPr>
      </w:pPr>
      <w:r w:rsidRPr="00463734">
        <w:rPr>
          <w:rFonts w:ascii="Minion Pro" w:hAnsi="Minion Pro" w:cs="Minion Pro"/>
          <w:lang w:bidi="en-US"/>
        </w:rPr>
        <w:t>CPS 62-node test system</w:t>
      </w:r>
    </w:p>
    <w:p w14:paraId="2D9508AD" w14:textId="77777777" w:rsidR="00055865" w:rsidRPr="00463734" w:rsidRDefault="00000000">
      <w:pPr>
        <w:pStyle w:val="TSP21heading1"/>
        <w:tabs>
          <w:tab w:val="left" w:pos="0"/>
        </w:tabs>
        <w:jc w:val="both"/>
        <w:outlineLvl w:val="9"/>
        <w:rPr>
          <w:rFonts w:cs="Minion Pro"/>
          <w:i/>
          <w:iCs/>
          <w:color w:val="auto"/>
          <w:lang w:eastAsia="zh-CN"/>
        </w:rPr>
      </w:pPr>
      <w:r w:rsidRPr="00463734">
        <w:rPr>
          <w:rFonts w:eastAsiaTheme="minorEastAsia" w:cs="Minion Pro" w:hint="eastAsia"/>
          <w:i/>
          <w:iCs/>
          <w:color w:val="auto"/>
          <w:lang w:eastAsia="zh-CN"/>
        </w:rPr>
        <w:t xml:space="preserve">3.2 </w:t>
      </w:r>
      <w:r w:rsidRPr="00463734">
        <w:rPr>
          <w:rFonts w:cs="Minion Pro"/>
          <w:i/>
          <w:iCs/>
          <w:color w:val="auto"/>
          <w:lang w:eastAsia="zh-CN"/>
        </w:rPr>
        <w:t>Verification of Risk Coupling Degree</w:t>
      </w:r>
    </w:p>
    <w:p w14:paraId="497A9D01" w14:textId="77777777" w:rsidR="00055865" w:rsidRPr="00463734" w:rsidRDefault="00000000">
      <w:pPr>
        <w:pStyle w:val="TSP21heading1"/>
        <w:tabs>
          <w:tab w:val="left" w:pos="0"/>
        </w:tabs>
        <w:jc w:val="both"/>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3.2.1 </w:t>
      </w:r>
      <w:r w:rsidRPr="00463734">
        <w:rPr>
          <w:rFonts w:cs="Minion Pro"/>
          <w:b w:val="0"/>
          <w:bCs/>
          <w:i/>
          <w:iCs/>
          <w:color w:val="auto"/>
          <w:lang w:eastAsia="zh-CN"/>
        </w:rPr>
        <w:t>IEEE 33-Node System</w:t>
      </w:r>
    </w:p>
    <w:p w14:paraId="25CAFA1A" w14:textId="77777777" w:rsidR="00055865" w:rsidRPr="00463734" w:rsidRDefault="00000000">
      <w:pPr>
        <w:pStyle w:val="TSP31text"/>
        <w:rPr>
          <w:rFonts w:eastAsiaTheme="minorEastAsia" w:cs="Minion Pro"/>
          <w:color w:val="auto"/>
          <w:lang w:eastAsia="zh-CN"/>
        </w:rPr>
      </w:pPr>
      <w:r w:rsidRPr="00463734">
        <w:rPr>
          <w:rFonts w:cs="Minion Pro"/>
          <w:color w:val="auto"/>
          <w:lang w:eastAsia="zh-CN"/>
        </w:rPr>
        <w:t>To evaluate information attack impacts on system coupling, simulations were conducted on the IEEE 33-node system under availability and integrity attacks (</w:t>
      </w:r>
      <w:r w:rsidRPr="00463734">
        <w:rPr>
          <w:rFonts w:cs="Minion Pro" w:hint="eastAsia"/>
          <w:color w:val="auto"/>
          <w:lang w:eastAsia="zh-CN"/>
        </w:rPr>
        <w:t>Table S3</w:t>
      </w:r>
      <w:r w:rsidRPr="00463734">
        <w:rPr>
          <w:rFonts w:cs="Minion Pro"/>
          <w:color w:val="auto"/>
          <w:lang w:eastAsia="zh-CN"/>
        </w:rPr>
        <w:t>). Results show both attacks significantly increase system risk compared to baseline, with increments of 0.3947 MWh and 1.6144 MWh respectively. Coupling degrees reach 0.0392 (availability) and 0.1604 (integrity), the latter being 4× higher. This disparity arises because availability attacks only expand fault ranges during line failures, while integrity attacks cause switch malfunctions during both normal and fault states. Given distribution networks operate predominantly in normal states, integrity attacks—despite lower probability—impose greater overall risk due to their broader operational impact, even as FA systems reduce outage durations.</w:t>
      </w:r>
    </w:p>
    <w:p w14:paraId="4586D4B4"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SRCD for two cyber attacks</w:t>
      </w:r>
    </w:p>
    <w:tbl>
      <w:tblPr>
        <w:tblW w:w="833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5" w:type="dxa"/>
          <w:left w:w="15" w:type="dxa"/>
          <w:bottom w:w="15" w:type="dxa"/>
          <w:right w:w="15" w:type="dxa"/>
        </w:tblCellMar>
        <w:tblLook w:val="04A0" w:firstRow="1" w:lastRow="0" w:firstColumn="1" w:lastColumn="0" w:noHBand="0" w:noVBand="1"/>
      </w:tblPr>
      <w:tblGrid>
        <w:gridCol w:w="1531"/>
        <w:gridCol w:w="2224"/>
        <w:gridCol w:w="2290"/>
        <w:gridCol w:w="2290"/>
      </w:tblGrid>
      <w:tr w:rsidR="00055865" w:rsidRPr="00463734" w14:paraId="0BEB1B9E" w14:textId="77777777">
        <w:trPr>
          <w:trHeight w:val="330"/>
          <w:jc w:val="center"/>
        </w:trPr>
        <w:tc>
          <w:tcPr>
            <w:tcW w:w="1531" w:type="dxa"/>
            <w:tcBorders>
              <w:tl2br w:val="nil"/>
              <w:tr2bl w:val="nil"/>
            </w:tcBorders>
            <w:vAlign w:val="center"/>
          </w:tcPr>
          <w:p w14:paraId="609ACACA"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hAnsi="Minion Pro" w:cs="Minion Pro"/>
                <w:sz w:val="15"/>
                <w:szCs w:val="15"/>
              </w:rPr>
              <w:t>Attack Type</w:t>
            </w:r>
          </w:p>
        </w:tc>
        <w:tc>
          <w:tcPr>
            <w:tcW w:w="2224" w:type="dxa"/>
            <w:tcBorders>
              <w:tl2br w:val="nil"/>
              <w:tr2bl w:val="nil"/>
            </w:tcBorders>
            <w:vAlign w:val="center"/>
          </w:tcPr>
          <w:p w14:paraId="2D629993"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hAnsi="Minion Pro" w:cs="Minion Pro"/>
                <w:sz w:val="15"/>
                <w:szCs w:val="15"/>
              </w:rPr>
              <w:t>Unconsidered Information Attack (MWh)</w:t>
            </w:r>
          </w:p>
        </w:tc>
        <w:tc>
          <w:tcPr>
            <w:tcW w:w="2290" w:type="dxa"/>
            <w:tcBorders>
              <w:tl2br w:val="nil"/>
              <w:tr2bl w:val="nil"/>
            </w:tcBorders>
            <w:vAlign w:val="center"/>
          </w:tcPr>
          <w:p w14:paraId="3AAA6F59"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hAnsi="Minion Pro" w:cs="Minion Pro"/>
                <w:sz w:val="15"/>
                <w:szCs w:val="15"/>
              </w:rPr>
              <w:t>Considered Information Attack (MWh)</w:t>
            </w:r>
          </w:p>
        </w:tc>
        <w:tc>
          <w:tcPr>
            <w:tcW w:w="2290" w:type="dxa"/>
            <w:tcBorders>
              <w:tl2br w:val="nil"/>
              <w:tr2bl w:val="nil"/>
            </w:tcBorders>
            <w:vAlign w:val="center"/>
          </w:tcPr>
          <w:p w14:paraId="377E8618"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hAnsi="Minion Pro" w:cs="Minion Pro"/>
                <w:sz w:val="15"/>
                <w:szCs w:val="15"/>
              </w:rPr>
              <w:t>System Risk Coupling Degree</w:t>
            </w:r>
          </w:p>
        </w:tc>
      </w:tr>
      <w:tr w:rsidR="00055865" w:rsidRPr="00463734" w14:paraId="57CC9D62" w14:textId="77777777">
        <w:trPr>
          <w:trHeight w:val="330"/>
          <w:jc w:val="center"/>
        </w:trPr>
        <w:tc>
          <w:tcPr>
            <w:tcW w:w="1531" w:type="dxa"/>
            <w:tcBorders>
              <w:tl2br w:val="nil"/>
              <w:tr2bl w:val="nil"/>
            </w:tcBorders>
            <w:vAlign w:val="center"/>
          </w:tcPr>
          <w:p w14:paraId="558F2828"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hAnsi="Minion Pro" w:cs="Minion Pro"/>
                <w:sz w:val="15"/>
                <w:szCs w:val="15"/>
              </w:rPr>
              <w:t>Availability Attack</w:t>
            </w:r>
          </w:p>
        </w:tc>
        <w:tc>
          <w:tcPr>
            <w:tcW w:w="2224" w:type="dxa"/>
            <w:tcBorders>
              <w:tl2br w:val="nil"/>
              <w:tr2bl w:val="nil"/>
            </w:tcBorders>
            <w:vAlign w:val="center"/>
          </w:tcPr>
          <w:p w14:paraId="7004635D"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10.0625</w:t>
            </w:r>
          </w:p>
        </w:tc>
        <w:tc>
          <w:tcPr>
            <w:tcW w:w="2290" w:type="dxa"/>
            <w:tcBorders>
              <w:tl2br w:val="nil"/>
              <w:tr2bl w:val="nil"/>
            </w:tcBorders>
            <w:vAlign w:val="center"/>
          </w:tcPr>
          <w:p w14:paraId="7364E902"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10.4572</w:t>
            </w:r>
          </w:p>
        </w:tc>
        <w:tc>
          <w:tcPr>
            <w:tcW w:w="2290" w:type="dxa"/>
            <w:tcBorders>
              <w:tl2br w:val="nil"/>
              <w:tr2bl w:val="nil"/>
            </w:tcBorders>
            <w:vAlign w:val="center"/>
          </w:tcPr>
          <w:p w14:paraId="014BE63F"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0.0392</w:t>
            </w:r>
          </w:p>
        </w:tc>
      </w:tr>
      <w:tr w:rsidR="00055865" w:rsidRPr="00463734" w14:paraId="19D22253" w14:textId="77777777">
        <w:trPr>
          <w:trHeight w:val="330"/>
          <w:jc w:val="center"/>
        </w:trPr>
        <w:tc>
          <w:tcPr>
            <w:tcW w:w="1531" w:type="dxa"/>
            <w:tcBorders>
              <w:tl2br w:val="nil"/>
              <w:tr2bl w:val="nil"/>
            </w:tcBorders>
            <w:vAlign w:val="center"/>
          </w:tcPr>
          <w:p w14:paraId="5FBE8FAB"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hAnsi="Minion Pro" w:cs="Minion Pro"/>
                <w:sz w:val="15"/>
                <w:szCs w:val="15"/>
              </w:rPr>
              <w:t>Integrity Attack</w:t>
            </w:r>
          </w:p>
        </w:tc>
        <w:tc>
          <w:tcPr>
            <w:tcW w:w="2224" w:type="dxa"/>
            <w:tcBorders>
              <w:tl2br w:val="nil"/>
              <w:tr2bl w:val="nil"/>
            </w:tcBorders>
            <w:vAlign w:val="center"/>
          </w:tcPr>
          <w:p w14:paraId="2C9A7AF9"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10.0625</w:t>
            </w:r>
          </w:p>
        </w:tc>
        <w:tc>
          <w:tcPr>
            <w:tcW w:w="2290" w:type="dxa"/>
            <w:tcBorders>
              <w:tl2br w:val="nil"/>
              <w:tr2bl w:val="nil"/>
            </w:tcBorders>
            <w:vAlign w:val="center"/>
          </w:tcPr>
          <w:p w14:paraId="3D6C72DB"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11.6770</w:t>
            </w:r>
          </w:p>
        </w:tc>
        <w:tc>
          <w:tcPr>
            <w:tcW w:w="2290" w:type="dxa"/>
            <w:tcBorders>
              <w:tl2br w:val="nil"/>
              <w:tr2bl w:val="nil"/>
            </w:tcBorders>
            <w:vAlign w:val="center"/>
          </w:tcPr>
          <w:p w14:paraId="047F1195"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0.1604</w:t>
            </w:r>
          </w:p>
        </w:tc>
      </w:tr>
    </w:tbl>
    <w:p w14:paraId="76E96DC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lastRenderedPageBreak/>
        <w:t xml:space="preserve">System operators can prevent various information attacks by deploying information security technologies. To verify the validity of the aforementioned RTU risk coupling degree assessment results, this paper selects the 5 RTUs with the highest coupling degree under two types of attacks for security reinforcement to enhance their anti-attack capabilities. Specific measures include deploying a message verification module in the RTU to prevent integrity attacks and installing a traffic detection and communication self-healing module to prevent availability attacks. The simulation results of the distribution network after security configuration are shown in </w:t>
      </w:r>
      <w:r w:rsidRPr="00463734">
        <w:rPr>
          <w:rFonts w:eastAsia="宋体" w:cs="Minion Pro" w:hint="eastAsia"/>
          <w:bCs/>
          <w:color w:val="auto"/>
          <w:lang w:eastAsia="zh-CN"/>
        </w:rPr>
        <w:t>Table S4</w:t>
      </w:r>
      <w:r w:rsidRPr="00463734">
        <w:rPr>
          <w:rFonts w:eastAsia="宋体" w:cs="Minion Pro"/>
          <w:bCs/>
          <w:color w:val="auto"/>
          <w:lang w:eastAsia="zh-CN"/>
        </w:rPr>
        <w:t>. The comparison shows the changes in system risk coupling degree under different attack scenarios.</w:t>
      </w:r>
    </w:p>
    <w:p w14:paraId="7424EC7D"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SRCD under two cyber-attacks after security allocation</w:t>
      </w:r>
    </w:p>
    <w:tbl>
      <w:tblPr>
        <w:tblW w:w="833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5" w:type="dxa"/>
          <w:left w:w="15" w:type="dxa"/>
          <w:bottom w:w="15" w:type="dxa"/>
          <w:right w:w="15" w:type="dxa"/>
        </w:tblCellMar>
        <w:tblLook w:val="04A0" w:firstRow="1" w:lastRow="0" w:firstColumn="1" w:lastColumn="0" w:noHBand="0" w:noVBand="1"/>
      </w:tblPr>
      <w:tblGrid>
        <w:gridCol w:w="1531"/>
        <w:gridCol w:w="2224"/>
        <w:gridCol w:w="2290"/>
        <w:gridCol w:w="2290"/>
      </w:tblGrid>
      <w:tr w:rsidR="00055865" w:rsidRPr="00463734" w14:paraId="547B0F5D" w14:textId="77777777">
        <w:trPr>
          <w:trHeight w:val="330"/>
          <w:jc w:val="center"/>
        </w:trPr>
        <w:tc>
          <w:tcPr>
            <w:tcW w:w="1531" w:type="dxa"/>
            <w:tcBorders>
              <w:tl2br w:val="nil"/>
              <w:tr2bl w:val="nil"/>
            </w:tcBorders>
            <w:vAlign w:val="center"/>
          </w:tcPr>
          <w:p w14:paraId="47917404"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Attack Type</w:t>
            </w:r>
          </w:p>
        </w:tc>
        <w:tc>
          <w:tcPr>
            <w:tcW w:w="2224" w:type="dxa"/>
            <w:tcBorders>
              <w:tl2br w:val="nil"/>
              <w:tr2bl w:val="nil"/>
            </w:tcBorders>
            <w:vAlign w:val="center"/>
          </w:tcPr>
          <w:p w14:paraId="321C99FE"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Pre-configuration System Risk Coupling Degree</w:t>
            </w:r>
          </w:p>
        </w:tc>
        <w:tc>
          <w:tcPr>
            <w:tcW w:w="2290" w:type="dxa"/>
            <w:tcBorders>
              <w:tl2br w:val="nil"/>
              <w:tr2bl w:val="nil"/>
            </w:tcBorders>
            <w:vAlign w:val="center"/>
          </w:tcPr>
          <w:p w14:paraId="0E4C6544"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Post-configuration System Risk Coupling Degree</w:t>
            </w:r>
          </w:p>
        </w:tc>
        <w:tc>
          <w:tcPr>
            <w:tcW w:w="2290" w:type="dxa"/>
            <w:tcBorders>
              <w:tl2br w:val="nil"/>
              <w:tr2bl w:val="nil"/>
            </w:tcBorders>
            <w:vAlign w:val="center"/>
          </w:tcPr>
          <w:p w14:paraId="23D599D4" w14:textId="77777777" w:rsidR="00055865" w:rsidRPr="00463734" w:rsidRDefault="00000000">
            <w:pPr>
              <w:widowControl/>
              <w:jc w:val="center"/>
              <w:rPr>
                <w:rFonts w:ascii="Minion Pro" w:eastAsia="Times New Roman" w:hAnsi="Minion Pro" w:cs="Minion Pro"/>
                <w:snapToGrid w:val="0"/>
                <w:sz w:val="15"/>
                <w:szCs w:val="15"/>
                <w:lang w:bidi="en-US"/>
              </w:rPr>
            </w:pPr>
            <w:r w:rsidRPr="00463734">
              <w:rPr>
                <w:rFonts w:ascii="Minion Pro" w:hAnsi="Minion Pro" w:cs="Minion Pro"/>
                <w:kern w:val="0"/>
                <w:sz w:val="15"/>
                <w:szCs w:val="15"/>
                <w:lang w:bidi="ar"/>
              </w:rPr>
              <w:t>Reduction Percentage (%)</w:t>
            </w:r>
          </w:p>
        </w:tc>
      </w:tr>
      <w:tr w:rsidR="00055865" w:rsidRPr="00463734" w14:paraId="2CD08351" w14:textId="77777777">
        <w:trPr>
          <w:trHeight w:val="330"/>
          <w:jc w:val="center"/>
        </w:trPr>
        <w:tc>
          <w:tcPr>
            <w:tcW w:w="1531" w:type="dxa"/>
            <w:tcBorders>
              <w:tl2br w:val="nil"/>
              <w:tr2bl w:val="nil"/>
            </w:tcBorders>
            <w:vAlign w:val="center"/>
          </w:tcPr>
          <w:p w14:paraId="10094937"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Availability Attack</w:t>
            </w:r>
          </w:p>
        </w:tc>
        <w:tc>
          <w:tcPr>
            <w:tcW w:w="2224" w:type="dxa"/>
            <w:tcBorders>
              <w:tl2br w:val="nil"/>
              <w:tr2bl w:val="nil"/>
            </w:tcBorders>
            <w:vAlign w:val="center"/>
          </w:tcPr>
          <w:p w14:paraId="4F4A8212"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0.0392</w:t>
            </w:r>
          </w:p>
        </w:tc>
        <w:tc>
          <w:tcPr>
            <w:tcW w:w="2290" w:type="dxa"/>
            <w:tcBorders>
              <w:tl2br w:val="nil"/>
              <w:tr2bl w:val="nil"/>
            </w:tcBorders>
            <w:vAlign w:val="center"/>
          </w:tcPr>
          <w:p w14:paraId="786CC421" w14:textId="77777777" w:rsidR="00055865" w:rsidRPr="00463734" w:rsidRDefault="00000000">
            <w:pPr>
              <w:widowControl/>
              <w:jc w:val="center"/>
              <w:rPr>
                <w:rFonts w:ascii="Minion Pro" w:eastAsia="Times New Roman" w:hAnsi="Minion Pro" w:cs="Minion Pro"/>
                <w:snapToGrid w:val="0"/>
                <w:sz w:val="15"/>
                <w:szCs w:val="15"/>
                <w:lang w:bidi="en-US"/>
              </w:rPr>
            </w:pPr>
            <w:r w:rsidRPr="00463734">
              <w:rPr>
                <w:rFonts w:ascii="Minion Pro" w:hAnsi="Minion Pro" w:cs="Minion Pro"/>
                <w:kern w:val="0"/>
                <w:sz w:val="15"/>
                <w:szCs w:val="15"/>
                <w:lang w:bidi="ar"/>
              </w:rPr>
              <w:t>0.0081</w:t>
            </w:r>
          </w:p>
        </w:tc>
        <w:tc>
          <w:tcPr>
            <w:tcW w:w="2290" w:type="dxa"/>
            <w:tcBorders>
              <w:tl2br w:val="nil"/>
              <w:tr2bl w:val="nil"/>
            </w:tcBorders>
            <w:vAlign w:val="center"/>
          </w:tcPr>
          <w:p w14:paraId="7FAD0CC9" w14:textId="77777777" w:rsidR="00055865" w:rsidRPr="00463734" w:rsidRDefault="00000000">
            <w:pPr>
              <w:widowControl/>
              <w:jc w:val="center"/>
              <w:rPr>
                <w:rFonts w:ascii="Minion Pro" w:eastAsia="Times New Roman" w:hAnsi="Minion Pro" w:cs="Minion Pro"/>
                <w:snapToGrid w:val="0"/>
                <w:sz w:val="15"/>
                <w:szCs w:val="15"/>
                <w:lang w:bidi="en-US"/>
              </w:rPr>
            </w:pPr>
            <w:r w:rsidRPr="00463734">
              <w:rPr>
                <w:rFonts w:ascii="Minion Pro" w:hAnsi="Minion Pro" w:cs="Minion Pro"/>
                <w:kern w:val="0"/>
                <w:sz w:val="15"/>
                <w:szCs w:val="15"/>
                <w:lang w:bidi="ar"/>
              </w:rPr>
              <w:t>79.23</w:t>
            </w:r>
          </w:p>
        </w:tc>
      </w:tr>
      <w:tr w:rsidR="00055865" w:rsidRPr="00463734" w14:paraId="405F0D0B" w14:textId="77777777">
        <w:trPr>
          <w:trHeight w:val="330"/>
          <w:jc w:val="center"/>
        </w:trPr>
        <w:tc>
          <w:tcPr>
            <w:tcW w:w="1531" w:type="dxa"/>
            <w:tcBorders>
              <w:tl2br w:val="nil"/>
              <w:tr2bl w:val="nil"/>
            </w:tcBorders>
            <w:vAlign w:val="center"/>
          </w:tcPr>
          <w:p w14:paraId="564A7D7C"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Integrity Attack</w:t>
            </w:r>
          </w:p>
        </w:tc>
        <w:tc>
          <w:tcPr>
            <w:tcW w:w="2224" w:type="dxa"/>
            <w:tcBorders>
              <w:tl2br w:val="nil"/>
              <w:tr2bl w:val="nil"/>
            </w:tcBorders>
            <w:vAlign w:val="center"/>
          </w:tcPr>
          <w:p w14:paraId="02BCEDB2" w14:textId="77777777" w:rsidR="00055865" w:rsidRPr="00463734" w:rsidRDefault="00000000">
            <w:pPr>
              <w:adjustRightInd w:val="0"/>
              <w:snapToGrid w:val="0"/>
              <w:spacing w:after="60" w:line="240" w:lineRule="atLeast"/>
              <w:jc w:val="center"/>
              <w:rPr>
                <w:rFonts w:ascii="Minion Pro" w:eastAsia="Times New Roman" w:hAnsi="Minion Pro" w:cs="Minion Pro"/>
                <w:snapToGrid w:val="0"/>
                <w:sz w:val="15"/>
                <w:szCs w:val="15"/>
                <w:lang w:bidi="en-US"/>
              </w:rPr>
            </w:pPr>
            <w:r w:rsidRPr="00463734">
              <w:rPr>
                <w:rFonts w:ascii="Minion Pro" w:eastAsia="Times New Roman" w:hAnsi="Minion Pro" w:cs="Minion Pro"/>
                <w:snapToGrid w:val="0"/>
                <w:sz w:val="15"/>
                <w:szCs w:val="15"/>
                <w:lang w:bidi="en-US"/>
              </w:rPr>
              <w:t>0.1604</w:t>
            </w:r>
          </w:p>
        </w:tc>
        <w:tc>
          <w:tcPr>
            <w:tcW w:w="2290" w:type="dxa"/>
            <w:tcBorders>
              <w:tl2br w:val="nil"/>
              <w:tr2bl w:val="nil"/>
            </w:tcBorders>
            <w:vAlign w:val="center"/>
          </w:tcPr>
          <w:p w14:paraId="24F76B81" w14:textId="77777777" w:rsidR="00055865" w:rsidRPr="00463734" w:rsidRDefault="00000000">
            <w:pPr>
              <w:widowControl/>
              <w:jc w:val="center"/>
              <w:rPr>
                <w:rFonts w:ascii="Minion Pro" w:eastAsia="Times New Roman" w:hAnsi="Minion Pro" w:cs="Minion Pro"/>
                <w:snapToGrid w:val="0"/>
                <w:sz w:val="15"/>
                <w:szCs w:val="15"/>
                <w:lang w:bidi="en-US"/>
              </w:rPr>
            </w:pPr>
            <w:r w:rsidRPr="00463734">
              <w:rPr>
                <w:rFonts w:ascii="Minion Pro" w:hAnsi="Minion Pro" w:cs="Minion Pro"/>
                <w:kern w:val="0"/>
                <w:sz w:val="15"/>
                <w:szCs w:val="15"/>
                <w:lang w:bidi="ar"/>
              </w:rPr>
              <w:t>0.0770</w:t>
            </w:r>
          </w:p>
        </w:tc>
        <w:tc>
          <w:tcPr>
            <w:tcW w:w="2290" w:type="dxa"/>
            <w:tcBorders>
              <w:tl2br w:val="nil"/>
              <w:tr2bl w:val="nil"/>
            </w:tcBorders>
            <w:vAlign w:val="center"/>
          </w:tcPr>
          <w:p w14:paraId="42E4034A" w14:textId="77777777" w:rsidR="00055865" w:rsidRPr="00463734" w:rsidRDefault="00000000">
            <w:pPr>
              <w:widowControl/>
              <w:jc w:val="center"/>
              <w:rPr>
                <w:rFonts w:ascii="Minion Pro" w:eastAsia="Times New Roman" w:hAnsi="Minion Pro" w:cs="Minion Pro"/>
                <w:snapToGrid w:val="0"/>
                <w:sz w:val="15"/>
                <w:szCs w:val="15"/>
                <w:lang w:bidi="en-US"/>
              </w:rPr>
            </w:pPr>
            <w:r w:rsidRPr="00463734">
              <w:rPr>
                <w:rFonts w:ascii="Minion Pro" w:hAnsi="Minion Pro" w:cs="Minion Pro"/>
                <w:kern w:val="0"/>
                <w:sz w:val="15"/>
                <w:szCs w:val="15"/>
                <w:lang w:bidi="ar"/>
              </w:rPr>
              <w:t>52.03</w:t>
            </w:r>
          </w:p>
        </w:tc>
      </w:tr>
    </w:tbl>
    <w:p w14:paraId="19842CB3" w14:textId="77777777" w:rsidR="00055865" w:rsidRPr="00463734" w:rsidRDefault="00000000">
      <w:pPr>
        <w:pStyle w:val="TSP31text"/>
        <w:spacing w:before="240"/>
        <w:rPr>
          <w:rFonts w:eastAsia="宋体" w:cs="Minion Pro"/>
          <w:bCs/>
          <w:color w:val="auto"/>
          <w:lang w:eastAsia="zh-CN"/>
        </w:rPr>
      </w:pPr>
      <w:r w:rsidRPr="00463734">
        <w:rPr>
          <w:rFonts w:eastAsia="宋体" w:cs="Minion Pro"/>
          <w:bCs/>
          <w:color w:val="auto"/>
          <w:lang w:eastAsia="zh-CN"/>
        </w:rPr>
        <w:t xml:space="preserve">As shown in </w:t>
      </w:r>
      <w:r w:rsidRPr="00463734">
        <w:rPr>
          <w:rFonts w:eastAsia="宋体" w:cs="Minion Pro" w:hint="eastAsia"/>
          <w:bCs/>
          <w:color w:val="auto"/>
          <w:lang w:eastAsia="zh-CN"/>
        </w:rPr>
        <w:t>Table S4</w:t>
      </w:r>
      <w:r w:rsidRPr="00463734">
        <w:rPr>
          <w:rFonts w:eastAsia="宋体" w:cs="Minion Pro"/>
          <w:bCs/>
          <w:color w:val="auto"/>
          <w:lang w:eastAsia="zh-CN"/>
        </w:rPr>
        <w:t>, after implementing the security configuration, the system’s risk coupling degree under availability and integrity attacks decreased to 0.0081 and 0.0770, respectively. This represents a reduction of approximately 79.23% and 52.03% compared to the previous configuration. These results verify the effectiveness of the security configuration in reducing system risks and also indicate that the proposed node risk coupling degree index can accurately identify the system’s weak links under information attacks.</w:t>
      </w:r>
    </w:p>
    <w:p w14:paraId="7EB3905C" w14:textId="77777777" w:rsidR="00055865" w:rsidRPr="00463734" w:rsidRDefault="00000000">
      <w:pPr>
        <w:pStyle w:val="TSP21heading1"/>
        <w:tabs>
          <w:tab w:val="left" w:pos="0"/>
        </w:tabs>
        <w:jc w:val="both"/>
        <w:outlineLvl w:val="9"/>
        <w:rPr>
          <w:rFonts w:eastAsiaTheme="minorEastAsia" w:cs="Minion Pro"/>
          <w:b w:val="0"/>
          <w:bCs/>
          <w:i/>
          <w:iCs/>
          <w:color w:val="auto"/>
          <w:lang w:eastAsia="zh-CN"/>
        </w:rPr>
      </w:pPr>
      <w:r w:rsidRPr="00463734">
        <w:rPr>
          <w:rFonts w:eastAsiaTheme="minorEastAsia" w:cs="Minion Pro" w:hint="eastAsia"/>
          <w:b w:val="0"/>
          <w:bCs/>
          <w:i/>
          <w:iCs/>
          <w:color w:val="auto"/>
          <w:lang w:eastAsia="zh-CN"/>
        </w:rPr>
        <w:t xml:space="preserve">3.2.2 </w:t>
      </w:r>
      <w:r w:rsidRPr="00463734">
        <w:rPr>
          <w:rFonts w:cs="Minion Pro"/>
          <w:b w:val="0"/>
          <w:bCs/>
          <w:i/>
          <w:iCs/>
          <w:color w:val="auto"/>
          <w:lang w:eastAsia="zh-CN"/>
        </w:rPr>
        <w:t>CPS 62 Node System</w:t>
      </w:r>
    </w:p>
    <w:p w14:paraId="2F7B4079" w14:textId="77777777" w:rsidR="00055865" w:rsidRPr="00463734" w:rsidRDefault="00000000">
      <w:pPr>
        <w:pStyle w:val="TSP31text"/>
        <w:rPr>
          <w:rFonts w:cs="Minion Pro"/>
          <w:color w:val="auto"/>
          <w:lang w:eastAsia="zh-CN"/>
        </w:rPr>
      </w:pPr>
      <w:r w:rsidRPr="00463734">
        <w:rPr>
          <w:rFonts w:eastAsia="宋体" w:cs="Minion Pro"/>
          <w:bCs/>
          <w:color w:val="auto"/>
          <w:lang w:eastAsia="zh-CN"/>
        </w:rPr>
        <w:t>This section evaluates information attack impacts on system coupling through simulations of three CPS 62-node feeders under availability and integrity attacks (</w:t>
      </w:r>
      <w:r w:rsidRPr="00463734">
        <w:rPr>
          <w:rFonts w:eastAsia="宋体" w:cs="Minion Pro" w:hint="eastAsia"/>
          <w:bCs/>
          <w:color w:val="auto"/>
          <w:lang w:eastAsia="zh-CN"/>
        </w:rPr>
        <w:t>Table S5</w:t>
      </w:r>
      <w:r w:rsidRPr="00463734">
        <w:rPr>
          <w:rFonts w:eastAsia="宋体" w:cs="Minion Pro"/>
          <w:bCs/>
          <w:color w:val="auto"/>
          <w:lang w:eastAsia="zh-CN"/>
        </w:rPr>
        <w:t>). Consistent with IEEE 33-node results, both attacks significantly increase system risk versus baseline, with integrity attacks inducing higher coupling than availability attacks. Crucially, CPS 62 exhibits substantially greater risk coupling than IEEE 33 due to topological differences: its interconnected feeders via tie switches enable localized fault containment under normal conditions but amplify cyber-dependency during attacks. This heightened automation intensifies attack impacts, as demonstrated by CPS 62’s lower baseline risk yet significantly higher attack-induced coupling. The results confirm that increased feeder automation correlates with greater attack vulnerability and elevated system risk coupling.</w:t>
      </w:r>
    </w:p>
    <w:p w14:paraId="49B6289C"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RCDBS in the three feeder areas for two cyber attacks</w:t>
      </w:r>
    </w:p>
    <w:tbl>
      <w:tblPr>
        <w:tblW w:w="8333"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5" w:type="dxa"/>
          <w:left w:w="15" w:type="dxa"/>
          <w:bottom w:w="15" w:type="dxa"/>
          <w:right w:w="15" w:type="dxa"/>
        </w:tblCellMar>
        <w:tblLook w:val="04A0" w:firstRow="1" w:lastRow="0" w:firstColumn="1" w:lastColumn="0" w:noHBand="0" w:noVBand="1"/>
      </w:tblPr>
      <w:tblGrid>
        <w:gridCol w:w="1201"/>
        <w:gridCol w:w="1744"/>
        <w:gridCol w:w="1796"/>
        <w:gridCol w:w="1796"/>
        <w:gridCol w:w="1796"/>
      </w:tblGrid>
      <w:tr w:rsidR="00055865" w:rsidRPr="00463734" w14:paraId="1AC28B14" w14:textId="77777777">
        <w:trPr>
          <w:trHeight w:val="329"/>
          <w:jc w:val="center"/>
        </w:trPr>
        <w:tc>
          <w:tcPr>
            <w:tcW w:w="1201" w:type="dxa"/>
            <w:tcBorders>
              <w:tl2br w:val="nil"/>
              <w:tr2bl w:val="nil"/>
            </w:tcBorders>
            <w:vAlign w:val="center"/>
          </w:tcPr>
          <w:p w14:paraId="6C40C70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Attack Type</w:t>
            </w:r>
          </w:p>
        </w:tc>
        <w:tc>
          <w:tcPr>
            <w:tcW w:w="1744" w:type="dxa"/>
            <w:tcBorders>
              <w:tl2br w:val="nil"/>
              <w:tr2bl w:val="nil"/>
            </w:tcBorders>
            <w:vAlign w:val="center"/>
          </w:tcPr>
          <w:p w14:paraId="0C1F658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Area</w:t>
            </w:r>
          </w:p>
        </w:tc>
        <w:tc>
          <w:tcPr>
            <w:tcW w:w="1796" w:type="dxa"/>
            <w:tcBorders>
              <w:tl2br w:val="nil"/>
              <w:tr2bl w:val="nil"/>
            </w:tcBorders>
            <w:vAlign w:val="center"/>
          </w:tcPr>
          <w:p w14:paraId="2B85CE5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Information Attack Not Considered (MWh)</w:t>
            </w:r>
          </w:p>
        </w:tc>
        <w:tc>
          <w:tcPr>
            <w:tcW w:w="1796" w:type="dxa"/>
            <w:tcBorders>
              <w:tl2br w:val="nil"/>
              <w:tr2bl w:val="nil"/>
            </w:tcBorders>
            <w:vAlign w:val="center"/>
          </w:tcPr>
          <w:p w14:paraId="4748EC1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Information Attack Considered (MWh)</w:t>
            </w:r>
          </w:p>
        </w:tc>
        <w:tc>
          <w:tcPr>
            <w:tcW w:w="1796" w:type="dxa"/>
            <w:tcBorders>
              <w:tl2br w:val="nil"/>
              <w:tr2bl w:val="nil"/>
            </w:tcBorders>
            <w:vAlign w:val="center"/>
          </w:tcPr>
          <w:p w14:paraId="53951E9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Inter-system Coupling Degree</w:t>
            </w:r>
          </w:p>
        </w:tc>
      </w:tr>
      <w:tr w:rsidR="00055865" w:rsidRPr="00463734" w14:paraId="63DA2145" w14:textId="77777777">
        <w:trPr>
          <w:trHeight w:val="330"/>
          <w:jc w:val="center"/>
        </w:trPr>
        <w:tc>
          <w:tcPr>
            <w:tcW w:w="1201" w:type="dxa"/>
            <w:vMerge w:val="restart"/>
            <w:tcBorders>
              <w:tl2br w:val="nil"/>
              <w:tr2bl w:val="nil"/>
            </w:tcBorders>
            <w:vAlign w:val="center"/>
          </w:tcPr>
          <w:p w14:paraId="345E2F0C" w14:textId="77777777" w:rsidR="00055865" w:rsidRPr="00463734" w:rsidRDefault="00000000">
            <w:pPr>
              <w:adjustRightInd w:val="0"/>
              <w:snapToGrid w:val="0"/>
              <w:spacing w:after="60" w:line="240" w:lineRule="atLeast"/>
              <w:jc w:val="center"/>
              <w:rPr>
                <w:rFonts w:ascii="Minion Pro" w:hAnsi="Minion Pro" w:cs="Minion Pro"/>
                <w:sz w:val="15"/>
                <w:szCs w:val="15"/>
              </w:rPr>
            </w:pPr>
            <w:r w:rsidRPr="00463734">
              <w:rPr>
                <w:rFonts w:ascii="Minion Pro" w:hAnsi="Minion Pro" w:cs="Minion Pro"/>
                <w:sz w:val="15"/>
                <w:szCs w:val="15"/>
              </w:rPr>
              <w:t>Availability Attack</w:t>
            </w:r>
          </w:p>
        </w:tc>
        <w:tc>
          <w:tcPr>
            <w:tcW w:w="1744" w:type="dxa"/>
            <w:tcBorders>
              <w:tl2br w:val="nil"/>
              <w:tr2bl w:val="nil"/>
            </w:tcBorders>
            <w:vAlign w:val="center"/>
          </w:tcPr>
          <w:p w14:paraId="1C3F9C5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One</w:t>
            </w:r>
          </w:p>
        </w:tc>
        <w:tc>
          <w:tcPr>
            <w:tcW w:w="1796" w:type="dxa"/>
            <w:tcBorders>
              <w:tl2br w:val="nil"/>
              <w:tr2bl w:val="nil"/>
            </w:tcBorders>
            <w:vAlign w:val="center"/>
          </w:tcPr>
          <w:p w14:paraId="4F5DFCF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1.1156</w:t>
            </w:r>
          </w:p>
        </w:tc>
        <w:tc>
          <w:tcPr>
            <w:tcW w:w="1796" w:type="dxa"/>
            <w:tcBorders>
              <w:tl2br w:val="nil"/>
              <w:tr2bl w:val="nil"/>
            </w:tcBorders>
            <w:vAlign w:val="center"/>
          </w:tcPr>
          <w:p w14:paraId="63BF5D0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1.2395</w:t>
            </w:r>
          </w:p>
        </w:tc>
        <w:tc>
          <w:tcPr>
            <w:tcW w:w="1796" w:type="dxa"/>
            <w:tcBorders>
              <w:tl2br w:val="nil"/>
              <w:tr2bl w:val="nil"/>
            </w:tcBorders>
            <w:vAlign w:val="center"/>
          </w:tcPr>
          <w:p w14:paraId="3F601388"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0.111</w:t>
            </w:r>
          </w:p>
        </w:tc>
      </w:tr>
      <w:tr w:rsidR="00055865" w:rsidRPr="00463734" w14:paraId="54E73848" w14:textId="77777777">
        <w:trPr>
          <w:trHeight w:val="330"/>
          <w:jc w:val="center"/>
        </w:trPr>
        <w:tc>
          <w:tcPr>
            <w:tcW w:w="1201" w:type="dxa"/>
            <w:vMerge/>
            <w:tcBorders>
              <w:tl2br w:val="nil"/>
              <w:tr2bl w:val="nil"/>
            </w:tcBorders>
            <w:vAlign w:val="center"/>
          </w:tcPr>
          <w:p w14:paraId="423B3E3D"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75CF92C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Two</w:t>
            </w:r>
          </w:p>
        </w:tc>
        <w:tc>
          <w:tcPr>
            <w:tcW w:w="1796" w:type="dxa"/>
            <w:tcBorders>
              <w:tl2br w:val="nil"/>
              <w:tr2bl w:val="nil"/>
            </w:tcBorders>
            <w:vAlign w:val="center"/>
          </w:tcPr>
          <w:p w14:paraId="373E0C3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0.6051</w:t>
            </w:r>
          </w:p>
        </w:tc>
        <w:tc>
          <w:tcPr>
            <w:tcW w:w="1796" w:type="dxa"/>
            <w:tcBorders>
              <w:tl2br w:val="nil"/>
              <w:tr2bl w:val="nil"/>
            </w:tcBorders>
            <w:vAlign w:val="center"/>
          </w:tcPr>
          <w:p w14:paraId="6266AD68"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0.6327</w:t>
            </w:r>
          </w:p>
        </w:tc>
        <w:tc>
          <w:tcPr>
            <w:tcW w:w="1796" w:type="dxa"/>
            <w:tcBorders>
              <w:tl2br w:val="nil"/>
              <w:tr2bl w:val="nil"/>
            </w:tcBorders>
            <w:vAlign w:val="center"/>
          </w:tcPr>
          <w:p w14:paraId="1817676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0.0455</w:t>
            </w:r>
          </w:p>
        </w:tc>
      </w:tr>
      <w:tr w:rsidR="00055865" w:rsidRPr="00463734" w14:paraId="4BECD2D8" w14:textId="77777777">
        <w:trPr>
          <w:trHeight w:val="330"/>
          <w:jc w:val="center"/>
        </w:trPr>
        <w:tc>
          <w:tcPr>
            <w:tcW w:w="1201" w:type="dxa"/>
            <w:vMerge/>
            <w:tcBorders>
              <w:tl2br w:val="nil"/>
              <w:tr2bl w:val="nil"/>
            </w:tcBorders>
            <w:vAlign w:val="center"/>
          </w:tcPr>
          <w:p w14:paraId="4566F5C7"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19EFA20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Three</w:t>
            </w:r>
          </w:p>
        </w:tc>
        <w:tc>
          <w:tcPr>
            <w:tcW w:w="1796" w:type="dxa"/>
            <w:tcBorders>
              <w:tl2br w:val="nil"/>
              <w:tr2bl w:val="nil"/>
            </w:tcBorders>
            <w:vAlign w:val="center"/>
          </w:tcPr>
          <w:p w14:paraId="1928562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1.6287</w:t>
            </w:r>
          </w:p>
        </w:tc>
        <w:tc>
          <w:tcPr>
            <w:tcW w:w="1796" w:type="dxa"/>
            <w:tcBorders>
              <w:tl2br w:val="nil"/>
              <w:tr2bl w:val="nil"/>
            </w:tcBorders>
            <w:vAlign w:val="center"/>
          </w:tcPr>
          <w:p w14:paraId="3B7E5EC0"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1.7481</w:t>
            </w:r>
          </w:p>
        </w:tc>
        <w:tc>
          <w:tcPr>
            <w:tcW w:w="1796" w:type="dxa"/>
            <w:tcBorders>
              <w:tl2br w:val="nil"/>
              <w:tr2bl w:val="nil"/>
            </w:tcBorders>
            <w:vAlign w:val="center"/>
          </w:tcPr>
          <w:p w14:paraId="7A05CF40"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0.0733</w:t>
            </w:r>
          </w:p>
        </w:tc>
      </w:tr>
      <w:tr w:rsidR="00055865" w:rsidRPr="00463734" w14:paraId="3A2F61C8" w14:textId="77777777">
        <w:trPr>
          <w:trHeight w:val="330"/>
          <w:jc w:val="center"/>
        </w:trPr>
        <w:tc>
          <w:tcPr>
            <w:tcW w:w="1201" w:type="dxa"/>
            <w:vMerge w:val="restart"/>
            <w:tcBorders>
              <w:tl2br w:val="nil"/>
              <w:tr2bl w:val="nil"/>
            </w:tcBorders>
            <w:vAlign w:val="center"/>
          </w:tcPr>
          <w:p w14:paraId="57618767" w14:textId="77777777" w:rsidR="00055865" w:rsidRPr="00463734" w:rsidRDefault="00000000">
            <w:pPr>
              <w:adjustRightInd w:val="0"/>
              <w:snapToGrid w:val="0"/>
              <w:spacing w:after="60" w:line="240" w:lineRule="atLeast"/>
              <w:jc w:val="center"/>
              <w:rPr>
                <w:rFonts w:ascii="Minion Pro" w:hAnsi="Minion Pro" w:cs="Minion Pro"/>
                <w:sz w:val="15"/>
                <w:szCs w:val="15"/>
              </w:rPr>
            </w:pPr>
            <w:r w:rsidRPr="00463734">
              <w:rPr>
                <w:rFonts w:ascii="Minion Pro" w:hAnsi="Minion Pro" w:cs="Minion Pro"/>
                <w:sz w:val="15"/>
                <w:szCs w:val="15"/>
              </w:rPr>
              <w:t>Integrity Attack</w:t>
            </w:r>
          </w:p>
        </w:tc>
        <w:tc>
          <w:tcPr>
            <w:tcW w:w="1744" w:type="dxa"/>
            <w:tcBorders>
              <w:tl2br w:val="nil"/>
              <w:tr2bl w:val="nil"/>
            </w:tcBorders>
            <w:vAlign w:val="center"/>
          </w:tcPr>
          <w:p w14:paraId="5394599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One</w:t>
            </w:r>
          </w:p>
        </w:tc>
        <w:tc>
          <w:tcPr>
            <w:tcW w:w="1796" w:type="dxa"/>
            <w:tcBorders>
              <w:tl2br w:val="nil"/>
              <w:tr2bl w:val="nil"/>
            </w:tcBorders>
            <w:vAlign w:val="center"/>
          </w:tcPr>
          <w:p w14:paraId="7D3D507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1.1156</w:t>
            </w:r>
          </w:p>
        </w:tc>
        <w:tc>
          <w:tcPr>
            <w:tcW w:w="1796" w:type="dxa"/>
            <w:tcBorders>
              <w:tl2br w:val="nil"/>
              <w:tr2bl w:val="nil"/>
            </w:tcBorders>
            <w:vAlign w:val="center"/>
          </w:tcPr>
          <w:p w14:paraId="3444CCE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2.1584</w:t>
            </w:r>
          </w:p>
        </w:tc>
        <w:tc>
          <w:tcPr>
            <w:tcW w:w="1796" w:type="dxa"/>
            <w:tcBorders>
              <w:tl2br w:val="nil"/>
              <w:tr2bl w:val="nil"/>
            </w:tcBorders>
            <w:vAlign w:val="center"/>
          </w:tcPr>
          <w:p w14:paraId="4E76AF4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0.9347</w:t>
            </w:r>
          </w:p>
        </w:tc>
      </w:tr>
      <w:tr w:rsidR="00055865" w:rsidRPr="00463734" w14:paraId="04E7EF17" w14:textId="77777777">
        <w:trPr>
          <w:trHeight w:val="330"/>
          <w:jc w:val="center"/>
        </w:trPr>
        <w:tc>
          <w:tcPr>
            <w:tcW w:w="1201" w:type="dxa"/>
            <w:vMerge/>
            <w:tcBorders>
              <w:tl2br w:val="nil"/>
              <w:tr2bl w:val="nil"/>
            </w:tcBorders>
            <w:vAlign w:val="center"/>
          </w:tcPr>
          <w:p w14:paraId="46C6FC77"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5AD02DA8"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Two</w:t>
            </w:r>
          </w:p>
        </w:tc>
        <w:tc>
          <w:tcPr>
            <w:tcW w:w="1796" w:type="dxa"/>
            <w:tcBorders>
              <w:tl2br w:val="nil"/>
              <w:tr2bl w:val="nil"/>
            </w:tcBorders>
            <w:vAlign w:val="center"/>
          </w:tcPr>
          <w:p w14:paraId="7F746A5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0.6051</w:t>
            </w:r>
          </w:p>
        </w:tc>
        <w:tc>
          <w:tcPr>
            <w:tcW w:w="1796" w:type="dxa"/>
            <w:tcBorders>
              <w:tl2br w:val="nil"/>
              <w:tr2bl w:val="nil"/>
            </w:tcBorders>
            <w:vAlign w:val="center"/>
          </w:tcPr>
          <w:p w14:paraId="30212D9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1.1015</w:t>
            </w:r>
          </w:p>
        </w:tc>
        <w:tc>
          <w:tcPr>
            <w:tcW w:w="1796" w:type="dxa"/>
            <w:tcBorders>
              <w:tl2br w:val="nil"/>
              <w:tr2bl w:val="nil"/>
            </w:tcBorders>
            <w:vAlign w:val="center"/>
          </w:tcPr>
          <w:p w14:paraId="03DE5EC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0.8203</w:t>
            </w:r>
          </w:p>
        </w:tc>
      </w:tr>
      <w:tr w:rsidR="00055865" w:rsidRPr="00463734" w14:paraId="6205B90A" w14:textId="77777777">
        <w:trPr>
          <w:trHeight w:val="330"/>
          <w:jc w:val="center"/>
        </w:trPr>
        <w:tc>
          <w:tcPr>
            <w:tcW w:w="1201" w:type="dxa"/>
            <w:vMerge/>
            <w:tcBorders>
              <w:tl2br w:val="nil"/>
              <w:tr2bl w:val="nil"/>
            </w:tcBorders>
            <w:vAlign w:val="center"/>
          </w:tcPr>
          <w:p w14:paraId="50CBE832"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3997B1C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Three</w:t>
            </w:r>
          </w:p>
        </w:tc>
        <w:tc>
          <w:tcPr>
            <w:tcW w:w="1796" w:type="dxa"/>
            <w:tcBorders>
              <w:tl2br w:val="nil"/>
              <w:tr2bl w:val="nil"/>
            </w:tcBorders>
            <w:vAlign w:val="center"/>
          </w:tcPr>
          <w:p w14:paraId="0B8B596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1.6287</w:t>
            </w:r>
          </w:p>
        </w:tc>
        <w:tc>
          <w:tcPr>
            <w:tcW w:w="1796" w:type="dxa"/>
            <w:tcBorders>
              <w:tl2br w:val="nil"/>
              <w:tr2bl w:val="nil"/>
            </w:tcBorders>
            <w:vAlign w:val="center"/>
          </w:tcPr>
          <w:p w14:paraId="7BF0F2B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2.4388</w:t>
            </w:r>
          </w:p>
        </w:tc>
        <w:tc>
          <w:tcPr>
            <w:tcW w:w="1796" w:type="dxa"/>
            <w:tcBorders>
              <w:tl2br w:val="nil"/>
              <w:tr2bl w:val="nil"/>
            </w:tcBorders>
            <w:vAlign w:val="center"/>
          </w:tcPr>
          <w:p w14:paraId="659D63A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0.4974</w:t>
            </w:r>
          </w:p>
        </w:tc>
      </w:tr>
    </w:tbl>
    <w:p w14:paraId="4AA3C6D7" w14:textId="77777777" w:rsidR="00055865" w:rsidRPr="00463734" w:rsidRDefault="00000000">
      <w:pPr>
        <w:pStyle w:val="TSP31text"/>
        <w:spacing w:before="240"/>
        <w:rPr>
          <w:rFonts w:eastAsia="宋体" w:cs="Minion Pro"/>
          <w:bCs/>
          <w:color w:val="auto"/>
          <w:lang w:eastAsia="zh-CN"/>
        </w:rPr>
      </w:pPr>
      <w:r w:rsidRPr="00463734">
        <w:rPr>
          <w:rFonts w:eastAsia="宋体" w:cs="Minion Pro"/>
          <w:bCs/>
          <w:color w:val="auto"/>
          <w:lang w:eastAsia="zh-CN"/>
        </w:rPr>
        <w:lastRenderedPageBreak/>
        <w:t xml:space="preserve">In order to verify the rationality of the above node coupling degree assessment results, similar to the IEEE 33-node system, in this paper, safety protection modules are added to the 5 RTUs with the highest coupling degree in the three feeder lines under the two types of attacks, thereby enhancing their ability to resist attacks. The system risk coupling degree after the safety configuration is shown in </w:t>
      </w:r>
      <w:r w:rsidRPr="00463734">
        <w:rPr>
          <w:rFonts w:eastAsia="宋体" w:cs="Minion Pro" w:hint="eastAsia"/>
          <w:bCs/>
          <w:color w:val="auto"/>
          <w:lang w:eastAsia="zh-CN"/>
        </w:rPr>
        <w:t>Table S6</w:t>
      </w:r>
      <w:r w:rsidRPr="00463734">
        <w:rPr>
          <w:rFonts w:eastAsia="宋体" w:cs="Minion Pro"/>
          <w:bCs/>
          <w:color w:val="auto"/>
          <w:lang w:eastAsia="zh-CN"/>
        </w:rPr>
        <w:t>.</w:t>
      </w:r>
    </w:p>
    <w:p w14:paraId="08100378"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RCDBS after security allocation for two cyber attacks</w:t>
      </w:r>
    </w:p>
    <w:tbl>
      <w:tblPr>
        <w:tblW w:w="8333"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5" w:type="dxa"/>
          <w:left w:w="15" w:type="dxa"/>
          <w:bottom w:w="15" w:type="dxa"/>
          <w:right w:w="15" w:type="dxa"/>
        </w:tblCellMar>
        <w:tblLook w:val="04A0" w:firstRow="1" w:lastRow="0" w:firstColumn="1" w:lastColumn="0" w:noHBand="0" w:noVBand="1"/>
      </w:tblPr>
      <w:tblGrid>
        <w:gridCol w:w="1201"/>
        <w:gridCol w:w="1744"/>
        <w:gridCol w:w="1796"/>
        <w:gridCol w:w="1796"/>
        <w:gridCol w:w="1796"/>
      </w:tblGrid>
      <w:tr w:rsidR="00055865" w:rsidRPr="00463734" w14:paraId="5EE0EE23" w14:textId="77777777">
        <w:trPr>
          <w:trHeight w:val="329"/>
          <w:jc w:val="center"/>
        </w:trPr>
        <w:tc>
          <w:tcPr>
            <w:tcW w:w="1201" w:type="dxa"/>
            <w:tcBorders>
              <w:tl2br w:val="nil"/>
              <w:tr2bl w:val="nil"/>
            </w:tcBorders>
            <w:vAlign w:val="center"/>
          </w:tcPr>
          <w:p w14:paraId="6961D28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Attack Type</w:t>
            </w:r>
          </w:p>
        </w:tc>
        <w:tc>
          <w:tcPr>
            <w:tcW w:w="1744" w:type="dxa"/>
            <w:tcBorders>
              <w:tl2br w:val="nil"/>
              <w:tr2bl w:val="nil"/>
            </w:tcBorders>
            <w:vAlign w:val="center"/>
          </w:tcPr>
          <w:p w14:paraId="68D59CB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Area</w:t>
            </w:r>
          </w:p>
        </w:tc>
        <w:tc>
          <w:tcPr>
            <w:tcW w:w="1796" w:type="dxa"/>
            <w:tcBorders>
              <w:tl2br w:val="nil"/>
              <w:tr2bl w:val="nil"/>
            </w:tcBorders>
            <w:vAlign w:val="center"/>
          </w:tcPr>
          <w:p w14:paraId="65EB04D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Information Attack Not Considered (MWh)</w:t>
            </w:r>
          </w:p>
        </w:tc>
        <w:tc>
          <w:tcPr>
            <w:tcW w:w="1796" w:type="dxa"/>
            <w:tcBorders>
              <w:tl2br w:val="nil"/>
              <w:tr2bl w:val="nil"/>
            </w:tcBorders>
            <w:vAlign w:val="center"/>
          </w:tcPr>
          <w:p w14:paraId="04262B9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Information Attack Considered (MWh)</w:t>
            </w:r>
          </w:p>
        </w:tc>
        <w:tc>
          <w:tcPr>
            <w:tcW w:w="1796" w:type="dxa"/>
            <w:tcBorders>
              <w:tl2br w:val="nil"/>
              <w:tr2bl w:val="nil"/>
            </w:tcBorders>
            <w:vAlign w:val="center"/>
          </w:tcPr>
          <w:p w14:paraId="4763E8A5"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Inter-system Coupling Degree</w:t>
            </w:r>
          </w:p>
        </w:tc>
      </w:tr>
      <w:tr w:rsidR="00055865" w:rsidRPr="00463734" w14:paraId="02B78508" w14:textId="77777777">
        <w:trPr>
          <w:trHeight w:val="330"/>
          <w:jc w:val="center"/>
        </w:trPr>
        <w:tc>
          <w:tcPr>
            <w:tcW w:w="1201" w:type="dxa"/>
            <w:vMerge w:val="restart"/>
            <w:tcBorders>
              <w:tl2br w:val="nil"/>
              <w:tr2bl w:val="nil"/>
            </w:tcBorders>
            <w:vAlign w:val="center"/>
          </w:tcPr>
          <w:p w14:paraId="761C99A4" w14:textId="77777777" w:rsidR="00055865" w:rsidRPr="00463734" w:rsidRDefault="00000000">
            <w:pPr>
              <w:adjustRightInd w:val="0"/>
              <w:snapToGrid w:val="0"/>
              <w:spacing w:after="60" w:line="240" w:lineRule="atLeast"/>
              <w:jc w:val="center"/>
              <w:rPr>
                <w:rFonts w:ascii="Minion Pro" w:hAnsi="Minion Pro" w:cs="Minion Pro"/>
                <w:sz w:val="15"/>
                <w:szCs w:val="15"/>
              </w:rPr>
            </w:pPr>
            <w:r w:rsidRPr="00463734">
              <w:rPr>
                <w:rFonts w:ascii="Minion Pro" w:hAnsi="Minion Pro" w:cs="Minion Pro"/>
                <w:sz w:val="15"/>
                <w:szCs w:val="15"/>
              </w:rPr>
              <w:t>Availability Attack</w:t>
            </w:r>
          </w:p>
        </w:tc>
        <w:tc>
          <w:tcPr>
            <w:tcW w:w="1744" w:type="dxa"/>
            <w:tcBorders>
              <w:tl2br w:val="nil"/>
              <w:tr2bl w:val="nil"/>
            </w:tcBorders>
            <w:vAlign w:val="center"/>
          </w:tcPr>
          <w:p w14:paraId="423F1C1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One</w:t>
            </w:r>
          </w:p>
        </w:tc>
        <w:tc>
          <w:tcPr>
            <w:tcW w:w="1796" w:type="dxa"/>
            <w:tcBorders>
              <w:tl2br w:val="nil"/>
              <w:tr2bl w:val="nil"/>
            </w:tcBorders>
            <w:vAlign w:val="center"/>
          </w:tcPr>
          <w:p w14:paraId="0A26885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0.111</w:t>
            </w:r>
          </w:p>
        </w:tc>
        <w:tc>
          <w:tcPr>
            <w:tcW w:w="1796" w:type="dxa"/>
            <w:tcBorders>
              <w:tl2br w:val="nil"/>
              <w:tr2bl w:val="nil"/>
            </w:tcBorders>
            <w:vAlign w:val="center"/>
          </w:tcPr>
          <w:p w14:paraId="0349122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0.0383</w:t>
            </w:r>
          </w:p>
        </w:tc>
        <w:tc>
          <w:tcPr>
            <w:tcW w:w="1796" w:type="dxa"/>
            <w:tcBorders>
              <w:tl2br w:val="nil"/>
              <w:tr2bl w:val="nil"/>
            </w:tcBorders>
            <w:vAlign w:val="center"/>
          </w:tcPr>
          <w:p w14:paraId="2549290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65.47</w:t>
            </w:r>
          </w:p>
        </w:tc>
      </w:tr>
      <w:tr w:rsidR="00055865" w:rsidRPr="00463734" w14:paraId="58F91E4E" w14:textId="77777777">
        <w:trPr>
          <w:trHeight w:val="330"/>
          <w:jc w:val="center"/>
        </w:trPr>
        <w:tc>
          <w:tcPr>
            <w:tcW w:w="1201" w:type="dxa"/>
            <w:vMerge/>
            <w:tcBorders>
              <w:tl2br w:val="nil"/>
              <w:tr2bl w:val="nil"/>
            </w:tcBorders>
            <w:vAlign w:val="center"/>
          </w:tcPr>
          <w:p w14:paraId="557730B6"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5894A7C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Two</w:t>
            </w:r>
          </w:p>
        </w:tc>
        <w:tc>
          <w:tcPr>
            <w:tcW w:w="1796" w:type="dxa"/>
            <w:tcBorders>
              <w:tl2br w:val="nil"/>
              <w:tr2bl w:val="nil"/>
            </w:tcBorders>
            <w:vAlign w:val="center"/>
          </w:tcPr>
          <w:p w14:paraId="59F5A98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0.0455</w:t>
            </w:r>
          </w:p>
        </w:tc>
        <w:tc>
          <w:tcPr>
            <w:tcW w:w="1796" w:type="dxa"/>
            <w:tcBorders>
              <w:tl2br w:val="nil"/>
              <w:tr2bl w:val="nil"/>
            </w:tcBorders>
            <w:vAlign w:val="center"/>
          </w:tcPr>
          <w:p w14:paraId="407676C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0.0121</w:t>
            </w:r>
          </w:p>
        </w:tc>
        <w:tc>
          <w:tcPr>
            <w:tcW w:w="1796" w:type="dxa"/>
            <w:tcBorders>
              <w:tl2br w:val="nil"/>
              <w:tr2bl w:val="nil"/>
            </w:tcBorders>
            <w:vAlign w:val="center"/>
          </w:tcPr>
          <w:p w14:paraId="1BB7104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73.51</w:t>
            </w:r>
          </w:p>
        </w:tc>
      </w:tr>
      <w:tr w:rsidR="00055865" w:rsidRPr="00463734" w14:paraId="050EAB4F" w14:textId="77777777">
        <w:trPr>
          <w:trHeight w:val="330"/>
          <w:jc w:val="center"/>
        </w:trPr>
        <w:tc>
          <w:tcPr>
            <w:tcW w:w="1201" w:type="dxa"/>
            <w:vMerge/>
            <w:tcBorders>
              <w:tl2br w:val="nil"/>
              <w:tr2bl w:val="nil"/>
            </w:tcBorders>
            <w:vAlign w:val="center"/>
          </w:tcPr>
          <w:p w14:paraId="680C8959"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43FE149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Three</w:t>
            </w:r>
          </w:p>
        </w:tc>
        <w:tc>
          <w:tcPr>
            <w:tcW w:w="1796" w:type="dxa"/>
            <w:tcBorders>
              <w:tl2br w:val="nil"/>
              <w:tr2bl w:val="nil"/>
            </w:tcBorders>
            <w:vAlign w:val="center"/>
          </w:tcPr>
          <w:p w14:paraId="0567D47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0.0733</w:t>
            </w:r>
          </w:p>
        </w:tc>
        <w:tc>
          <w:tcPr>
            <w:tcW w:w="1796" w:type="dxa"/>
            <w:tcBorders>
              <w:tl2br w:val="nil"/>
              <w:tr2bl w:val="nil"/>
            </w:tcBorders>
            <w:vAlign w:val="center"/>
          </w:tcPr>
          <w:p w14:paraId="7B4ED89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0.017</w:t>
            </w:r>
          </w:p>
        </w:tc>
        <w:tc>
          <w:tcPr>
            <w:tcW w:w="1796" w:type="dxa"/>
            <w:tcBorders>
              <w:tl2br w:val="nil"/>
              <w:tr2bl w:val="nil"/>
            </w:tcBorders>
            <w:vAlign w:val="center"/>
          </w:tcPr>
          <w:p w14:paraId="1AD8AA6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76.74</w:t>
            </w:r>
          </w:p>
        </w:tc>
      </w:tr>
      <w:tr w:rsidR="00055865" w:rsidRPr="00463734" w14:paraId="79C50BC2" w14:textId="77777777">
        <w:trPr>
          <w:trHeight w:val="330"/>
          <w:jc w:val="center"/>
        </w:trPr>
        <w:tc>
          <w:tcPr>
            <w:tcW w:w="1201" w:type="dxa"/>
            <w:vMerge w:val="restart"/>
            <w:tcBorders>
              <w:tl2br w:val="nil"/>
              <w:tr2bl w:val="nil"/>
            </w:tcBorders>
            <w:vAlign w:val="center"/>
          </w:tcPr>
          <w:p w14:paraId="1ECEA069" w14:textId="77777777" w:rsidR="00055865" w:rsidRPr="00463734" w:rsidRDefault="00000000">
            <w:pPr>
              <w:adjustRightInd w:val="0"/>
              <w:snapToGrid w:val="0"/>
              <w:spacing w:after="60" w:line="240" w:lineRule="atLeast"/>
              <w:jc w:val="center"/>
              <w:rPr>
                <w:rFonts w:ascii="Minion Pro" w:hAnsi="Minion Pro" w:cs="Minion Pro"/>
                <w:sz w:val="15"/>
                <w:szCs w:val="15"/>
              </w:rPr>
            </w:pPr>
            <w:r w:rsidRPr="00463734">
              <w:rPr>
                <w:rFonts w:ascii="Minion Pro" w:hAnsi="Minion Pro" w:cs="Minion Pro"/>
                <w:sz w:val="15"/>
                <w:szCs w:val="15"/>
              </w:rPr>
              <w:t>Integrity Attack</w:t>
            </w:r>
          </w:p>
        </w:tc>
        <w:tc>
          <w:tcPr>
            <w:tcW w:w="1744" w:type="dxa"/>
            <w:tcBorders>
              <w:tl2br w:val="nil"/>
              <w:tr2bl w:val="nil"/>
            </w:tcBorders>
            <w:vAlign w:val="center"/>
          </w:tcPr>
          <w:p w14:paraId="77ECA42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One</w:t>
            </w:r>
          </w:p>
        </w:tc>
        <w:tc>
          <w:tcPr>
            <w:tcW w:w="1796" w:type="dxa"/>
            <w:tcBorders>
              <w:tl2br w:val="nil"/>
              <w:tr2bl w:val="nil"/>
            </w:tcBorders>
            <w:vAlign w:val="center"/>
          </w:tcPr>
          <w:p w14:paraId="4C6234F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0.9347</w:t>
            </w:r>
          </w:p>
        </w:tc>
        <w:tc>
          <w:tcPr>
            <w:tcW w:w="1796" w:type="dxa"/>
            <w:tcBorders>
              <w:tl2br w:val="nil"/>
              <w:tr2bl w:val="nil"/>
            </w:tcBorders>
            <w:vAlign w:val="center"/>
          </w:tcPr>
          <w:p w14:paraId="6E9809C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0.3642</w:t>
            </w:r>
          </w:p>
        </w:tc>
        <w:tc>
          <w:tcPr>
            <w:tcW w:w="1796" w:type="dxa"/>
            <w:tcBorders>
              <w:tl2br w:val="nil"/>
              <w:tr2bl w:val="nil"/>
            </w:tcBorders>
            <w:vAlign w:val="center"/>
          </w:tcPr>
          <w:p w14:paraId="59BB194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61.04</w:t>
            </w:r>
          </w:p>
        </w:tc>
      </w:tr>
      <w:tr w:rsidR="00055865" w:rsidRPr="00463734" w14:paraId="027E5F00" w14:textId="77777777">
        <w:trPr>
          <w:trHeight w:val="330"/>
          <w:jc w:val="center"/>
        </w:trPr>
        <w:tc>
          <w:tcPr>
            <w:tcW w:w="1201" w:type="dxa"/>
            <w:vMerge/>
            <w:tcBorders>
              <w:tl2br w:val="nil"/>
              <w:tr2bl w:val="nil"/>
            </w:tcBorders>
            <w:vAlign w:val="center"/>
          </w:tcPr>
          <w:p w14:paraId="17610B50"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00FBBD08"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Two</w:t>
            </w:r>
          </w:p>
        </w:tc>
        <w:tc>
          <w:tcPr>
            <w:tcW w:w="1796" w:type="dxa"/>
            <w:tcBorders>
              <w:tl2br w:val="nil"/>
              <w:tr2bl w:val="nil"/>
            </w:tcBorders>
            <w:vAlign w:val="center"/>
          </w:tcPr>
          <w:p w14:paraId="548F7B8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0.8203</w:t>
            </w:r>
          </w:p>
        </w:tc>
        <w:tc>
          <w:tcPr>
            <w:tcW w:w="1796" w:type="dxa"/>
            <w:tcBorders>
              <w:tl2br w:val="nil"/>
              <w:tr2bl w:val="nil"/>
            </w:tcBorders>
            <w:vAlign w:val="center"/>
          </w:tcPr>
          <w:p w14:paraId="1F82B68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0.3534</w:t>
            </w:r>
          </w:p>
        </w:tc>
        <w:tc>
          <w:tcPr>
            <w:tcW w:w="1796" w:type="dxa"/>
            <w:tcBorders>
              <w:tl2br w:val="nil"/>
              <w:tr2bl w:val="nil"/>
            </w:tcBorders>
            <w:vAlign w:val="center"/>
          </w:tcPr>
          <w:p w14:paraId="74A1E94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56.92</w:t>
            </w:r>
          </w:p>
        </w:tc>
      </w:tr>
      <w:tr w:rsidR="00055865" w:rsidRPr="00463734" w14:paraId="6C6B6506" w14:textId="77777777">
        <w:trPr>
          <w:trHeight w:val="330"/>
          <w:jc w:val="center"/>
        </w:trPr>
        <w:tc>
          <w:tcPr>
            <w:tcW w:w="1201" w:type="dxa"/>
            <w:vMerge/>
            <w:tcBorders>
              <w:tl2br w:val="nil"/>
              <w:tr2bl w:val="nil"/>
            </w:tcBorders>
            <w:vAlign w:val="center"/>
          </w:tcPr>
          <w:p w14:paraId="450F2431" w14:textId="77777777" w:rsidR="00055865" w:rsidRPr="00463734" w:rsidRDefault="00055865">
            <w:pPr>
              <w:adjustRightInd w:val="0"/>
              <w:snapToGrid w:val="0"/>
              <w:spacing w:after="60" w:line="240" w:lineRule="atLeast"/>
              <w:jc w:val="center"/>
              <w:rPr>
                <w:rFonts w:ascii="Minion Pro" w:hAnsi="Minion Pro" w:cs="Minion Pro"/>
                <w:sz w:val="15"/>
                <w:szCs w:val="15"/>
              </w:rPr>
            </w:pPr>
          </w:p>
        </w:tc>
        <w:tc>
          <w:tcPr>
            <w:tcW w:w="1744" w:type="dxa"/>
            <w:tcBorders>
              <w:tl2br w:val="nil"/>
              <w:tr2bl w:val="nil"/>
            </w:tcBorders>
            <w:vAlign w:val="center"/>
          </w:tcPr>
          <w:p w14:paraId="70EC578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Three</w:t>
            </w:r>
          </w:p>
        </w:tc>
        <w:tc>
          <w:tcPr>
            <w:tcW w:w="1796" w:type="dxa"/>
            <w:tcBorders>
              <w:tl2br w:val="nil"/>
              <w:tr2bl w:val="nil"/>
            </w:tcBorders>
            <w:vAlign w:val="center"/>
          </w:tcPr>
          <w:p w14:paraId="35E78E58"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0.4974</w:t>
            </w:r>
          </w:p>
        </w:tc>
        <w:tc>
          <w:tcPr>
            <w:tcW w:w="1796" w:type="dxa"/>
            <w:tcBorders>
              <w:tl2br w:val="nil"/>
              <w:tr2bl w:val="nil"/>
            </w:tcBorders>
            <w:vAlign w:val="center"/>
          </w:tcPr>
          <w:p w14:paraId="0F4CA2C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0.1944</w:t>
            </w:r>
          </w:p>
        </w:tc>
        <w:tc>
          <w:tcPr>
            <w:tcW w:w="1796" w:type="dxa"/>
            <w:tcBorders>
              <w:tl2br w:val="nil"/>
              <w:tr2bl w:val="nil"/>
            </w:tcBorders>
            <w:vAlign w:val="center"/>
          </w:tcPr>
          <w:p w14:paraId="0A0E94B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60.9</w:t>
            </w:r>
          </w:p>
        </w:tc>
      </w:tr>
    </w:tbl>
    <w:p w14:paraId="6F0F9AC0" w14:textId="77777777" w:rsidR="00055865" w:rsidRPr="00463734" w:rsidRDefault="00000000">
      <w:pPr>
        <w:pStyle w:val="TSP31text"/>
        <w:spacing w:before="240"/>
        <w:rPr>
          <w:rFonts w:eastAsia="宋体" w:cs="Minion Pro"/>
          <w:bCs/>
          <w:color w:val="auto"/>
          <w:lang w:eastAsia="zh-CN"/>
        </w:rPr>
      </w:pPr>
      <w:r w:rsidRPr="00463734">
        <w:rPr>
          <w:rFonts w:eastAsia="宋体" w:cs="Minion Pro" w:hint="eastAsia"/>
          <w:bCs/>
          <w:color w:val="auto"/>
          <w:lang w:eastAsia="zh-CN"/>
        </w:rPr>
        <w:t>Table S6</w:t>
      </w:r>
      <w:r w:rsidRPr="00463734">
        <w:rPr>
          <w:rFonts w:eastAsia="宋体" w:cs="Minion Pro"/>
          <w:bCs/>
          <w:color w:val="auto"/>
          <w:lang w:eastAsia="zh-CN"/>
        </w:rPr>
        <w:t xml:space="preserve"> shows that after security configuration, system risk coupling degrees under availability attacks decreased by 65.47%, 73.51%, and 76.74% across the three feeders, while integrity attacks induced reductions of 61.04%, 56.92%, and 60.90%, respectively. This validates the method’s accuracy in identifying system weak links.</w:t>
      </w:r>
    </w:p>
    <w:p w14:paraId="44B0B67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Building on distribution network information risk analysis and attack impact assessments, this section proposes the system risk coupling degree concept to quantify risk gains from cyber-physical integration. The node risk coupling degree index further enables precise weak-link identification by measuring information nodes’ contribution to system risk. These innovations provide theoretical foundations for Chapter 3’s cyber-physical risk assessment and technical support for Chapter 4’s security configuration.</w:t>
      </w:r>
    </w:p>
    <w:p w14:paraId="4A545FF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work advances quantitative analysis of cyber-physical interactions, supporting system risk evaluation, weak-link optimization, and scientific decision-making for grid operators.</w:t>
      </w:r>
    </w:p>
    <w:p w14:paraId="21F2B983" w14:textId="77777777" w:rsidR="00055865" w:rsidRPr="00463734" w:rsidRDefault="00000000">
      <w:pPr>
        <w:pStyle w:val="TSP21heading1"/>
        <w:tabs>
          <w:tab w:val="left" w:pos="0"/>
        </w:tabs>
        <w:jc w:val="both"/>
        <w:outlineLvl w:val="9"/>
        <w:rPr>
          <w:rFonts w:cs="Minion Pro"/>
          <w:i/>
          <w:iCs/>
          <w:color w:val="auto"/>
          <w:lang w:eastAsia="zh-CN"/>
        </w:rPr>
      </w:pPr>
      <w:r w:rsidRPr="00463734">
        <w:rPr>
          <w:rFonts w:eastAsiaTheme="minorEastAsia" w:cs="Minion Pro" w:hint="eastAsia"/>
          <w:i/>
          <w:iCs/>
          <w:color w:val="auto"/>
          <w:lang w:eastAsia="zh-CN"/>
        </w:rPr>
        <w:t xml:space="preserve">3.3 </w:t>
      </w:r>
      <w:r w:rsidRPr="00463734">
        <w:rPr>
          <w:rFonts w:cs="Minion Pro"/>
          <w:i/>
          <w:iCs/>
          <w:color w:val="auto"/>
          <w:lang w:eastAsia="zh-CN"/>
        </w:rPr>
        <w:t>Verification of Defense Resource Optimization</w:t>
      </w:r>
    </w:p>
    <w:p w14:paraId="77C3993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section takes the IEEE 33-node system and the CPS 62-node system as the case bases, and optimally configures the security defense resources under the scenarios of random attack and dynamic game. The method is implemented through programming in MATLAB and solved using CPLEX 12.6.3.</w:t>
      </w:r>
    </w:p>
    <w:p w14:paraId="25D925BA"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3.3.1 </w:t>
      </w:r>
      <w:r w:rsidRPr="00463734">
        <w:rPr>
          <w:rFonts w:cs="Minion Pro"/>
          <w:b w:val="0"/>
          <w:bCs/>
          <w:i/>
          <w:iCs/>
          <w:color w:val="auto"/>
          <w:lang w:eastAsia="zh-CN"/>
        </w:rPr>
        <w:t>Optimization Configuration of Security Defense Resources for Random Attacks</w:t>
      </w:r>
    </w:p>
    <w:p w14:paraId="16890F23"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IEEE 33-node System</w:t>
      </w:r>
    </w:p>
    <w:p w14:paraId="23167EE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IEEE 33-node system (</w:t>
      </w:r>
      <w:r w:rsidRPr="00463734">
        <w:rPr>
          <w:rFonts w:eastAsia="宋体" w:cs="Minion Pro" w:hint="eastAsia"/>
          <w:bCs/>
          <w:color w:val="auto"/>
          <w:lang w:eastAsia="zh-CN"/>
        </w:rPr>
        <w:t>Figure S18</w:t>
      </w:r>
      <w:r w:rsidRPr="00463734">
        <w:rPr>
          <w:rFonts w:eastAsia="宋体" w:cs="Minion Pro"/>
          <w:bCs/>
          <w:color w:val="auto"/>
          <w:lang w:eastAsia="zh-CN"/>
        </w:rPr>
        <w:t xml:space="preserve">) has a feeder failure rate of 0.05 times/(km·a), with average fault repair time and automation action time of 4 hours and 5 minutes, respectively. Unsecured RTUs face 6% switch jamming probability under availability attacks and 0.06‰ malfunction probability under integrity attacks. Defenders implement message verification modules against integrity attacks and traffic detection/self-healing modules against availability attacks. </w:t>
      </w:r>
    </w:p>
    <w:p w14:paraId="310ECE1D" w14:textId="77777777" w:rsidR="00055865" w:rsidRPr="00463734" w:rsidRDefault="00000000">
      <w:pPr>
        <w:jc w:val="center"/>
        <w:rPr>
          <w:rFonts w:ascii="Minion Pro" w:hAnsi="Minion Pro" w:cs="Minion Pro"/>
        </w:rPr>
      </w:pPr>
      <w:r w:rsidRPr="00463734">
        <w:rPr>
          <w:rFonts w:ascii="Minion Pro" w:hAnsi="Minion Pro" w:cs="Minion Pro"/>
          <w:noProof/>
        </w:rPr>
        <w:lastRenderedPageBreak/>
        <w:drawing>
          <wp:inline distT="0" distB="0" distL="114300" distR="114300" wp14:anchorId="21E6F59E" wp14:editId="34696433">
            <wp:extent cx="3959860" cy="1511300"/>
            <wp:effectExtent l="0" t="0" r="2540" b="0"/>
            <wp:docPr id="7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6"/>
                    <pic:cNvPicPr>
                      <a:picLocks noChangeAspect="1"/>
                    </pic:cNvPicPr>
                  </pic:nvPicPr>
                  <pic:blipFill>
                    <a:blip r:embed="rId70"/>
                    <a:stretch>
                      <a:fillRect/>
                    </a:stretch>
                  </pic:blipFill>
                  <pic:spPr>
                    <a:xfrm>
                      <a:off x="0" y="0"/>
                      <a:ext cx="3959860" cy="1511300"/>
                    </a:xfrm>
                    <a:prstGeom prst="rect">
                      <a:avLst/>
                    </a:prstGeom>
                    <a:noFill/>
                    <a:ln>
                      <a:noFill/>
                    </a:ln>
                  </pic:spPr>
                </pic:pic>
              </a:graphicData>
            </a:graphic>
          </wp:inline>
        </w:drawing>
      </w:r>
    </w:p>
    <w:p w14:paraId="20060DD9"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Randomly selected 16 RTUs for safety allocation</w:t>
      </w:r>
    </w:p>
    <w:p w14:paraId="234DF31C"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genetic algorithm solves the model (population=500; elite/crossover/mutation rates=0.1/0.95/0.01). All 32 system switches support RTU security configuration.</w:t>
      </w:r>
    </w:p>
    <w:p w14:paraId="0074324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(1) Impact of Terminal Equipment Security on System Risk</w:t>
      </w:r>
      <w:r w:rsidRPr="00463734">
        <w:rPr>
          <w:rFonts w:eastAsia="宋体" w:cs="Minion Pro"/>
          <w:bCs/>
          <w:color w:val="auto"/>
          <w:lang w:eastAsia="zh-CN"/>
        </w:rPr>
        <w:br/>
        <w:t>To evaluate security protection effects, 16 RTUs were randomly configured (</w:t>
      </w:r>
      <w:r w:rsidRPr="00463734">
        <w:rPr>
          <w:rFonts w:eastAsia="宋体" w:cs="Minion Pro" w:hint="eastAsia"/>
          <w:bCs/>
          <w:color w:val="auto"/>
          <w:lang w:eastAsia="zh-CN"/>
        </w:rPr>
        <w:t>Figure S20</w:t>
      </w:r>
      <w:r w:rsidRPr="00463734">
        <w:rPr>
          <w:rFonts w:eastAsia="宋体" w:cs="Minion Pro"/>
          <w:bCs/>
          <w:color w:val="auto"/>
          <w:lang w:eastAsia="zh-CN"/>
        </w:rPr>
        <w:t>) under four cases:</w:t>
      </w:r>
      <w:r w:rsidRPr="00463734">
        <w:rPr>
          <w:rFonts w:eastAsia="宋体" w:cs="Minion Pro"/>
          <w:bCs/>
          <w:color w:val="auto"/>
          <w:lang w:eastAsia="zh-CN"/>
        </w:rPr>
        <w:br/>
      </w:r>
      <w:r w:rsidRPr="00463734">
        <w:rPr>
          <w:rFonts w:eastAsia="宋体" w:cs="Minion Pro" w:hint="eastAsia"/>
          <w:bCs/>
          <w:color w:val="auto"/>
          <w:lang w:eastAsia="zh-CN"/>
        </w:rPr>
        <w:tab/>
      </w:r>
      <w:r w:rsidRPr="00463734">
        <w:rPr>
          <w:rFonts w:eastAsia="宋体" w:cs="Minion Pro" w:hint="eastAsia"/>
          <w:bCs/>
          <w:color w:val="auto"/>
          <w:lang w:eastAsia="zh-CN"/>
        </w:rPr>
        <w:t>·</w:t>
      </w:r>
      <w:r w:rsidRPr="00463734">
        <w:rPr>
          <w:rFonts w:eastAsia="宋体" w:cs="Minion Pro"/>
          <w:bCs/>
          <w:color w:val="auto"/>
          <w:lang w:eastAsia="zh-CN"/>
        </w:rPr>
        <w:t xml:space="preserve"> Case 1: No RTU security.</w:t>
      </w:r>
      <w:r w:rsidRPr="00463734">
        <w:rPr>
          <w:rFonts w:eastAsia="宋体" w:cs="Minion Pro"/>
          <w:bCs/>
          <w:color w:val="auto"/>
          <w:lang w:eastAsia="zh-CN"/>
        </w:rPr>
        <w:br/>
      </w:r>
      <w:r w:rsidRPr="00463734">
        <w:rPr>
          <w:rFonts w:eastAsia="宋体" w:cs="Minion Pro" w:hint="eastAsia"/>
          <w:bCs/>
          <w:color w:val="auto"/>
          <w:lang w:eastAsia="zh-CN"/>
        </w:rPr>
        <w:tab/>
      </w:r>
      <w:r w:rsidRPr="00463734">
        <w:rPr>
          <w:rFonts w:eastAsia="宋体" w:cs="Minion Pro" w:hint="eastAsia"/>
          <w:bCs/>
          <w:color w:val="auto"/>
          <w:lang w:eastAsia="zh-CN"/>
        </w:rPr>
        <w:t>·</w:t>
      </w:r>
      <w:r w:rsidRPr="00463734">
        <w:rPr>
          <w:rFonts w:eastAsia="宋体" w:cs="Minion Pro"/>
          <w:bCs/>
          <w:color w:val="auto"/>
          <w:lang w:eastAsia="zh-CN"/>
        </w:rPr>
        <w:t xml:space="preserve"> Case 2: Selected RTUs defend against availability attacks.</w:t>
      </w:r>
      <w:r w:rsidRPr="00463734">
        <w:rPr>
          <w:rFonts w:eastAsia="宋体" w:cs="Minion Pro"/>
          <w:bCs/>
          <w:color w:val="auto"/>
          <w:lang w:eastAsia="zh-CN"/>
        </w:rPr>
        <w:br/>
      </w:r>
      <w:r w:rsidRPr="00463734">
        <w:rPr>
          <w:rFonts w:eastAsia="宋体" w:cs="Minion Pro" w:hint="eastAsia"/>
          <w:bCs/>
          <w:color w:val="auto"/>
          <w:lang w:eastAsia="zh-CN"/>
        </w:rPr>
        <w:tab/>
      </w:r>
      <w:r w:rsidRPr="00463734">
        <w:rPr>
          <w:rFonts w:eastAsia="宋体" w:cs="Minion Pro" w:hint="eastAsia"/>
          <w:bCs/>
          <w:color w:val="auto"/>
          <w:lang w:eastAsia="zh-CN"/>
        </w:rPr>
        <w:t>·</w:t>
      </w:r>
      <w:r w:rsidRPr="00463734">
        <w:rPr>
          <w:rFonts w:eastAsia="宋体" w:cs="Minion Pro" w:hint="eastAsia"/>
          <w:bCs/>
          <w:color w:val="auto"/>
          <w:lang w:eastAsia="zh-CN"/>
        </w:rPr>
        <w:t xml:space="preserve"> </w:t>
      </w:r>
      <w:r w:rsidRPr="00463734">
        <w:rPr>
          <w:rFonts w:eastAsia="宋体" w:cs="Minion Pro"/>
          <w:bCs/>
          <w:color w:val="auto"/>
          <w:lang w:eastAsia="zh-CN"/>
        </w:rPr>
        <w:t>Case 3: Selected RTUs defend against integrity attacks.</w:t>
      </w:r>
      <w:r w:rsidRPr="00463734">
        <w:rPr>
          <w:rFonts w:eastAsia="宋体" w:cs="Minion Pro"/>
          <w:bCs/>
          <w:color w:val="auto"/>
          <w:lang w:eastAsia="zh-CN"/>
        </w:rPr>
        <w:br/>
      </w:r>
      <w:r w:rsidRPr="00463734">
        <w:rPr>
          <w:rFonts w:eastAsia="宋体" w:cs="Minion Pro" w:hint="eastAsia"/>
          <w:bCs/>
          <w:color w:val="auto"/>
          <w:lang w:eastAsia="zh-CN"/>
        </w:rPr>
        <w:tab/>
      </w:r>
      <w:r w:rsidRPr="00463734">
        <w:rPr>
          <w:rFonts w:eastAsia="宋体" w:cs="Minion Pro" w:hint="eastAsia"/>
          <w:bCs/>
          <w:color w:val="auto"/>
          <w:lang w:eastAsia="zh-CN"/>
        </w:rPr>
        <w:t>·</w:t>
      </w:r>
      <w:r w:rsidRPr="00463734">
        <w:rPr>
          <w:rFonts w:eastAsia="宋体" w:cs="Minion Pro"/>
          <w:bCs/>
          <w:color w:val="auto"/>
          <w:lang w:eastAsia="zh-CN"/>
        </w:rPr>
        <w:t xml:space="preserve"> Case 4: Selected RTUs defend against both attack types.</w:t>
      </w:r>
    </w:p>
    <w:p w14:paraId="04B94448"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For the above four situations, the proposed evaluation method was used to calculate the risks, and the results are shown in </w:t>
      </w:r>
      <w:r w:rsidRPr="00463734">
        <w:rPr>
          <w:rFonts w:eastAsia="宋体" w:cs="Minion Pro" w:hint="eastAsia"/>
          <w:bCs/>
          <w:color w:val="auto"/>
          <w:lang w:eastAsia="zh-CN"/>
        </w:rPr>
        <w:t>Table S7</w:t>
      </w:r>
      <w:r w:rsidRPr="00463734">
        <w:rPr>
          <w:rFonts w:eastAsia="宋体" w:cs="Minion Pro"/>
          <w:bCs/>
          <w:color w:val="auto"/>
          <w:lang w:eastAsia="zh-CN"/>
        </w:rPr>
        <w:t>.</w:t>
      </w:r>
    </w:p>
    <w:p w14:paraId="527D2F03" w14:textId="77777777" w:rsidR="00055865" w:rsidRPr="00463734" w:rsidRDefault="00000000">
      <w:pPr>
        <w:widowControl/>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Risk calculation results in cases 1–4</w:t>
      </w:r>
      <w:r w:rsidRPr="00463734">
        <w:rPr>
          <w:rFonts w:ascii="Minion Pro" w:eastAsia="Times New Roman" w:hAnsi="Minion Pro" w:cs="Minion Pro"/>
          <w:snapToGrid w:val="0"/>
          <w:szCs w:val="21"/>
          <w:lang w:bidi="en-US"/>
        </w:rPr>
        <w:tab/>
        <w:t>MWh</w:t>
      </w:r>
    </w:p>
    <w:tbl>
      <w:tblPr>
        <w:tblStyle w:val="TableGrid"/>
        <w:tblW w:w="0" w:type="auto"/>
        <w:tblLook w:val="04A0" w:firstRow="1" w:lastRow="0" w:firstColumn="1" w:lastColumn="0" w:noHBand="0" w:noVBand="1"/>
      </w:tblPr>
      <w:tblGrid>
        <w:gridCol w:w="2130"/>
        <w:gridCol w:w="2130"/>
        <w:gridCol w:w="2131"/>
        <w:gridCol w:w="2131"/>
      </w:tblGrid>
      <w:tr w:rsidR="00055865" w:rsidRPr="00463734" w14:paraId="75E5A8FF" w14:textId="77777777">
        <w:tc>
          <w:tcPr>
            <w:tcW w:w="2130" w:type="dxa"/>
            <w:vAlign w:val="center"/>
          </w:tcPr>
          <w:p w14:paraId="2781558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Case</w:t>
            </w:r>
          </w:p>
        </w:tc>
        <w:tc>
          <w:tcPr>
            <w:tcW w:w="2130" w:type="dxa"/>
            <w:vAlign w:val="center"/>
          </w:tcPr>
          <w:p w14:paraId="27BBB31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Fault State Risk</w:t>
            </w:r>
          </w:p>
        </w:tc>
        <w:tc>
          <w:tcPr>
            <w:tcW w:w="2131" w:type="dxa"/>
            <w:vAlign w:val="center"/>
          </w:tcPr>
          <w:p w14:paraId="66D1CA3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Normal State Risk</w:t>
            </w:r>
          </w:p>
        </w:tc>
        <w:tc>
          <w:tcPr>
            <w:tcW w:w="2131" w:type="dxa"/>
            <w:vAlign w:val="center"/>
          </w:tcPr>
          <w:p w14:paraId="1947E33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Risk</w:t>
            </w:r>
          </w:p>
        </w:tc>
      </w:tr>
      <w:tr w:rsidR="00055865" w:rsidRPr="00463734" w14:paraId="4FEEA713" w14:textId="77777777">
        <w:tc>
          <w:tcPr>
            <w:tcW w:w="2130" w:type="dxa"/>
            <w:vAlign w:val="center"/>
          </w:tcPr>
          <w:p w14:paraId="069138E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w:t>
            </w:r>
          </w:p>
        </w:tc>
        <w:tc>
          <w:tcPr>
            <w:tcW w:w="2130" w:type="dxa"/>
            <w:vAlign w:val="center"/>
          </w:tcPr>
          <w:p w14:paraId="0C4179F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10.4586</w:t>
            </w:r>
          </w:p>
        </w:tc>
        <w:tc>
          <w:tcPr>
            <w:tcW w:w="2131" w:type="dxa"/>
            <w:vAlign w:val="center"/>
          </w:tcPr>
          <w:p w14:paraId="46F1F15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1.613</w:t>
            </w:r>
          </w:p>
        </w:tc>
        <w:tc>
          <w:tcPr>
            <w:tcW w:w="2131" w:type="dxa"/>
            <w:vAlign w:val="center"/>
          </w:tcPr>
          <w:p w14:paraId="4AC3ADC8"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12.0716</w:t>
            </w:r>
          </w:p>
        </w:tc>
      </w:tr>
      <w:tr w:rsidR="00055865" w:rsidRPr="00463734" w14:paraId="43029219" w14:textId="77777777">
        <w:tc>
          <w:tcPr>
            <w:tcW w:w="2130" w:type="dxa"/>
            <w:vAlign w:val="center"/>
          </w:tcPr>
          <w:p w14:paraId="118C607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w:t>
            </w:r>
          </w:p>
        </w:tc>
        <w:tc>
          <w:tcPr>
            <w:tcW w:w="2130" w:type="dxa"/>
            <w:vAlign w:val="center"/>
          </w:tcPr>
          <w:p w14:paraId="515C8F0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10.2804</w:t>
            </w:r>
          </w:p>
        </w:tc>
        <w:tc>
          <w:tcPr>
            <w:tcW w:w="2131" w:type="dxa"/>
            <w:vAlign w:val="center"/>
          </w:tcPr>
          <w:p w14:paraId="66E8511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1.613</w:t>
            </w:r>
          </w:p>
        </w:tc>
        <w:tc>
          <w:tcPr>
            <w:tcW w:w="2131" w:type="dxa"/>
            <w:vAlign w:val="center"/>
          </w:tcPr>
          <w:p w14:paraId="797CC79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11.8934</w:t>
            </w:r>
          </w:p>
        </w:tc>
      </w:tr>
      <w:tr w:rsidR="00055865" w:rsidRPr="00463734" w14:paraId="4C8482EF" w14:textId="77777777">
        <w:tc>
          <w:tcPr>
            <w:tcW w:w="2130" w:type="dxa"/>
            <w:vAlign w:val="center"/>
          </w:tcPr>
          <w:p w14:paraId="54ABAE9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w:t>
            </w:r>
          </w:p>
        </w:tc>
        <w:tc>
          <w:tcPr>
            <w:tcW w:w="2130" w:type="dxa"/>
            <w:vAlign w:val="center"/>
          </w:tcPr>
          <w:p w14:paraId="5956753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10.4578</w:t>
            </w:r>
          </w:p>
        </w:tc>
        <w:tc>
          <w:tcPr>
            <w:tcW w:w="2131" w:type="dxa"/>
            <w:vAlign w:val="center"/>
          </w:tcPr>
          <w:p w14:paraId="64DC3B1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0.7088</w:t>
            </w:r>
          </w:p>
        </w:tc>
        <w:tc>
          <w:tcPr>
            <w:tcW w:w="2131" w:type="dxa"/>
            <w:vAlign w:val="center"/>
          </w:tcPr>
          <w:p w14:paraId="6FD4A9D7"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11.1666</w:t>
            </w:r>
          </w:p>
        </w:tc>
      </w:tr>
      <w:tr w:rsidR="00055865" w:rsidRPr="00463734" w14:paraId="0C5E7372" w14:textId="77777777">
        <w:tc>
          <w:tcPr>
            <w:tcW w:w="2130" w:type="dxa"/>
            <w:vAlign w:val="center"/>
          </w:tcPr>
          <w:p w14:paraId="129FDEF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4</w:t>
            </w:r>
          </w:p>
        </w:tc>
        <w:tc>
          <w:tcPr>
            <w:tcW w:w="2130" w:type="dxa"/>
            <w:vAlign w:val="center"/>
          </w:tcPr>
          <w:p w14:paraId="1A39A94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10.2796</w:t>
            </w:r>
          </w:p>
        </w:tc>
        <w:tc>
          <w:tcPr>
            <w:tcW w:w="2131" w:type="dxa"/>
            <w:vAlign w:val="center"/>
          </w:tcPr>
          <w:p w14:paraId="311F28A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0.7088</w:t>
            </w:r>
          </w:p>
        </w:tc>
        <w:tc>
          <w:tcPr>
            <w:tcW w:w="2131" w:type="dxa"/>
            <w:vAlign w:val="center"/>
          </w:tcPr>
          <w:p w14:paraId="1367B38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10.9884</w:t>
            </w:r>
          </w:p>
        </w:tc>
      </w:tr>
    </w:tbl>
    <w:p w14:paraId="1E7FA18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Comparing Case 1 (no security) and Case 4 (full security) shows total system risk decreased by 1.0832 MWh (faulty state: 0.1790 MWh; normal state: 0.9042 MWh), confirming security protection mitigates risk in both states. Case 3 (integrity protection) reduced risk primarily in the normal state, while Case 2 (availability protection) only reduced faulty-state risk. Since switch jamming (availability attacks) affects outage ranges during faults, and switch misoperation (integrity attacks) impacts both states, integrity attacks pose greater overall risk due to the network’s predominantly normal operation. Despite lower failure probability, integrity attacks necessitate prioritized security enhancements.</w:t>
      </w:r>
    </w:p>
    <w:p w14:paraId="2163711C"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(2) Optimization of Security Defense Resources</w:t>
      </w:r>
    </w:p>
    <w:p w14:paraId="60A61D33" w14:textId="77777777" w:rsidR="00055865" w:rsidRPr="00463734" w:rsidRDefault="00000000">
      <w:pPr>
        <w:pStyle w:val="TSP31text"/>
        <w:rPr>
          <w:rFonts w:eastAsia="宋体"/>
        </w:rPr>
      </w:pPr>
      <w:r w:rsidRPr="00463734">
        <w:rPr>
          <w:rFonts w:eastAsia="宋体"/>
        </w:rPr>
        <w:t xml:space="preserve">This section optimizes security resource allocation by calculating terminal device risk coupling degrees. To validate the proposed model, we compare it with the prior method under identical parameters. </w:t>
      </w:r>
      <w:r w:rsidRPr="00463734">
        <w:rPr>
          <w:rFonts w:eastAsia="宋体" w:hint="eastAsia"/>
        </w:rPr>
        <w:t>Table S8</w:t>
      </w:r>
      <w:r w:rsidRPr="00463734">
        <w:rPr>
          <w:rFonts w:eastAsia="宋体"/>
        </w:rPr>
        <w:t xml:space="preserve"> shows differing allocation results across availability/integrity attack scenarios, as configurations were identical in most cases. Only divergent schemes are presented.</w:t>
      </w:r>
    </w:p>
    <w:p w14:paraId="7EF70F31"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Comparison of allocation methods under different defense resource</w:t>
      </w:r>
    </w:p>
    <w:tbl>
      <w:tblPr>
        <w:tblW w:w="7680" w:type="dxa"/>
        <w:tblInd w:w="98" w:type="dxa"/>
        <w:tblLook w:val="04A0" w:firstRow="1" w:lastRow="0" w:firstColumn="1" w:lastColumn="0" w:noHBand="0" w:noVBand="1"/>
      </w:tblPr>
      <w:tblGrid>
        <w:gridCol w:w="1007"/>
        <w:gridCol w:w="966"/>
        <w:gridCol w:w="960"/>
        <w:gridCol w:w="956"/>
        <w:gridCol w:w="909"/>
        <w:gridCol w:w="966"/>
        <w:gridCol w:w="960"/>
        <w:gridCol w:w="956"/>
      </w:tblGrid>
      <w:tr w:rsidR="00055865" w:rsidRPr="00463734" w14:paraId="187E6452" w14:textId="77777777">
        <w:trPr>
          <w:trHeight w:val="280"/>
        </w:trPr>
        <w:tc>
          <w:tcPr>
            <w:tcW w:w="1173" w:type="dxa"/>
            <w:vMerge w:val="restart"/>
            <w:tcBorders>
              <w:top w:val="single" w:sz="4" w:space="0" w:color="000000"/>
              <w:left w:val="single" w:sz="4" w:space="0" w:color="000000"/>
              <w:bottom w:val="single" w:sz="4" w:space="0" w:color="000000"/>
              <w:right w:val="single" w:sz="4" w:space="0" w:color="000000"/>
            </w:tcBorders>
            <w:vAlign w:val="center"/>
          </w:tcPr>
          <w:p w14:paraId="670ECAB4"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 xml:space="preserve">Number of </w:t>
            </w:r>
            <w:r w:rsidRPr="00463734">
              <w:rPr>
                <w:rFonts w:ascii="Minion Pro" w:hAnsi="Minion Pro" w:cs="Minion Pro"/>
                <w:sz w:val="15"/>
                <w:szCs w:val="15"/>
              </w:rPr>
              <w:lastRenderedPageBreak/>
              <w:t>Secure Configured RTUs</w:t>
            </w:r>
          </w:p>
        </w:tc>
        <w:tc>
          <w:tcPr>
            <w:tcW w:w="2880" w:type="dxa"/>
            <w:gridSpan w:val="3"/>
            <w:tcBorders>
              <w:top w:val="single" w:sz="4" w:space="0" w:color="000000"/>
              <w:left w:val="single" w:sz="4" w:space="0" w:color="000000"/>
              <w:bottom w:val="single" w:sz="4" w:space="0" w:color="000000"/>
              <w:right w:val="single" w:sz="4" w:space="0" w:color="000000"/>
            </w:tcBorders>
            <w:noWrap/>
            <w:vAlign w:val="center"/>
          </w:tcPr>
          <w:p w14:paraId="3D8337A1"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lastRenderedPageBreak/>
              <w:t>Availability Attack</w:t>
            </w:r>
          </w:p>
        </w:tc>
        <w:tc>
          <w:tcPr>
            <w:tcW w:w="747" w:type="dxa"/>
            <w:vMerge w:val="restart"/>
            <w:tcBorders>
              <w:top w:val="single" w:sz="4" w:space="0" w:color="000000"/>
              <w:left w:val="single" w:sz="4" w:space="0" w:color="000000"/>
              <w:bottom w:val="single" w:sz="4" w:space="0" w:color="000000"/>
              <w:right w:val="single" w:sz="4" w:space="0" w:color="000000"/>
            </w:tcBorders>
            <w:vAlign w:val="center"/>
          </w:tcPr>
          <w:p w14:paraId="6DF9E5F7"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 xml:space="preserve">Number of </w:t>
            </w:r>
            <w:r w:rsidRPr="00463734">
              <w:rPr>
                <w:rFonts w:ascii="Minion Pro" w:hAnsi="Minion Pro" w:cs="Minion Pro"/>
                <w:sz w:val="15"/>
                <w:szCs w:val="15"/>
              </w:rPr>
              <w:lastRenderedPageBreak/>
              <w:t>Secure Configured RTUs</w:t>
            </w:r>
          </w:p>
        </w:tc>
        <w:tc>
          <w:tcPr>
            <w:tcW w:w="2880" w:type="dxa"/>
            <w:gridSpan w:val="3"/>
            <w:tcBorders>
              <w:top w:val="single" w:sz="4" w:space="0" w:color="000000"/>
              <w:left w:val="single" w:sz="4" w:space="0" w:color="000000"/>
              <w:bottom w:val="single" w:sz="4" w:space="0" w:color="000000"/>
              <w:right w:val="single" w:sz="4" w:space="0" w:color="000000"/>
            </w:tcBorders>
            <w:noWrap/>
            <w:vAlign w:val="center"/>
          </w:tcPr>
          <w:p w14:paraId="26F823B3"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lastRenderedPageBreak/>
              <w:t>Integrity Attack</w:t>
            </w:r>
          </w:p>
        </w:tc>
      </w:tr>
      <w:tr w:rsidR="00055865" w:rsidRPr="00463734" w14:paraId="255772AC" w14:textId="77777777">
        <w:trPr>
          <w:trHeight w:val="840"/>
        </w:trPr>
        <w:tc>
          <w:tcPr>
            <w:tcW w:w="1173" w:type="dxa"/>
            <w:vMerge/>
            <w:tcBorders>
              <w:top w:val="single" w:sz="4" w:space="0" w:color="000000"/>
              <w:left w:val="single" w:sz="4" w:space="0" w:color="000000"/>
              <w:bottom w:val="single" w:sz="4" w:space="0" w:color="000000"/>
              <w:right w:val="single" w:sz="4" w:space="0" w:color="000000"/>
            </w:tcBorders>
            <w:vAlign w:val="center"/>
          </w:tcPr>
          <w:p w14:paraId="43DB4C8B" w14:textId="77777777" w:rsidR="00055865" w:rsidRPr="00463734" w:rsidRDefault="00055865">
            <w:pPr>
              <w:jc w:val="center"/>
              <w:rPr>
                <w:rFonts w:ascii="Minion Pro" w:hAnsi="Minion Pro" w:cs="Minion Pro"/>
                <w:sz w:val="15"/>
                <w:szCs w:val="15"/>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4F145786"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Comparison Method (MWh)</w:t>
            </w:r>
          </w:p>
        </w:tc>
        <w:tc>
          <w:tcPr>
            <w:tcW w:w="960" w:type="dxa"/>
            <w:tcBorders>
              <w:top w:val="single" w:sz="4" w:space="0" w:color="000000"/>
              <w:left w:val="single" w:sz="4" w:space="0" w:color="000000"/>
              <w:bottom w:val="single" w:sz="4" w:space="0" w:color="000000"/>
              <w:right w:val="single" w:sz="4" w:space="0" w:color="000000"/>
            </w:tcBorders>
            <w:vAlign w:val="center"/>
          </w:tcPr>
          <w:p w14:paraId="5A6E8027"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Methods of This Chapter (MWh)</w:t>
            </w:r>
          </w:p>
        </w:tc>
        <w:tc>
          <w:tcPr>
            <w:tcW w:w="960" w:type="dxa"/>
            <w:tcBorders>
              <w:top w:val="single" w:sz="4" w:space="0" w:color="000000"/>
              <w:left w:val="single" w:sz="4" w:space="0" w:color="000000"/>
              <w:bottom w:val="single" w:sz="4" w:space="0" w:color="000000"/>
              <w:right w:val="single" w:sz="4" w:space="0" w:color="000000"/>
            </w:tcBorders>
            <w:vAlign w:val="center"/>
          </w:tcPr>
          <w:p w14:paraId="5C373527"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Percentage Reduction (%)</w:t>
            </w:r>
          </w:p>
        </w:tc>
        <w:tc>
          <w:tcPr>
            <w:tcW w:w="747" w:type="dxa"/>
            <w:vMerge/>
            <w:tcBorders>
              <w:top w:val="single" w:sz="4" w:space="0" w:color="000000"/>
              <w:left w:val="single" w:sz="4" w:space="0" w:color="000000"/>
              <w:bottom w:val="single" w:sz="4" w:space="0" w:color="000000"/>
              <w:right w:val="single" w:sz="4" w:space="0" w:color="000000"/>
            </w:tcBorders>
            <w:vAlign w:val="center"/>
          </w:tcPr>
          <w:p w14:paraId="4CFF02F7" w14:textId="77777777" w:rsidR="00055865" w:rsidRPr="00463734" w:rsidRDefault="00055865">
            <w:pPr>
              <w:jc w:val="center"/>
              <w:rPr>
                <w:rFonts w:ascii="Minion Pro" w:hAnsi="Minion Pro" w:cs="Minion Pro"/>
                <w:sz w:val="15"/>
                <w:szCs w:val="15"/>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6E21A9D9"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Comparison Method (MWh)</w:t>
            </w:r>
          </w:p>
        </w:tc>
        <w:tc>
          <w:tcPr>
            <w:tcW w:w="960" w:type="dxa"/>
            <w:tcBorders>
              <w:top w:val="single" w:sz="4" w:space="0" w:color="000000"/>
              <w:left w:val="single" w:sz="4" w:space="0" w:color="000000"/>
              <w:bottom w:val="single" w:sz="4" w:space="0" w:color="000000"/>
              <w:right w:val="single" w:sz="4" w:space="0" w:color="000000"/>
            </w:tcBorders>
            <w:vAlign w:val="center"/>
          </w:tcPr>
          <w:p w14:paraId="1C7DEE28"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Methods of This Chapter (MWh)</w:t>
            </w:r>
          </w:p>
        </w:tc>
        <w:tc>
          <w:tcPr>
            <w:tcW w:w="960" w:type="dxa"/>
            <w:tcBorders>
              <w:top w:val="single" w:sz="4" w:space="0" w:color="000000"/>
              <w:left w:val="single" w:sz="4" w:space="0" w:color="000000"/>
              <w:bottom w:val="single" w:sz="4" w:space="0" w:color="000000"/>
              <w:right w:val="single" w:sz="4" w:space="0" w:color="000000"/>
            </w:tcBorders>
            <w:vAlign w:val="center"/>
          </w:tcPr>
          <w:p w14:paraId="262645FB"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Percentage Reduction (%)</w:t>
            </w:r>
          </w:p>
        </w:tc>
      </w:tr>
      <w:tr w:rsidR="00055865" w:rsidRPr="00463734" w14:paraId="29AEAC1D" w14:textId="77777777">
        <w:trPr>
          <w:trHeight w:val="280"/>
        </w:trPr>
        <w:tc>
          <w:tcPr>
            <w:tcW w:w="1173" w:type="dxa"/>
            <w:tcBorders>
              <w:top w:val="single" w:sz="4" w:space="0" w:color="000000"/>
              <w:left w:val="single" w:sz="4" w:space="0" w:color="000000"/>
              <w:bottom w:val="single" w:sz="4" w:space="0" w:color="000000"/>
              <w:right w:val="single" w:sz="4" w:space="0" w:color="000000"/>
            </w:tcBorders>
            <w:vAlign w:val="center"/>
          </w:tcPr>
          <w:p w14:paraId="26D6E4B6"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w:t>
            </w:r>
          </w:p>
        </w:tc>
        <w:tc>
          <w:tcPr>
            <w:tcW w:w="960" w:type="dxa"/>
            <w:tcBorders>
              <w:top w:val="single" w:sz="4" w:space="0" w:color="000000"/>
              <w:left w:val="single" w:sz="4" w:space="0" w:color="000000"/>
              <w:bottom w:val="single" w:sz="4" w:space="0" w:color="000000"/>
              <w:right w:val="single" w:sz="4" w:space="0" w:color="000000"/>
            </w:tcBorders>
            <w:vAlign w:val="center"/>
          </w:tcPr>
          <w:p w14:paraId="1D10E4C0"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10.101</w:t>
            </w:r>
          </w:p>
        </w:tc>
        <w:tc>
          <w:tcPr>
            <w:tcW w:w="960" w:type="dxa"/>
            <w:tcBorders>
              <w:top w:val="single" w:sz="4" w:space="0" w:color="000000"/>
              <w:left w:val="single" w:sz="4" w:space="0" w:color="000000"/>
              <w:bottom w:val="single" w:sz="4" w:space="0" w:color="000000"/>
              <w:right w:val="single" w:sz="4" w:space="0" w:color="000000"/>
            </w:tcBorders>
            <w:vAlign w:val="center"/>
          </w:tcPr>
          <w:p w14:paraId="2C2449EE"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10.0973</w:t>
            </w:r>
          </w:p>
        </w:tc>
        <w:tc>
          <w:tcPr>
            <w:tcW w:w="960" w:type="dxa"/>
            <w:tcBorders>
              <w:top w:val="single" w:sz="4" w:space="0" w:color="000000"/>
              <w:left w:val="single" w:sz="4" w:space="0" w:color="000000"/>
              <w:bottom w:val="single" w:sz="4" w:space="0" w:color="000000"/>
              <w:right w:val="single" w:sz="4" w:space="0" w:color="000000"/>
            </w:tcBorders>
            <w:vAlign w:val="center"/>
          </w:tcPr>
          <w:p w14:paraId="07350170"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0.0371</w:t>
            </w:r>
          </w:p>
        </w:tc>
        <w:tc>
          <w:tcPr>
            <w:tcW w:w="747" w:type="dxa"/>
            <w:tcBorders>
              <w:top w:val="single" w:sz="4" w:space="0" w:color="000000"/>
              <w:left w:val="single" w:sz="4" w:space="0" w:color="000000"/>
              <w:bottom w:val="single" w:sz="4" w:space="0" w:color="000000"/>
              <w:right w:val="single" w:sz="4" w:space="0" w:color="000000"/>
            </w:tcBorders>
            <w:vAlign w:val="center"/>
          </w:tcPr>
          <w:p w14:paraId="1784CE3A"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24</w:t>
            </w:r>
          </w:p>
        </w:tc>
        <w:tc>
          <w:tcPr>
            <w:tcW w:w="960" w:type="dxa"/>
            <w:tcBorders>
              <w:top w:val="single" w:sz="4" w:space="0" w:color="000000"/>
              <w:left w:val="single" w:sz="4" w:space="0" w:color="000000"/>
              <w:bottom w:val="single" w:sz="4" w:space="0" w:color="000000"/>
              <w:right w:val="single" w:sz="4" w:space="0" w:color="000000"/>
            </w:tcBorders>
            <w:vAlign w:val="center"/>
          </w:tcPr>
          <w:p w14:paraId="5CE844CF"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10.1319</w:t>
            </w:r>
          </w:p>
        </w:tc>
        <w:tc>
          <w:tcPr>
            <w:tcW w:w="960" w:type="dxa"/>
            <w:tcBorders>
              <w:top w:val="single" w:sz="4" w:space="0" w:color="000000"/>
              <w:left w:val="single" w:sz="4" w:space="0" w:color="000000"/>
              <w:bottom w:val="single" w:sz="4" w:space="0" w:color="000000"/>
              <w:right w:val="single" w:sz="4" w:space="0" w:color="000000"/>
            </w:tcBorders>
            <w:vAlign w:val="center"/>
          </w:tcPr>
          <w:p w14:paraId="55A4ACD0"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10.1318</w:t>
            </w:r>
          </w:p>
        </w:tc>
        <w:tc>
          <w:tcPr>
            <w:tcW w:w="960" w:type="dxa"/>
            <w:tcBorders>
              <w:top w:val="single" w:sz="4" w:space="0" w:color="000000"/>
              <w:left w:val="single" w:sz="4" w:space="0" w:color="000000"/>
              <w:bottom w:val="single" w:sz="4" w:space="0" w:color="000000"/>
              <w:right w:val="single" w:sz="4" w:space="0" w:color="000000"/>
            </w:tcBorders>
            <w:vAlign w:val="center"/>
          </w:tcPr>
          <w:p w14:paraId="29868BD1"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0.001</w:t>
            </w:r>
          </w:p>
        </w:tc>
      </w:tr>
      <w:tr w:rsidR="00055865" w:rsidRPr="00463734" w14:paraId="66071C8B" w14:textId="77777777">
        <w:trPr>
          <w:trHeight w:val="280"/>
        </w:trPr>
        <w:tc>
          <w:tcPr>
            <w:tcW w:w="1173" w:type="dxa"/>
            <w:tcBorders>
              <w:top w:val="single" w:sz="4" w:space="0" w:color="000000"/>
              <w:left w:val="single" w:sz="4" w:space="0" w:color="000000"/>
              <w:bottom w:val="single" w:sz="4" w:space="0" w:color="000000"/>
              <w:right w:val="single" w:sz="4" w:space="0" w:color="000000"/>
            </w:tcBorders>
            <w:vAlign w:val="center"/>
          </w:tcPr>
          <w:p w14:paraId="2D0DB08C"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15</w:t>
            </w:r>
          </w:p>
        </w:tc>
        <w:tc>
          <w:tcPr>
            <w:tcW w:w="960" w:type="dxa"/>
            <w:tcBorders>
              <w:top w:val="single" w:sz="4" w:space="0" w:color="000000"/>
              <w:left w:val="single" w:sz="4" w:space="0" w:color="000000"/>
              <w:bottom w:val="single" w:sz="4" w:space="0" w:color="000000"/>
              <w:right w:val="single" w:sz="4" w:space="0" w:color="000000"/>
            </w:tcBorders>
            <w:vAlign w:val="center"/>
          </w:tcPr>
          <w:p w14:paraId="013AC6CD"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10.0915</w:t>
            </w:r>
          </w:p>
        </w:tc>
        <w:tc>
          <w:tcPr>
            <w:tcW w:w="960" w:type="dxa"/>
            <w:tcBorders>
              <w:top w:val="single" w:sz="4" w:space="0" w:color="000000"/>
              <w:left w:val="single" w:sz="4" w:space="0" w:color="000000"/>
              <w:bottom w:val="single" w:sz="4" w:space="0" w:color="000000"/>
              <w:right w:val="single" w:sz="4" w:space="0" w:color="000000"/>
            </w:tcBorders>
            <w:vAlign w:val="center"/>
          </w:tcPr>
          <w:p w14:paraId="46E95514"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10.0846</w:t>
            </w:r>
          </w:p>
        </w:tc>
        <w:tc>
          <w:tcPr>
            <w:tcW w:w="960" w:type="dxa"/>
            <w:tcBorders>
              <w:top w:val="single" w:sz="4" w:space="0" w:color="000000"/>
              <w:left w:val="single" w:sz="4" w:space="0" w:color="000000"/>
              <w:bottom w:val="single" w:sz="4" w:space="0" w:color="000000"/>
              <w:right w:val="single" w:sz="4" w:space="0" w:color="000000"/>
            </w:tcBorders>
            <w:vAlign w:val="center"/>
          </w:tcPr>
          <w:p w14:paraId="0071B95C"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0.0684</w:t>
            </w:r>
          </w:p>
        </w:tc>
        <w:tc>
          <w:tcPr>
            <w:tcW w:w="747" w:type="dxa"/>
            <w:tcBorders>
              <w:top w:val="single" w:sz="4" w:space="0" w:color="000000"/>
              <w:left w:val="single" w:sz="4" w:space="0" w:color="000000"/>
              <w:bottom w:val="single" w:sz="4" w:space="0" w:color="000000"/>
              <w:right w:val="single" w:sz="4" w:space="0" w:color="000000"/>
            </w:tcBorders>
            <w:vAlign w:val="center"/>
          </w:tcPr>
          <w:p w14:paraId="25E0BC3D"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25</w:t>
            </w:r>
          </w:p>
        </w:tc>
        <w:tc>
          <w:tcPr>
            <w:tcW w:w="960" w:type="dxa"/>
            <w:tcBorders>
              <w:top w:val="single" w:sz="4" w:space="0" w:color="000000"/>
              <w:left w:val="single" w:sz="4" w:space="0" w:color="000000"/>
              <w:bottom w:val="single" w:sz="4" w:space="0" w:color="000000"/>
              <w:right w:val="single" w:sz="4" w:space="0" w:color="000000"/>
            </w:tcBorders>
            <w:vAlign w:val="center"/>
          </w:tcPr>
          <w:p w14:paraId="39A24462"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10.1177</w:t>
            </w:r>
          </w:p>
        </w:tc>
        <w:tc>
          <w:tcPr>
            <w:tcW w:w="960" w:type="dxa"/>
            <w:tcBorders>
              <w:top w:val="single" w:sz="4" w:space="0" w:color="000000"/>
              <w:left w:val="single" w:sz="4" w:space="0" w:color="000000"/>
              <w:bottom w:val="single" w:sz="4" w:space="0" w:color="000000"/>
              <w:right w:val="single" w:sz="4" w:space="0" w:color="000000"/>
            </w:tcBorders>
            <w:vAlign w:val="center"/>
          </w:tcPr>
          <w:p w14:paraId="212628E0"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10.1176</w:t>
            </w:r>
          </w:p>
        </w:tc>
        <w:tc>
          <w:tcPr>
            <w:tcW w:w="960" w:type="dxa"/>
            <w:tcBorders>
              <w:top w:val="single" w:sz="4" w:space="0" w:color="000000"/>
              <w:left w:val="single" w:sz="4" w:space="0" w:color="000000"/>
              <w:bottom w:val="single" w:sz="4" w:space="0" w:color="000000"/>
              <w:right w:val="single" w:sz="4" w:space="0" w:color="000000"/>
            </w:tcBorders>
            <w:vAlign w:val="center"/>
          </w:tcPr>
          <w:p w14:paraId="4FFADD42"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0.0009</w:t>
            </w:r>
          </w:p>
        </w:tc>
      </w:tr>
      <w:tr w:rsidR="00055865" w:rsidRPr="00463734" w14:paraId="41F239F7" w14:textId="77777777">
        <w:trPr>
          <w:trHeight w:val="280"/>
        </w:trPr>
        <w:tc>
          <w:tcPr>
            <w:tcW w:w="1173" w:type="dxa"/>
            <w:tcBorders>
              <w:top w:val="single" w:sz="4" w:space="0" w:color="000000"/>
              <w:left w:val="single" w:sz="4" w:space="0" w:color="000000"/>
              <w:bottom w:val="single" w:sz="4" w:space="0" w:color="000000"/>
              <w:right w:val="single" w:sz="4" w:space="0" w:color="000000"/>
            </w:tcBorders>
            <w:vAlign w:val="center"/>
          </w:tcPr>
          <w:p w14:paraId="39DEEC18"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18</w:t>
            </w:r>
          </w:p>
        </w:tc>
        <w:tc>
          <w:tcPr>
            <w:tcW w:w="960" w:type="dxa"/>
            <w:tcBorders>
              <w:top w:val="single" w:sz="4" w:space="0" w:color="000000"/>
              <w:left w:val="single" w:sz="4" w:space="0" w:color="000000"/>
              <w:bottom w:val="single" w:sz="4" w:space="0" w:color="000000"/>
              <w:right w:val="single" w:sz="4" w:space="0" w:color="000000"/>
            </w:tcBorders>
            <w:vAlign w:val="center"/>
          </w:tcPr>
          <w:p w14:paraId="38142844"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10.0886</w:t>
            </w:r>
          </w:p>
        </w:tc>
        <w:tc>
          <w:tcPr>
            <w:tcW w:w="960" w:type="dxa"/>
            <w:tcBorders>
              <w:top w:val="single" w:sz="4" w:space="0" w:color="000000"/>
              <w:left w:val="single" w:sz="4" w:space="0" w:color="000000"/>
              <w:bottom w:val="single" w:sz="4" w:space="0" w:color="000000"/>
              <w:right w:val="single" w:sz="4" w:space="0" w:color="000000"/>
            </w:tcBorders>
            <w:vAlign w:val="center"/>
          </w:tcPr>
          <w:p w14:paraId="7859807B"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10.0836</w:t>
            </w:r>
          </w:p>
        </w:tc>
        <w:tc>
          <w:tcPr>
            <w:tcW w:w="960" w:type="dxa"/>
            <w:tcBorders>
              <w:top w:val="single" w:sz="4" w:space="0" w:color="000000"/>
              <w:left w:val="single" w:sz="4" w:space="0" w:color="000000"/>
              <w:bottom w:val="single" w:sz="4" w:space="0" w:color="000000"/>
              <w:right w:val="single" w:sz="4" w:space="0" w:color="000000"/>
            </w:tcBorders>
            <w:vAlign w:val="center"/>
          </w:tcPr>
          <w:p w14:paraId="1CA2EF57"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0.0497</w:t>
            </w:r>
          </w:p>
        </w:tc>
        <w:tc>
          <w:tcPr>
            <w:tcW w:w="747" w:type="dxa"/>
            <w:tcBorders>
              <w:top w:val="single" w:sz="4" w:space="0" w:color="000000"/>
              <w:left w:val="single" w:sz="4" w:space="0" w:color="000000"/>
              <w:bottom w:val="single" w:sz="4" w:space="0" w:color="000000"/>
              <w:right w:val="single" w:sz="4" w:space="0" w:color="000000"/>
            </w:tcBorders>
            <w:vAlign w:val="center"/>
          </w:tcPr>
          <w:p w14:paraId="31C48B70"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30</w:t>
            </w:r>
          </w:p>
        </w:tc>
        <w:tc>
          <w:tcPr>
            <w:tcW w:w="960" w:type="dxa"/>
            <w:tcBorders>
              <w:top w:val="single" w:sz="4" w:space="0" w:color="000000"/>
              <w:left w:val="single" w:sz="4" w:space="0" w:color="000000"/>
              <w:bottom w:val="single" w:sz="4" w:space="0" w:color="000000"/>
              <w:right w:val="single" w:sz="4" w:space="0" w:color="000000"/>
            </w:tcBorders>
            <w:vAlign w:val="center"/>
          </w:tcPr>
          <w:p w14:paraId="5C260F51"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10.0704</w:t>
            </w:r>
          </w:p>
        </w:tc>
        <w:tc>
          <w:tcPr>
            <w:tcW w:w="960" w:type="dxa"/>
            <w:tcBorders>
              <w:top w:val="single" w:sz="4" w:space="0" w:color="000000"/>
              <w:left w:val="single" w:sz="4" w:space="0" w:color="000000"/>
              <w:bottom w:val="single" w:sz="4" w:space="0" w:color="000000"/>
              <w:right w:val="single" w:sz="4" w:space="0" w:color="000000"/>
            </w:tcBorders>
            <w:vAlign w:val="center"/>
          </w:tcPr>
          <w:p w14:paraId="3B268924"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10.0703</w:t>
            </w:r>
          </w:p>
        </w:tc>
        <w:tc>
          <w:tcPr>
            <w:tcW w:w="960" w:type="dxa"/>
            <w:tcBorders>
              <w:top w:val="single" w:sz="4" w:space="0" w:color="000000"/>
              <w:left w:val="single" w:sz="4" w:space="0" w:color="000000"/>
              <w:bottom w:val="single" w:sz="4" w:space="0" w:color="000000"/>
              <w:right w:val="single" w:sz="4" w:space="0" w:color="000000"/>
            </w:tcBorders>
            <w:vAlign w:val="center"/>
          </w:tcPr>
          <w:p w14:paraId="50680770" w14:textId="77777777" w:rsidR="00055865" w:rsidRPr="00463734" w:rsidRDefault="00000000">
            <w:pPr>
              <w:jc w:val="center"/>
              <w:rPr>
                <w:rFonts w:ascii="Minion Pro" w:hAnsi="Minion Pro" w:cs="Minion Pro"/>
                <w:sz w:val="15"/>
                <w:szCs w:val="15"/>
              </w:rPr>
            </w:pPr>
            <w:r w:rsidRPr="00463734">
              <w:rPr>
                <w:rFonts w:ascii="Minion Pro" w:hAnsi="Minion Pro" w:cs="Minion Pro"/>
                <w:sz w:val="15"/>
                <w:szCs w:val="15"/>
              </w:rPr>
              <w:t>0.0012</w:t>
            </w:r>
          </w:p>
        </w:tc>
      </w:tr>
    </w:tbl>
    <w:p w14:paraId="04F8A0B9" w14:textId="77777777" w:rsidR="00055865" w:rsidRPr="00463734" w:rsidRDefault="00000000">
      <w:pPr>
        <w:pStyle w:val="TSP31text"/>
        <w:spacing w:before="240"/>
        <w:rPr>
          <w:rFonts w:eastAsia="宋体" w:cs="Minion Pro"/>
          <w:bCs/>
          <w:color w:val="auto"/>
          <w:lang w:eastAsia="zh-CN"/>
        </w:rPr>
      </w:pPr>
      <w:r w:rsidRPr="00463734">
        <w:rPr>
          <w:rFonts w:eastAsia="宋体" w:cs="Minion Pro" w:hint="eastAsia"/>
          <w:bCs/>
          <w:color w:val="auto"/>
          <w:lang w:eastAsia="zh-CN"/>
        </w:rPr>
        <w:t>Table S8</w:t>
      </w:r>
      <w:r w:rsidRPr="00463734">
        <w:rPr>
          <w:rFonts w:eastAsia="宋体" w:cs="Minion Pro"/>
          <w:bCs/>
          <w:color w:val="auto"/>
          <w:lang w:eastAsia="zh-CN"/>
        </w:rPr>
        <w:t xml:space="preserve"> shows our method outperforms the comparison approach at RTU configurations of 10/15/18 (availability attacks) and 24/25/30 (integrity attacks). Though both methods identify system weaknesses, our optimization achieves superior defense effects, though risk reduction differences are marginal (max 0.0684%). This limited improvement stems from the IEEE 33-node system’s single-supply structure and low information-dependency during fault isolation.</w:t>
      </w:r>
    </w:p>
    <w:p w14:paraId="513A98E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Figures </w:t>
      </w:r>
      <w:r w:rsidRPr="00463734">
        <w:rPr>
          <w:rFonts w:eastAsia="宋体" w:cs="Minion Pro" w:hint="eastAsia"/>
          <w:bCs/>
          <w:color w:val="auto"/>
          <w:lang w:eastAsia="zh-CN"/>
        </w:rPr>
        <w:t>S21</w:t>
      </w:r>
      <w:r w:rsidRPr="00463734">
        <w:rPr>
          <w:rFonts w:eastAsia="宋体" w:cs="Minion Pro"/>
          <w:bCs/>
          <w:color w:val="auto"/>
          <w:lang w:eastAsia="zh-CN"/>
        </w:rPr>
        <w:t xml:space="preserve"> and </w:t>
      </w:r>
      <w:r w:rsidRPr="00463734">
        <w:rPr>
          <w:rFonts w:eastAsia="宋体" w:cs="Minion Pro" w:hint="eastAsia"/>
          <w:bCs/>
          <w:color w:val="auto"/>
          <w:lang w:eastAsia="zh-CN"/>
        </w:rPr>
        <w:t>S22</w:t>
      </w:r>
      <w:r w:rsidRPr="00463734">
        <w:rPr>
          <w:rFonts w:eastAsia="宋体" w:cs="Minion Pro"/>
          <w:bCs/>
          <w:color w:val="auto"/>
          <w:lang w:eastAsia="zh-CN"/>
        </w:rPr>
        <w:t xml:space="preserve"> illustrate configurations achieving 0.0684% risk reduction. Both schemes are similar, but our method deploys resources to S32 (upstream load: 0.15/0.21 MW), while the comparison selects S26 (0.06 MW). S32’s higher load increases fault propagation risk to nodes 31-32 and upstream areas.</w:t>
      </w:r>
    </w:p>
    <w:p w14:paraId="5008722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comparison method’s proportional allocation misestimates component impacts. For example, in S25-S26 joint failures, S25 alone causes identical consequences, leading to S26’s overestimation and resource misallocation. Our optimization model avoids this by evaluating configuration-specific impacts.</w:t>
      </w:r>
    </w:p>
    <w:p w14:paraId="6F10A174"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Configuration discrepancies follow similar logic. Integrity attacks show smaller method differences due to lower component failure probabilities and reduced multi-attack events, diminishing the proportional method’s inaccuracies.</w:t>
      </w:r>
    </w:p>
    <w:p w14:paraId="6C0EC411"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4A35BC0A" wp14:editId="0A7B985D">
            <wp:extent cx="3959860" cy="1580515"/>
            <wp:effectExtent l="0" t="0" r="2540" b="6985"/>
            <wp:docPr id="7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15"/>
                    <pic:cNvPicPr>
                      <a:picLocks noChangeAspect="1"/>
                    </pic:cNvPicPr>
                  </pic:nvPicPr>
                  <pic:blipFill>
                    <a:blip r:embed="rId71"/>
                    <a:stretch>
                      <a:fillRect/>
                    </a:stretch>
                  </pic:blipFill>
                  <pic:spPr>
                    <a:xfrm>
                      <a:off x="0" y="0"/>
                      <a:ext cx="3959860" cy="1580515"/>
                    </a:xfrm>
                    <a:prstGeom prst="rect">
                      <a:avLst/>
                    </a:prstGeom>
                    <a:noFill/>
                    <a:ln>
                      <a:noFill/>
                    </a:ln>
                  </pic:spPr>
                </pic:pic>
              </a:graphicData>
            </a:graphic>
          </wp:inline>
        </w:drawing>
      </w:r>
    </w:p>
    <w:p w14:paraId="0D84B3CB"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results of proposed method when the number of securely allocated RTUs is 15under availability attack</w:t>
      </w:r>
    </w:p>
    <w:p w14:paraId="36F230B6"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4290DB43" wp14:editId="4A386B03">
            <wp:extent cx="3959860" cy="1409700"/>
            <wp:effectExtent l="0" t="0" r="2540" b="0"/>
            <wp:docPr id="7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14"/>
                    <pic:cNvPicPr>
                      <a:picLocks noChangeAspect="1"/>
                    </pic:cNvPicPr>
                  </pic:nvPicPr>
                  <pic:blipFill>
                    <a:blip r:embed="rId72"/>
                    <a:stretch>
                      <a:fillRect/>
                    </a:stretch>
                  </pic:blipFill>
                  <pic:spPr>
                    <a:xfrm>
                      <a:off x="0" y="0"/>
                      <a:ext cx="3959860" cy="1409700"/>
                    </a:xfrm>
                    <a:prstGeom prst="rect">
                      <a:avLst/>
                    </a:prstGeom>
                    <a:noFill/>
                    <a:ln>
                      <a:noFill/>
                    </a:ln>
                  </pic:spPr>
                </pic:pic>
              </a:graphicData>
            </a:graphic>
          </wp:inline>
        </w:drawing>
      </w:r>
    </w:p>
    <w:p w14:paraId="04439847"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 xml:space="preserve">Allocation results of comparison method when the number of securely allocated RTUs </w:t>
      </w:r>
      <w:r w:rsidRPr="00463734">
        <w:rPr>
          <w:rFonts w:ascii="Minion Pro" w:hAnsi="Minion Pro" w:cs="Minion Pro"/>
        </w:rPr>
        <w:lastRenderedPageBreak/>
        <w:t>is 15under availability attack</w:t>
      </w:r>
    </w:p>
    <w:p w14:paraId="30358D52"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section also analyzed the simulation times of the two methods, and the results are shown in </w:t>
      </w:r>
      <w:r w:rsidRPr="00463734">
        <w:rPr>
          <w:rFonts w:eastAsia="宋体" w:cs="Minion Pro" w:hint="eastAsia"/>
          <w:bCs/>
          <w:color w:val="auto"/>
          <w:lang w:eastAsia="zh-CN"/>
        </w:rPr>
        <w:t>Table S9</w:t>
      </w:r>
      <w:r w:rsidRPr="00463734">
        <w:rPr>
          <w:rFonts w:eastAsia="宋体" w:cs="Minion Pro"/>
          <w:bCs/>
          <w:color w:val="auto"/>
          <w:lang w:eastAsia="zh-CN"/>
        </w:rPr>
        <w:t>. The computing time of the method in this section is much lower than that of the comparison method, approximately 2% - 3% less. The reason is that the comparison method needs to calculate the risks of a large number of attack events to assess the RTU risk coupling degree, and the calculation volume is huge; while the method in this section models resource allocation as an optimization problem, and does not need to calculate the consequences of each attack one by one, resulting in a significant improvement in calculation efficiency.</w:t>
      </w:r>
    </w:p>
    <w:p w14:paraId="117B5F1B"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Comparison of computing time for different allocation methods</w:t>
      </w:r>
    </w:p>
    <w:tbl>
      <w:tblPr>
        <w:tblStyle w:val="TableGrid"/>
        <w:tblW w:w="0" w:type="auto"/>
        <w:tblLook w:val="04A0" w:firstRow="1" w:lastRow="0" w:firstColumn="1" w:lastColumn="0" w:noHBand="0" w:noVBand="1"/>
      </w:tblPr>
      <w:tblGrid>
        <w:gridCol w:w="2130"/>
        <w:gridCol w:w="2130"/>
        <w:gridCol w:w="2131"/>
        <w:gridCol w:w="2131"/>
      </w:tblGrid>
      <w:tr w:rsidR="00055865" w:rsidRPr="00463734" w14:paraId="503391F8" w14:textId="77777777">
        <w:tc>
          <w:tcPr>
            <w:tcW w:w="2130" w:type="dxa"/>
            <w:vAlign w:val="center"/>
          </w:tcPr>
          <w:p w14:paraId="44FC39E4" w14:textId="77777777" w:rsidR="00055865" w:rsidRPr="00463734" w:rsidRDefault="00000000">
            <w:pPr>
              <w:widowControl/>
              <w:jc w:val="center"/>
              <w:textAlignment w:val="center"/>
              <w:rPr>
                <w:rFonts w:ascii="Minion Pro" w:hAnsi="Minion Pro" w:cs="Minion Pro"/>
                <w:b/>
                <w:bCs/>
                <w:sz w:val="15"/>
                <w:szCs w:val="15"/>
              </w:rPr>
            </w:pPr>
            <w:r w:rsidRPr="00463734">
              <w:rPr>
                <w:rFonts w:ascii="Minion Pro" w:hAnsi="Minion Pro" w:cs="Minion Pro"/>
                <w:sz w:val="15"/>
                <w:szCs w:val="15"/>
              </w:rPr>
              <w:t>Attack Type</w:t>
            </w:r>
          </w:p>
        </w:tc>
        <w:tc>
          <w:tcPr>
            <w:tcW w:w="2130" w:type="dxa"/>
            <w:vAlign w:val="center"/>
          </w:tcPr>
          <w:p w14:paraId="1B45CAAE" w14:textId="77777777" w:rsidR="00055865" w:rsidRPr="00463734" w:rsidRDefault="00000000">
            <w:pPr>
              <w:widowControl/>
              <w:jc w:val="center"/>
              <w:textAlignment w:val="center"/>
              <w:rPr>
                <w:rFonts w:ascii="Minion Pro" w:hAnsi="Minion Pro" w:cs="Minion Pro"/>
                <w:b/>
                <w:bCs/>
                <w:sz w:val="15"/>
                <w:szCs w:val="15"/>
              </w:rPr>
            </w:pPr>
            <w:r w:rsidRPr="00463734">
              <w:rPr>
                <w:rFonts w:ascii="Minion Pro" w:hAnsi="Minion Pro" w:cs="Minion Pro"/>
                <w:sz w:val="15"/>
                <w:szCs w:val="15"/>
              </w:rPr>
              <w:t>Comparison Method(s)</w:t>
            </w:r>
          </w:p>
        </w:tc>
        <w:tc>
          <w:tcPr>
            <w:tcW w:w="2131" w:type="dxa"/>
            <w:vAlign w:val="center"/>
          </w:tcPr>
          <w:p w14:paraId="5F7D296F" w14:textId="77777777" w:rsidR="00055865" w:rsidRPr="00463734" w:rsidRDefault="00000000">
            <w:pPr>
              <w:widowControl/>
              <w:jc w:val="center"/>
              <w:textAlignment w:val="center"/>
              <w:rPr>
                <w:rFonts w:ascii="Minion Pro" w:hAnsi="Minion Pro" w:cs="Minion Pro"/>
                <w:b/>
                <w:bCs/>
                <w:sz w:val="15"/>
                <w:szCs w:val="15"/>
              </w:rPr>
            </w:pPr>
            <w:r w:rsidRPr="00463734">
              <w:rPr>
                <w:rFonts w:ascii="Minion Pro" w:hAnsi="Minion Pro" w:cs="Minion Pro"/>
                <w:sz w:val="15"/>
                <w:szCs w:val="15"/>
              </w:rPr>
              <w:t>Methods in This Chapter</w:t>
            </w:r>
          </w:p>
        </w:tc>
        <w:tc>
          <w:tcPr>
            <w:tcW w:w="2131" w:type="dxa"/>
            <w:vAlign w:val="center"/>
          </w:tcPr>
          <w:p w14:paraId="5FAB7851" w14:textId="77777777" w:rsidR="00055865" w:rsidRPr="00463734" w:rsidRDefault="00000000">
            <w:pPr>
              <w:widowControl/>
              <w:jc w:val="center"/>
              <w:textAlignment w:val="center"/>
              <w:rPr>
                <w:rFonts w:ascii="Minion Pro" w:hAnsi="Minion Pro" w:cs="Minion Pro"/>
                <w:b/>
                <w:bCs/>
                <w:sz w:val="15"/>
                <w:szCs w:val="15"/>
              </w:rPr>
            </w:pPr>
            <w:r w:rsidRPr="00463734">
              <w:rPr>
                <w:rFonts w:ascii="Minion Pro" w:hAnsi="Minion Pro" w:cs="Minion Pro"/>
                <w:sz w:val="15"/>
                <w:szCs w:val="15"/>
              </w:rPr>
              <w:t>Difference Multiplier</w:t>
            </w:r>
          </w:p>
        </w:tc>
      </w:tr>
      <w:tr w:rsidR="00055865" w:rsidRPr="00463734" w14:paraId="455F9513" w14:textId="77777777">
        <w:tc>
          <w:tcPr>
            <w:tcW w:w="2130" w:type="dxa"/>
            <w:vAlign w:val="center"/>
          </w:tcPr>
          <w:p w14:paraId="6573A910"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Availability Attack</w:t>
            </w:r>
          </w:p>
        </w:tc>
        <w:tc>
          <w:tcPr>
            <w:tcW w:w="2130" w:type="dxa"/>
            <w:vAlign w:val="center"/>
          </w:tcPr>
          <w:p w14:paraId="2129C01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1251</w:t>
            </w:r>
          </w:p>
        </w:tc>
        <w:tc>
          <w:tcPr>
            <w:tcW w:w="2131" w:type="dxa"/>
            <w:vAlign w:val="center"/>
          </w:tcPr>
          <w:p w14:paraId="59BA7D0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33</w:t>
            </w:r>
          </w:p>
        </w:tc>
        <w:tc>
          <w:tcPr>
            <w:tcW w:w="2131" w:type="dxa"/>
            <w:vAlign w:val="center"/>
          </w:tcPr>
          <w:p w14:paraId="625A82F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37.91</w:t>
            </w:r>
          </w:p>
        </w:tc>
      </w:tr>
      <w:tr w:rsidR="00055865" w:rsidRPr="00463734" w14:paraId="380AA354" w14:textId="77777777">
        <w:tc>
          <w:tcPr>
            <w:tcW w:w="2130" w:type="dxa"/>
            <w:vAlign w:val="center"/>
          </w:tcPr>
          <w:p w14:paraId="7EE6D51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Integrity Attack</w:t>
            </w:r>
          </w:p>
        </w:tc>
        <w:tc>
          <w:tcPr>
            <w:tcW w:w="2130" w:type="dxa"/>
            <w:vAlign w:val="center"/>
          </w:tcPr>
          <w:p w14:paraId="7889AF5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1227</w:t>
            </w:r>
          </w:p>
        </w:tc>
        <w:tc>
          <w:tcPr>
            <w:tcW w:w="2131" w:type="dxa"/>
            <w:vAlign w:val="center"/>
          </w:tcPr>
          <w:p w14:paraId="5519851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31</w:t>
            </w:r>
          </w:p>
        </w:tc>
        <w:tc>
          <w:tcPr>
            <w:tcW w:w="2131" w:type="dxa"/>
            <w:vAlign w:val="center"/>
          </w:tcPr>
          <w:p w14:paraId="4F13720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39.58</w:t>
            </w:r>
          </w:p>
        </w:tc>
      </w:tr>
    </w:tbl>
    <w:p w14:paraId="0B28A21D" w14:textId="77777777" w:rsidR="00055865" w:rsidRPr="00463734" w:rsidRDefault="00000000">
      <w:pPr>
        <w:pStyle w:val="TSP31text"/>
        <w:spacing w:before="240"/>
        <w:rPr>
          <w:rFonts w:eastAsia="宋体" w:cs="Minion Pro"/>
          <w:bCs/>
          <w:color w:val="auto"/>
          <w:lang w:eastAsia="zh-CN"/>
        </w:rPr>
      </w:pPr>
      <w:r w:rsidRPr="00463734">
        <w:rPr>
          <w:rFonts w:eastAsia="宋体" w:cs="Minion Pro"/>
          <w:bCs/>
          <w:color w:val="auto"/>
          <w:lang w:eastAsia="zh-CN"/>
        </w:rPr>
        <w:t>(3) The impact of RTU quantity on system risk in terms of security</w:t>
      </w:r>
    </w:p>
    <w:p w14:paraId="30DFE8C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section optimizes the allocation of defense resources for three scenarios: availability attack, integrity attack, and coexistence of both. It analyzes the influence of different configuration quantities on system risk, and the results are shown in </w:t>
      </w:r>
      <w:r w:rsidRPr="00463734">
        <w:rPr>
          <w:rFonts w:eastAsia="宋体" w:cs="Minion Pro" w:hint="eastAsia"/>
          <w:bCs/>
          <w:color w:val="auto"/>
          <w:lang w:eastAsia="zh-CN"/>
        </w:rPr>
        <w:t>Figure S23</w:t>
      </w:r>
      <w:r w:rsidRPr="00463734">
        <w:rPr>
          <w:rFonts w:eastAsia="宋体" w:cs="Minion Pro"/>
          <w:bCs/>
          <w:color w:val="auto"/>
          <w:lang w:eastAsia="zh-CN"/>
        </w:rPr>
        <w:t>.</w:t>
      </w:r>
    </w:p>
    <w:p w14:paraId="18F22DFB"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Figure S23</w:t>
      </w:r>
      <w:r w:rsidRPr="00463734">
        <w:rPr>
          <w:rFonts w:eastAsia="宋体" w:cs="Minion Pro"/>
          <w:bCs/>
          <w:color w:val="auto"/>
          <w:lang w:eastAsia="zh-CN"/>
        </w:rPr>
        <w:t xml:space="preserve"> shows system risk is highest under combined attacks, followed by integrity attacks, then availability attacks. For availability attacks, risk decreases significantly until 4 RTUs are configured, after which mitigation plateaus. This occurs because availability attacks amplify fault propagation during line failures, and prioritizing critical switches (e.g., S6, S18, S22, S25) effectively contains spread, while additional configurations yield minimal gains.</w:t>
      </w:r>
    </w:p>
    <w:p w14:paraId="1DDAAA3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Under integrity attacks, risk declines continuously but with diminishing returns as RTUs increase. These attacks cause switch malfunctions and downstream outages, prompting defenders to prioritize feeder outlet switches before extending downstream.</w:t>
      </w:r>
    </w:p>
    <w:p w14:paraId="68BFA929"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716E2B7A" wp14:editId="2A86DBE9">
            <wp:extent cx="3959860" cy="2208530"/>
            <wp:effectExtent l="0" t="0" r="2540" b="1270"/>
            <wp:docPr id="7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13"/>
                    <pic:cNvPicPr>
                      <a:picLocks noChangeAspect="1"/>
                    </pic:cNvPicPr>
                  </pic:nvPicPr>
                  <pic:blipFill>
                    <a:blip r:embed="rId73"/>
                    <a:stretch>
                      <a:fillRect/>
                    </a:stretch>
                  </pic:blipFill>
                  <pic:spPr>
                    <a:xfrm>
                      <a:off x="0" y="0"/>
                      <a:ext cx="3959860" cy="2208530"/>
                    </a:xfrm>
                    <a:prstGeom prst="rect">
                      <a:avLst/>
                    </a:prstGeom>
                    <a:noFill/>
                    <a:ln>
                      <a:noFill/>
                    </a:ln>
                  </pic:spPr>
                </pic:pic>
              </a:graphicData>
            </a:graphic>
          </wp:inline>
        </w:drawing>
      </w:r>
    </w:p>
    <w:p w14:paraId="1BC96CCD"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Relationship between the number of securely allocated RTUs and risk under cyber attacks</w:t>
      </w:r>
    </w:p>
    <w:p w14:paraId="195FC55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Combined attacks exhibit steeper risk reduction than integrity attacks alone, as configured RTUs defend against both threats. Risk drops sharply until 8 RTUs (</w:t>
      </w:r>
      <w:r w:rsidRPr="00463734">
        <w:rPr>
          <w:rFonts w:eastAsia="宋体" w:cs="Minion Pro" w:hint="eastAsia"/>
          <w:bCs/>
          <w:color w:val="auto"/>
          <w:lang w:eastAsia="zh-CN"/>
        </w:rPr>
        <w:t>Figure S24</w:t>
      </w:r>
      <w:r w:rsidRPr="00463734">
        <w:rPr>
          <w:rFonts w:eastAsia="宋体" w:cs="Minion Pro"/>
          <w:bCs/>
          <w:color w:val="auto"/>
          <w:lang w:eastAsia="zh-CN"/>
        </w:rPr>
        <w:t xml:space="preserve">), then slows. At 8 RTUs, defenders prioritize feeder outlets (S1-S6) and critical branches (S18, S22), </w:t>
      </w:r>
      <w:r w:rsidRPr="00463734">
        <w:rPr>
          <w:rFonts w:eastAsia="宋体" w:cs="Minion Pro"/>
          <w:bCs/>
          <w:color w:val="auto"/>
          <w:lang w:eastAsia="zh-CN"/>
        </w:rPr>
        <w:lastRenderedPageBreak/>
        <w:t>reflecting the heightened severity of integrity attacks and the need for dual-threat protection at key nodes.</w:t>
      </w:r>
    </w:p>
    <w:p w14:paraId="0A21B442"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12AF4566" wp14:editId="69062608">
            <wp:extent cx="3959860" cy="1515110"/>
            <wp:effectExtent l="0" t="0" r="2540" b="8890"/>
            <wp:docPr id="78"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12"/>
                    <pic:cNvPicPr>
                      <a:picLocks noChangeAspect="1"/>
                    </pic:cNvPicPr>
                  </pic:nvPicPr>
                  <pic:blipFill>
                    <a:blip r:embed="rId74"/>
                    <a:stretch>
                      <a:fillRect/>
                    </a:stretch>
                  </pic:blipFill>
                  <pic:spPr>
                    <a:xfrm>
                      <a:off x="0" y="0"/>
                      <a:ext cx="3959860" cy="1515110"/>
                    </a:xfrm>
                    <a:prstGeom prst="rect">
                      <a:avLst/>
                    </a:prstGeom>
                    <a:noFill/>
                    <a:ln>
                      <a:noFill/>
                    </a:ln>
                  </pic:spPr>
                </pic:pic>
              </a:graphicData>
            </a:graphic>
          </wp:inline>
        </w:drawing>
      </w:r>
    </w:p>
    <w:p w14:paraId="4A0CF6CE"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 when the number of securely allocated RTUs is 8 under integrity and availability attacks</w:t>
      </w:r>
    </w:p>
    <w:p w14:paraId="6E652AD4"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CPS 62 Node System</w:t>
      </w:r>
    </w:p>
    <w:p w14:paraId="3A28F9BB"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The CPS 62 node system is used to further verify the proposed method and model, as shown in </w:t>
      </w:r>
      <w:r w:rsidRPr="00463734">
        <w:rPr>
          <w:rFonts w:eastAsia="宋体" w:cs="Minion Pro" w:hint="eastAsia"/>
          <w:bCs/>
          <w:color w:val="auto"/>
          <w:lang w:eastAsia="zh-CN"/>
        </w:rPr>
        <w:t>Figure S19</w:t>
      </w:r>
      <w:r w:rsidRPr="00463734">
        <w:rPr>
          <w:rFonts w:eastAsia="宋体" w:cs="Minion Pro"/>
          <w:bCs/>
          <w:color w:val="auto"/>
          <w:lang w:eastAsia="zh-CN"/>
        </w:rPr>
        <w:t>. This system consists of three feeder lines, interconnected through tie switches, and contains 21, 19, and 19 switches, respectively, with loads of 2.06 MW, 1.73 MW, and 2.98 MW. The simulation parameters are consistent with those of the IEEE 33-node system, and the topology and load data can be found in Appendix A, Tables</w:t>
      </w:r>
      <w:r w:rsidRPr="00463734">
        <w:rPr>
          <w:rFonts w:cs="Minion Pro" w:hint="eastAsia"/>
          <w:color w:val="auto"/>
          <w:lang w:eastAsia="zh-CN"/>
        </w:rPr>
        <w:t xml:space="preserve"> A1</w:t>
      </w:r>
      <w:r w:rsidRPr="00463734">
        <w:rPr>
          <w:rFonts w:cs="Minion Pro"/>
          <w:color w:val="auto"/>
          <w:lang w:eastAsia="zh-CN"/>
        </w:rPr>
        <w:t xml:space="preserve"> and </w:t>
      </w:r>
      <w:r w:rsidRPr="00463734">
        <w:rPr>
          <w:rFonts w:cs="Minion Pro" w:hint="eastAsia"/>
          <w:color w:val="auto"/>
          <w:lang w:eastAsia="zh-CN"/>
        </w:rPr>
        <w:t>A2</w:t>
      </w:r>
      <w:r w:rsidRPr="00463734">
        <w:rPr>
          <w:rFonts w:eastAsia="宋体" w:cs="Minion Pro"/>
          <w:bCs/>
          <w:color w:val="auto"/>
          <w:lang w:eastAsia="zh-CN"/>
        </w:rPr>
        <w:t>.</w:t>
      </w:r>
    </w:p>
    <w:p w14:paraId="5101585E" w14:textId="4B569E12"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To analyze the impact of information security protection on risks, in this section, 10 RTUs are randomly selected from each of the three feeder lines for security configuration (as shown in </w:t>
      </w:r>
      <w:r w:rsidRPr="00463734">
        <w:rPr>
          <w:rFonts w:eastAsia="宋体" w:cs="Minion Pro" w:hint="eastAsia"/>
          <w:bCs/>
          <w:color w:val="auto"/>
          <w:lang w:eastAsia="zh-CN"/>
        </w:rPr>
        <w:t>Figure S25</w:t>
      </w:r>
      <w:r w:rsidRPr="00463734">
        <w:rPr>
          <w:rFonts w:eastAsia="宋体" w:cs="Minion Pro"/>
          <w:bCs/>
          <w:color w:val="auto"/>
          <w:lang w:eastAsia="zh-CN"/>
        </w:rPr>
        <w:t xml:space="preserve">), and the analysis is based on the four cases in </w:t>
      </w:r>
      <w:r w:rsidRPr="00463734">
        <w:rPr>
          <w:rFonts w:eastAsia="宋体" w:cs="Minion Pro" w:hint="eastAsia"/>
          <w:bCs/>
          <w:color w:val="auto"/>
          <w:lang w:eastAsia="zh-CN"/>
        </w:rPr>
        <w:t>4.1</w:t>
      </w:r>
      <w:r w:rsidRPr="00463734">
        <w:rPr>
          <w:rFonts w:eastAsia="宋体" w:cs="Minion Pro"/>
          <w:bCs/>
          <w:color w:val="auto"/>
          <w:lang w:eastAsia="zh-CN"/>
        </w:rPr>
        <w:t xml:space="preserve">. The results are shown in </w:t>
      </w:r>
      <w:r w:rsidRPr="00463734">
        <w:rPr>
          <w:rFonts w:eastAsia="宋体" w:cs="Minion Pro" w:hint="eastAsia"/>
          <w:bCs/>
          <w:color w:val="auto"/>
          <w:lang w:eastAsia="zh-CN"/>
        </w:rPr>
        <w:t>Table S10</w:t>
      </w:r>
      <w:r w:rsidRPr="00463734">
        <w:rPr>
          <w:rFonts w:eastAsia="宋体" w:cs="Minion Pro"/>
          <w:bCs/>
          <w:color w:val="auto"/>
          <w:lang w:eastAsia="zh-CN"/>
        </w:rPr>
        <w:t>.</w:t>
      </w:r>
    </w:p>
    <w:p w14:paraId="3BA7FB65"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2BEDE1CA" wp14:editId="5FFBD6E6">
            <wp:extent cx="3959860" cy="2112010"/>
            <wp:effectExtent l="0" t="0" r="2540" b="8890"/>
            <wp:docPr id="7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11"/>
                    <pic:cNvPicPr>
                      <a:picLocks noChangeAspect="1"/>
                    </pic:cNvPicPr>
                  </pic:nvPicPr>
                  <pic:blipFill>
                    <a:blip r:embed="rId75"/>
                    <a:stretch>
                      <a:fillRect/>
                    </a:stretch>
                  </pic:blipFill>
                  <pic:spPr>
                    <a:xfrm>
                      <a:off x="0" y="0"/>
                      <a:ext cx="3959860" cy="2112010"/>
                    </a:xfrm>
                    <a:prstGeom prst="rect">
                      <a:avLst/>
                    </a:prstGeom>
                    <a:noFill/>
                    <a:ln>
                      <a:noFill/>
                    </a:ln>
                  </pic:spPr>
                </pic:pic>
              </a:graphicData>
            </a:graphic>
          </wp:inline>
        </w:drawing>
      </w:r>
    </w:p>
    <w:p w14:paraId="36642516"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Randomly selected 10 RTUs for safety allocation on all three feeders</w:t>
      </w:r>
    </w:p>
    <w:p w14:paraId="3AEF9D33"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 xml:space="preserve">Risk calculation results for three feeders in cases 1–4 </w:t>
      </w:r>
      <w:r w:rsidRPr="00463734">
        <w:rPr>
          <w:rFonts w:ascii="Minion Pro" w:eastAsia="Times New Roman" w:hAnsi="Minion Pro" w:cs="Minion Pro"/>
          <w:snapToGrid w:val="0"/>
          <w:szCs w:val="21"/>
          <w:lang w:bidi="en-US"/>
        </w:rPr>
        <w:tab/>
        <w:t>MWh</w:t>
      </w:r>
    </w:p>
    <w:tbl>
      <w:tblPr>
        <w:tblStyle w:val="TableGrid"/>
        <w:tblW w:w="0" w:type="auto"/>
        <w:tblLook w:val="04A0" w:firstRow="1" w:lastRow="0" w:firstColumn="1" w:lastColumn="0" w:noHBand="0" w:noVBand="1"/>
      </w:tblPr>
      <w:tblGrid>
        <w:gridCol w:w="852"/>
        <w:gridCol w:w="852"/>
        <w:gridCol w:w="852"/>
        <w:gridCol w:w="852"/>
        <w:gridCol w:w="852"/>
        <w:gridCol w:w="852"/>
        <w:gridCol w:w="852"/>
        <w:gridCol w:w="852"/>
        <w:gridCol w:w="853"/>
        <w:gridCol w:w="853"/>
      </w:tblGrid>
      <w:tr w:rsidR="00055865" w:rsidRPr="00463734" w14:paraId="668E3EF9" w14:textId="77777777">
        <w:tc>
          <w:tcPr>
            <w:tcW w:w="852" w:type="dxa"/>
            <w:vAlign w:val="center"/>
          </w:tcPr>
          <w:p w14:paraId="156E9010"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Section</w:t>
            </w:r>
          </w:p>
        </w:tc>
        <w:tc>
          <w:tcPr>
            <w:tcW w:w="852" w:type="dxa"/>
            <w:vAlign w:val="center"/>
          </w:tcPr>
          <w:p w14:paraId="4D9963D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Case</w:t>
            </w:r>
          </w:p>
        </w:tc>
        <w:tc>
          <w:tcPr>
            <w:tcW w:w="852" w:type="dxa"/>
            <w:vAlign w:val="center"/>
          </w:tcPr>
          <w:p w14:paraId="10973700"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Failure State Risk</w:t>
            </w:r>
          </w:p>
        </w:tc>
        <w:tc>
          <w:tcPr>
            <w:tcW w:w="852" w:type="dxa"/>
            <w:vAlign w:val="center"/>
          </w:tcPr>
          <w:p w14:paraId="1425A7F6"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Normal State Risk</w:t>
            </w:r>
          </w:p>
        </w:tc>
        <w:tc>
          <w:tcPr>
            <w:tcW w:w="852" w:type="dxa"/>
            <w:vAlign w:val="center"/>
          </w:tcPr>
          <w:p w14:paraId="03A93B3F"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Risk</w:t>
            </w:r>
          </w:p>
        </w:tc>
        <w:tc>
          <w:tcPr>
            <w:tcW w:w="852" w:type="dxa"/>
            <w:vAlign w:val="center"/>
          </w:tcPr>
          <w:p w14:paraId="0E52A02E"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Section</w:t>
            </w:r>
          </w:p>
        </w:tc>
        <w:tc>
          <w:tcPr>
            <w:tcW w:w="852" w:type="dxa"/>
            <w:vAlign w:val="center"/>
          </w:tcPr>
          <w:p w14:paraId="12D7B258"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Case</w:t>
            </w:r>
          </w:p>
        </w:tc>
        <w:tc>
          <w:tcPr>
            <w:tcW w:w="852" w:type="dxa"/>
            <w:vAlign w:val="center"/>
          </w:tcPr>
          <w:p w14:paraId="77E1A532"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Failure State Risk</w:t>
            </w:r>
          </w:p>
        </w:tc>
        <w:tc>
          <w:tcPr>
            <w:tcW w:w="853" w:type="dxa"/>
            <w:vAlign w:val="center"/>
          </w:tcPr>
          <w:p w14:paraId="268B5717"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Normal State Risk</w:t>
            </w:r>
          </w:p>
        </w:tc>
        <w:tc>
          <w:tcPr>
            <w:tcW w:w="853" w:type="dxa"/>
            <w:vAlign w:val="center"/>
          </w:tcPr>
          <w:p w14:paraId="4A98E4CC"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sz w:val="15"/>
                <w:szCs w:val="15"/>
              </w:rPr>
              <w:t>Risk</w:t>
            </w:r>
          </w:p>
        </w:tc>
      </w:tr>
      <w:tr w:rsidR="00055865" w:rsidRPr="00463734" w14:paraId="56E5CC41" w14:textId="77777777">
        <w:tc>
          <w:tcPr>
            <w:tcW w:w="852" w:type="dxa"/>
            <w:vMerge w:val="restart"/>
            <w:vAlign w:val="center"/>
          </w:tcPr>
          <w:p w14:paraId="7A12C0A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b/>
                <w:bCs/>
                <w:kern w:val="0"/>
                <w:sz w:val="15"/>
                <w:szCs w:val="15"/>
                <w:lang w:bidi="ar"/>
              </w:rPr>
              <w:t>Feedline 1</w:t>
            </w:r>
          </w:p>
        </w:tc>
        <w:tc>
          <w:tcPr>
            <w:tcW w:w="852" w:type="dxa"/>
            <w:vAlign w:val="center"/>
          </w:tcPr>
          <w:p w14:paraId="3C74C917"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w:t>
            </w:r>
          </w:p>
        </w:tc>
        <w:tc>
          <w:tcPr>
            <w:tcW w:w="852" w:type="dxa"/>
            <w:vAlign w:val="center"/>
          </w:tcPr>
          <w:p w14:paraId="675340B5"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1.1874</w:t>
            </w:r>
          </w:p>
        </w:tc>
        <w:tc>
          <w:tcPr>
            <w:tcW w:w="852" w:type="dxa"/>
            <w:vAlign w:val="center"/>
          </w:tcPr>
          <w:p w14:paraId="7FE65949"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1.0949</w:t>
            </w:r>
          </w:p>
        </w:tc>
        <w:tc>
          <w:tcPr>
            <w:tcW w:w="852" w:type="dxa"/>
            <w:vAlign w:val="center"/>
          </w:tcPr>
          <w:p w14:paraId="42FC3730"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2.2822</w:t>
            </w:r>
          </w:p>
        </w:tc>
        <w:tc>
          <w:tcPr>
            <w:tcW w:w="852" w:type="dxa"/>
            <w:vMerge w:val="restart"/>
            <w:vAlign w:val="center"/>
          </w:tcPr>
          <w:p w14:paraId="60DDF50B"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b/>
                <w:bCs/>
                <w:kern w:val="0"/>
                <w:sz w:val="15"/>
                <w:szCs w:val="15"/>
                <w:lang w:bidi="ar"/>
              </w:rPr>
              <w:t>Feedline 3</w:t>
            </w:r>
          </w:p>
        </w:tc>
        <w:tc>
          <w:tcPr>
            <w:tcW w:w="852" w:type="dxa"/>
            <w:vAlign w:val="center"/>
          </w:tcPr>
          <w:p w14:paraId="3E0E8136"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w:t>
            </w:r>
          </w:p>
        </w:tc>
        <w:tc>
          <w:tcPr>
            <w:tcW w:w="852" w:type="dxa"/>
            <w:vAlign w:val="center"/>
          </w:tcPr>
          <w:p w14:paraId="4D7FC2C4"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1.5751</w:t>
            </w:r>
          </w:p>
        </w:tc>
        <w:tc>
          <w:tcPr>
            <w:tcW w:w="853" w:type="dxa"/>
            <w:vAlign w:val="center"/>
          </w:tcPr>
          <w:p w14:paraId="395FC45A"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0.9831</w:t>
            </w:r>
          </w:p>
        </w:tc>
        <w:tc>
          <w:tcPr>
            <w:tcW w:w="853" w:type="dxa"/>
            <w:vAlign w:val="center"/>
          </w:tcPr>
          <w:p w14:paraId="29FC80CC"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2.5582</w:t>
            </w:r>
          </w:p>
        </w:tc>
      </w:tr>
      <w:tr w:rsidR="00055865" w:rsidRPr="00463734" w14:paraId="2F54A945" w14:textId="77777777">
        <w:tc>
          <w:tcPr>
            <w:tcW w:w="852" w:type="dxa"/>
            <w:vMerge/>
            <w:vAlign w:val="center"/>
          </w:tcPr>
          <w:p w14:paraId="48D9B1A7" w14:textId="77777777" w:rsidR="00055865" w:rsidRPr="00463734" w:rsidRDefault="00055865">
            <w:pPr>
              <w:jc w:val="center"/>
              <w:rPr>
                <w:rFonts w:ascii="Minion Pro" w:hAnsi="Minion Pro" w:cs="Minion Pro"/>
                <w:sz w:val="15"/>
                <w:szCs w:val="15"/>
              </w:rPr>
            </w:pPr>
          </w:p>
        </w:tc>
        <w:tc>
          <w:tcPr>
            <w:tcW w:w="852" w:type="dxa"/>
            <w:vAlign w:val="center"/>
          </w:tcPr>
          <w:p w14:paraId="62813DEA"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w:t>
            </w:r>
          </w:p>
        </w:tc>
        <w:tc>
          <w:tcPr>
            <w:tcW w:w="852" w:type="dxa"/>
            <w:vAlign w:val="center"/>
          </w:tcPr>
          <w:p w14:paraId="13312994"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1.1518</w:t>
            </w:r>
          </w:p>
        </w:tc>
        <w:tc>
          <w:tcPr>
            <w:tcW w:w="852" w:type="dxa"/>
            <w:vAlign w:val="center"/>
          </w:tcPr>
          <w:p w14:paraId="6014D7FF"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1.0949</w:t>
            </w:r>
          </w:p>
        </w:tc>
        <w:tc>
          <w:tcPr>
            <w:tcW w:w="852" w:type="dxa"/>
            <w:vAlign w:val="center"/>
          </w:tcPr>
          <w:p w14:paraId="1AAF4B8C"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2.2466</w:t>
            </w:r>
          </w:p>
        </w:tc>
        <w:tc>
          <w:tcPr>
            <w:tcW w:w="852" w:type="dxa"/>
            <w:vMerge/>
            <w:vAlign w:val="center"/>
          </w:tcPr>
          <w:p w14:paraId="51F201A4" w14:textId="77777777" w:rsidR="00055865" w:rsidRPr="00463734" w:rsidRDefault="00055865">
            <w:pPr>
              <w:jc w:val="center"/>
              <w:rPr>
                <w:rFonts w:ascii="Minion Pro" w:hAnsi="Minion Pro" w:cs="Minion Pro"/>
                <w:sz w:val="15"/>
                <w:szCs w:val="15"/>
              </w:rPr>
            </w:pPr>
          </w:p>
        </w:tc>
        <w:tc>
          <w:tcPr>
            <w:tcW w:w="852" w:type="dxa"/>
            <w:vAlign w:val="center"/>
          </w:tcPr>
          <w:p w14:paraId="4C35CADE"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w:t>
            </w:r>
          </w:p>
        </w:tc>
        <w:tc>
          <w:tcPr>
            <w:tcW w:w="852" w:type="dxa"/>
            <w:vAlign w:val="center"/>
          </w:tcPr>
          <w:p w14:paraId="46B47BC4"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1.5278</w:t>
            </w:r>
          </w:p>
        </w:tc>
        <w:tc>
          <w:tcPr>
            <w:tcW w:w="853" w:type="dxa"/>
            <w:vAlign w:val="center"/>
          </w:tcPr>
          <w:p w14:paraId="14FCF53C"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0.9831</w:t>
            </w:r>
          </w:p>
        </w:tc>
        <w:tc>
          <w:tcPr>
            <w:tcW w:w="853" w:type="dxa"/>
            <w:vAlign w:val="center"/>
          </w:tcPr>
          <w:p w14:paraId="4758A8E8"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2.5109</w:t>
            </w:r>
          </w:p>
        </w:tc>
      </w:tr>
      <w:tr w:rsidR="00055865" w:rsidRPr="00463734" w14:paraId="652CF92E" w14:textId="77777777">
        <w:tc>
          <w:tcPr>
            <w:tcW w:w="852" w:type="dxa"/>
            <w:vMerge/>
            <w:vAlign w:val="center"/>
          </w:tcPr>
          <w:p w14:paraId="5DEE7F80" w14:textId="77777777" w:rsidR="00055865" w:rsidRPr="00463734" w:rsidRDefault="00055865">
            <w:pPr>
              <w:jc w:val="center"/>
              <w:rPr>
                <w:rFonts w:ascii="Minion Pro" w:hAnsi="Minion Pro" w:cs="Minion Pro"/>
                <w:sz w:val="15"/>
                <w:szCs w:val="15"/>
              </w:rPr>
            </w:pPr>
          </w:p>
        </w:tc>
        <w:tc>
          <w:tcPr>
            <w:tcW w:w="852" w:type="dxa"/>
            <w:vAlign w:val="center"/>
          </w:tcPr>
          <w:p w14:paraId="219E3DA0"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3</w:t>
            </w:r>
          </w:p>
        </w:tc>
        <w:tc>
          <w:tcPr>
            <w:tcW w:w="852" w:type="dxa"/>
            <w:vAlign w:val="center"/>
          </w:tcPr>
          <w:p w14:paraId="4EAEDAB9"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1.1814</w:t>
            </w:r>
          </w:p>
        </w:tc>
        <w:tc>
          <w:tcPr>
            <w:tcW w:w="852" w:type="dxa"/>
            <w:vAlign w:val="center"/>
          </w:tcPr>
          <w:p w14:paraId="2509BC82"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0.5106</w:t>
            </w:r>
          </w:p>
        </w:tc>
        <w:tc>
          <w:tcPr>
            <w:tcW w:w="852" w:type="dxa"/>
            <w:vAlign w:val="center"/>
          </w:tcPr>
          <w:p w14:paraId="01917DC7"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1.6921</w:t>
            </w:r>
          </w:p>
        </w:tc>
        <w:tc>
          <w:tcPr>
            <w:tcW w:w="852" w:type="dxa"/>
            <w:vMerge/>
            <w:vAlign w:val="center"/>
          </w:tcPr>
          <w:p w14:paraId="4592F7C3" w14:textId="77777777" w:rsidR="00055865" w:rsidRPr="00463734" w:rsidRDefault="00055865">
            <w:pPr>
              <w:jc w:val="center"/>
              <w:rPr>
                <w:rFonts w:ascii="Minion Pro" w:hAnsi="Minion Pro" w:cs="Minion Pro"/>
                <w:sz w:val="15"/>
                <w:szCs w:val="15"/>
              </w:rPr>
            </w:pPr>
          </w:p>
        </w:tc>
        <w:tc>
          <w:tcPr>
            <w:tcW w:w="852" w:type="dxa"/>
            <w:vAlign w:val="center"/>
          </w:tcPr>
          <w:p w14:paraId="3237BDB9"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3</w:t>
            </w:r>
          </w:p>
        </w:tc>
        <w:tc>
          <w:tcPr>
            <w:tcW w:w="852" w:type="dxa"/>
            <w:vAlign w:val="center"/>
          </w:tcPr>
          <w:p w14:paraId="1F7624E5"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1.5672</w:t>
            </w:r>
          </w:p>
        </w:tc>
        <w:tc>
          <w:tcPr>
            <w:tcW w:w="853" w:type="dxa"/>
            <w:vAlign w:val="center"/>
          </w:tcPr>
          <w:p w14:paraId="127231FF"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0.4338</w:t>
            </w:r>
          </w:p>
        </w:tc>
        <w:tc>
          <w:tcPr>
            <w:tcW w:w="853" w:type="dxa"/>
            <w:vAlign w:val="center"/>
          </w:tcPr>
          <w:p w14:paraId="41F4BE15"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2.001</w:t>
            </w:r>
          </w:p>
        </w:tc>
      </w:tr>
      <w:tr w:rsidR="00055865" w:rsidRPr="00463734" w14:paraId="0AA9EA5A" w14:textId="77777777">
        <w:tc>
          <w:tcPr>
            <w:tcW w:w="852" w:type="dxa"/>
            <w:vMerge/>
            <w:vAlign w:val="center"/>
          </w:tcPr>
          <w:p w14:paraId="0960337B" w14:textId="77777777" w:rsidR="00055865" w:rsidRPr="00463734" w:rsidRDefault="00055865">
            <w:pPr>
              <w:jc w:val="center"/>
              <w:rPr>
                <w:rFonts w:ascii="Minion Pro" w:hAnsi="Minion Pro" w:cs="Minion Pro"/>
                <w:sz w:val="15"/>
                <w:szCs w:val="15"/>
              </w:rPr>
            </w:pPr>
          </w:p>
        </w:tc>
        <w:tc>
          <w:tcPr>
            <w:tcW w:w="852" w:type="dxa"/>
            <w:vAlign w:val="center"/>
          </w:tcPr>
          <w:p w14:paraId="4AA39A06"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4</w:t>
            </w:r>
          </w:p>
        </w:tc>
        <w:tc>
          <w:tcPr>
            <w:tcW w:w="852" w:type="dxa"/>
            <w:vAlign w:val="center"/>
          </w:tcPr>
          <w:p w14:paraId="0158B5B2"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1.1458</w:t>
            </w:r>
          </w:p>
        </w:tc>
        <w:tc>
          <w:tcPr>
            <w:tcW w:w="852" w:type="dxa"/>
            <w:vAlign w:val="center"/>
          </w:tcPr>
          <w:p w14:paraId="433F1527"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0.5106</w:t>
            </w:r>
          </w:p>
        </w:tc>
        <w:tc>
          <w:tcPr>
            <w:tcW w:w="852" w:type="dxa"/>
            <w:vAlign w:val="center"/>
          </w:tcPr>
          <w:p w14:paraId="661B487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1.6564</w:t>
            </w:r>
          </w:p>
        </w:tc>
        <w:tc>
          <w:tcPr>
            <w:tcW w:w="852" w:type="dxa"/>
            <w:vMerge/>
            <w:vAlign w:val="center"/>
          </w:tcPr>
          <w:p w14:paraId="3FB70319" w14:textId="77777777" w:rsidR="00055865" w:rsidRPr="00463734" w:rsidRDefault="00055865">
            <w:pPr>
              <w:jc w:val="center"/>
              <w:rPr>
                <w:rFonts w:ascii="Minion Pro" w:hAnsi="Minion Pro" w:cs="Minion Pro"/>
                <w:sz w:val="15"/>
                <w:szCs w:val="15"/>
              </w:rPr>
            </w:pPr>
          </w:p>
        </w:tc>
        <w:tc>
          <w:tcPr>
            <w:tcW w:w="852" w:type="dxa"/>
            <w:vAlign w:val="center"/>
          </w:tcPr>
          <w:p w14:paraId="6AFEAD12"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4</w:t>
            </w:r>
          </w:p>
        </w:tc>
        <w:tc>
          <w:tcPr>
            <w:tcW w:w="852" w:type="dxa"/>
            <w:vAlign w:val="center"/>
          </w:tcPr>
          <w:p w14:paraId="47428752"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1.5199</w:t>
            </w:r>
          </w:p>
        </w:tc>
        <w:tc>
          <w:tcPr>
            <w:tcW w:w="853" w:type="dxa"/>
            <w:vAlign w:val="center"/>
          </w:tcPr>
          <w:p w14:paraId="5E4E3153"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0.4338</w:t>
            </w:r>
          </w:p>
        </w:tc>
        <w:tc>
          <w:tcPr>
            <w:tcW w:w="853" w:type="dxa"/>
            <w:vAlign w:val="center"/>
          </w:tcPr>
          <w:p w14:paraId="78C72380"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1.9537</w:t>
            </w:r>
          </w:p>
        </w:tc>
      </w:tr>
      <w:tr w:rsidR="00055865" w:rsidRPr="00463734" w14:paraId="784B80D2" w14:textId="77777777">
        <w:tc>
          <w:tcPr>
            <w:tcW w:w="852" w:type="dxa"/>
            <w:vMerge w:val="restart"/>
            <w:vAlign w:val="center"/>
          </w:tcPr>
          <w:p w14:paraId="3390341F"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b/>
                <w:bCs/>
                <w:kern w:val="0"/>
                <w:sz w:val="15"/>
                <w:szCs w:val="15"/>
                <w:lang w:bidi="ar"/>
              </w:rPr>
              <w:t>Feedline 2</w:t>
            </w:r>
          </w:p>
        </w:tc>
        <w:tc>
          <w:tcPr>
            <w:tcW w:w="852" w:type="dxa"/>
            <w:vAlign w:val="center"/>
          </w:tcPr>
          <w:p w14:paraId="3E2C504B"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w:t>
            </w:r>
          </w:p>
        </w:tc>
        <w:tc>
          <w:tcPr>
            <w:tcW w:w="852" w:type="dxa"/>
            <w:vAlign w:val="center"/>
          </w:tcPr>
          <w:p w14:paraId="45112E94"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0.5477</w:t>
            </w:r>
          </w:p>
        </w:tc>
        <w:tc>
          <w:tcPr>
            <w:tcW w:w="852" w:type="dxa"/>
            <w:vAlign w:val="center"/>
          </w:tcPr>
          <w:p w14:paraId="3F34BBBB"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0.5814</w:t>
            </w:r>
          </w:p>
        </w:tc>
        <w:tc>
          <w:tcPr>
            <w:tcW w:w="852" w:type="dxa"/>
            <w:vAlign w:val="center"/>
          </w:tcPr>
          <w:p w14:paraId="6512D836"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1.129</w:t>
            </w:r>
          </w:p>
        </w:tc>
        <w:tc>
          <w:tcPr>
            <w:tcW w:w="852" w:type="dxa"/>
            <w:vMerge w:val="restart"/>
            <w:vAlign w:val="center"/>
          </w:tcPr>
          <w:p w14:paraId="1EFD834F"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b/>
                <w:bCs/>
                <w:kern w:val="0"/>
                <w:sz w:val="15"/>
                <w:szCs w:val="15"/>
                <w:lang w:bidi="ar"/>
              </w:rPr>
              <w:t>——</w:t>
            </w:r>
          </w:p>
        </w:tc>
        <w:tc>
          <w:tcPr>
            <w:tcW w:w="852" w:type="dxa"/>
            <w:vAlign w:val="center"/>
          </w:tcPr>
          <w:p w14:paraId="7EA3328E"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2" w:type="dxa"/>
            <w:vAlign w:val="center"/>
          </w:tcPr>
          <w:p w14:paraId="55D76F04"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44CAC8FD"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328D7843"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r>
      <w:tr w:rsidR="00055865" w:rsidRPr="00463734" w14:paraId="699521B1" w14:textId="77777777">
        <w:tc>
          <w:tcPr>
            <w:tcW w:w="852" w:type="dxa"/>
            <w:vMerge/>
            <w:vAlign w:val="center"/>
          </w:tcPr>
          <w:p w14:paraId="0399FA5E" w14:textId="77777777" w:rsidR="00055865" w:rsidRPr="00463734" w:rsidRDefault="00055865">
            <w:pPr>
              <w:jc w:val="center"/>
              <w:rPr>
                <w:rFonts w:ascii="Minion Pro" w:hAnsi="Minion Pro" w:cs="Minion Pro"/>
                <w:sz w:val="15"/>
                <w:szCs w:val="15"/>
              </w:rPr>
            </w:pPr>
          </w:p>
        </w:tc>
        <w:tc>
          <w:tcPr>
            <w:tcW w:w="852" w:type="dxa"/>
            <w:vAlign w:val="center"/>
          </w:tcPr>
          <w:p w14:paraId="4526A836"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2</w:t>
            </w:r>
          </w:p>
        </w:tc>
        <w:tc>
          <w:tcPr>
            <w:tcW w:w="852" w:type="dxa"/>
            <w:vAlign w:val="center"/>
          </w:tcPr>
          <w:p w14:paraId="7710051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0.5312</w:t>
            </w:r>
          </w:p>
        </w:tc>
        <w:tc>
          <w:tcPr>
            <w:tcW w:w="852" w:type="dxa"/>
            <w:vAlign w:val="center"/>
          </w:tcPr>
          <w:p w14:paraId="3C9F5B2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0.5814</w:t>
            </w:r>
          </w:p>
        </w:tc>
        <w:tc>
          <w:tcPr>
            <w:tcW w:w="852" w:type="dxa"/>
            <w:vAlign w:val="center"/>
          </w:tcPr>
          <w:p w14:paraId="4877E7DD"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1.1126</w:t>
            </w:r>
          </w:p>
        </w:tc>
        <w:tc>
          <w:tcPr>
            <w:tcW w:w="852" w:type="dxa"/>
            <w:vMerge/>
            <w:vAlign w:val="center"/>
          </w:tcPr>
          <w:p w14:paraId="3B06F22F" w14:textId="77777777" w:rsidR="00055865" w:rsidRPr="00463734" w:rsidRDefault="00055865">
            <w:pPr>
              <w:jc w:val="center"/>
              <w:rPr>
                <w:rFonts w:ascii="Minion Pro" w:hAnsi="Minion Pro" w:cs="Minion Pro"/>
                <w:sz w:val="15"/>
                <w:szCs w:val="15"/>
              </w:rPr>
            </w:pPr>
          </w:p>
        </w:tc>
        <w:tc>
          <w:tcPr>
            <w:tcW w:w="852" w:type="dxa"/>
            <w:vAlign w:val="center"/>
          </w:tcPr>
          <w:p w14:paraId="1485DA4E"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2" w:type="dxa"/>
            <w:vAlign w:val="center"/>
          </w:tcPr>
          <w:p w14:paraId="6E14A505"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290BA3FC"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3E9EB51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r>
      <w:tr w:rsidR="00055865" w:rsidRPr="00463734" w14:paraId="4A81428C" w14:textId="77777777">
        <w:tc>
          <w:tcPr>
            <w:tcW w:w="852" w:type="dxa"/>
            <w:vMerge/>
            <w:vAlign w:val="center"/>
          </w:tcPr>
          <w:p w14:paraId="193A7F4F" w14:textId="77777777" w:rsidR="00055865" w:rsidRPr="00463734" w:rsidRDefault="00055865">
            <w:pPr>
              <w:jc w:val="center"/>
              <w:rPr>
                <w:rFonts w:ascii="Minion Pro" w:hAnsi="Minion Pro" w:cs="Minion Pro"/>
                <w:sz w:val="15"/>
                <w:szCs w:val="15"/>
              </w:rPr>
            </w:pPr>
          </w:p>
        </w:tc>
        <w:tc>
          <w:tcPr>
            <w:tcW w:w="852" w:type="dxa"/>
            <w:vAlign w:val="center"/>
          </w:tcPr>
          <w:p w14:paraId="7432C4C6"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3</w:t>
            </w:r>
          </w:p>
        </w:tc>
        <w:tc>
          <w:tcPr>
            <w:tcW w:w="852" w:type="dxa"/>
            <w:vAlign w:val="center"/>
          </w:tcPr>
          <w:p w14:paraId="5AB3E048"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0.5449</w:t>
            </w:r>
          </w:p>
        </w:tc>
        <w:tc>
          <w:tcPr>
            <w:tcW w:w="852" w:type="dxa"/>
            <w:vAlign w:val="center"/>
          </w:tcPr>
          <w:p w14:paraId="41B009D7"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0.2598</w:t>
            </w:r>
          </w:p>
        </w:tc>
        <w:tc>
          <w:tcPr>
            <w:tcW w:w="852" w:type="dxa"/>
            <w:vAlign w:val="center"/>
          </w:tcPr>
          <w:p w14:paraId="19765539"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0.8047</w:t>
            </w:r>
          </w:p>
        </w:tc>
        <w:tc>
          <w:tcPr>
            <w:tcW w:w="852" w:type="dxa"/>
            <w:vMerge/>
            <w:vAlign w:val="center"/>
          </w:tcPr>
          <w:p w14:paraId="6BB0368F" w14:textId="77777777" w:rsidR="00055865" w:rsidRPr="00463734" w:rsidRDefault="00055865">
            <w:pPr>
              <w:jc w:val="center"/>
              <w:rPr>
                <w:rFonts w:ascii="Minion Pro" w:hAnsi="Minion Pro" w:cs="Minion Pro"/>
                <w:sz w:val="15"/>
                <w:szCs w:val="15"/>
              </w:rPr>
            </w:pPr>
          </w:p>
        </w:tc>
        <w:tc>
          <w:tcPr>
            <w:tcW w:w="852" w:type="dxa"/>
            <w:vAlign w:val="center"/>
          </w:tcPr>
          <w:p w14:paraId="6229F765"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2" w:type="dxa"/>
            <w:vAlign w:val="center"/>
          </w:tcPr>
          <w:p w14:paraId="7F04C9CF"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75BF0E85"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3D9CFC2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r>
      <w:tr w:rsidR="00055865" w:rsidRPr="00463734" w14:paraId="7AFDDAF1" w14:textId="77777777">
        <w:tc>
          <w:tcPr>
            <w:tcW w:w="852" w:type="dxa"/>
            <w:vMerge/>
            <w:vAlign w:val="center"/>
          </w:tcPr>
          <w:p w14:paraId="5BE2D66A" w14:textId="77777777" w:rsidR="00055865" w:rsidRPr="00463734" w:rsidRDefault="00055865">
            <w:pPr>
              <w:jc w:val="center"/>
              <w:rPr>
                <w:rFonts w:ascii="Minion Pro" w:hAnsi="Minion Pro" w:cs="Minion Pro"/>
                <w:sz w:val="15"/>
                <w:szCs w:val="15"/>
              </w:rPr>
            </w:pPr>
          </w:p>
        </w:tc>
        <w:tc>
          <w:tcPr>
            <w:tcW w:w="852" w:type="dxa"/>
            <w:vAlign w:val="center"/>
          </w:tcPr>
          <w:p w14:paraId="28488D6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4</w:t>
            </w:r>
          </w:p>
        </w:tc>
        <w:tc>
          <w:tcPr>
            <w:tcW w:w="852" w:type="dxa"/>
            <w:vAlign w:val="center"/>
          </w:tcPr>
          <w:p w14:paraId="02649929"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0.5285</w:t>
            </w:r>
          </w:p>
        </w:tc>
        <w:tc>
          <w:tcPr>
            <w:tcW w:w="852" w:type="dxa"/>
            <w:vAlign w:val="center"/>
          </w:tcPr>
          <w:p w14:paraId="685461FB"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0.2598</w:t>
            </w:r>
          </w:p>
        </w:tc>
        <w:tc>
          <w:tcPr>
            <w:tcW w:w="852" w:type="dxa"/>
            <w:vAlign w:val="center"/>
          </w:tcPr>
          <w:p w14:paraId="083FBAD9"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0.7883</w:t>
            </w:r>
          </w:p>
        </w:tc>
        <w:tc>
          <w:tcPr>
            <w:tcW w:w="852" w:type="dxa"/>
            <w:vMerge/>
            <w:vAlign w:val="center"/>
          </w:tcPr>
          <w:p w14:paraId="0FEFC717" w14:textId="77777777" w:rsidR="00055865" w:rsidRPr="00463734" w:rsidRDefault="00055865">
            <w:pPr>
              <w:jc w:val="center"/>
              <w:rPr>
                <w:rFonts w:ascii="Minion Pro" w:hAnsi="Minion Pro" w:cs="Minion Pro"/>
                <w:sz w:val="15"/>
                <w:szCs w:val="15"/>
              </w:rPr>
            </w:pPr>
          </w:p>
        </w:tc>
        <w:tc>
          <w:tcPr>
            <w:tcW w:w="852" w:type="dxa"/>
            <w:vAlign w:val="center"/>
          </w:tcPr>
          <w:p w14:paraId="7CB56FEE"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2" w:type="dxa"/>
            <w:vAlign w:val="center"/>
          </w:tcPr>
          <w:p w14:paraId="5793EE9A"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61356E93"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853" w:type="dxa"/>
            <w:vAlign w:val="center"/>
          </w:tcPr>
          <w:p w14:paraId="59DFD511" w14:textId="77777777" w:rsidR="00055865" w:rsidRPr="00463734" w:rsidRDefault="00000000">
            <w:pPr>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r>
    </w:tbl>
    <w:p w14:paraId="77C553B9" w14:textId="77777777" w:rsidR="00055865" w:rsidRPr="00463734" w:rsidRDefault="00000000">
      <w:pPr>
        <w:pStyle w:val="TSP31text"/>
        <w:spacing w:before="240"/>
        <w:rPr>
          <w:rFonts w:eastAsia="宋体" w:cs="Minion Pro"/>
          <w:bCs/>
          <w:color w:val="auto"/>
          <w:lang w:eastAsia="zh-CN"/>
        </w:rPr>
      </w:pPr>
      <w:r w:rsidRPr="00463734">
        <w:rPr>
          <w:rFonts w:eastAsia="宋体" w:cs="Minion Pro" w:hint="eastAsia"/>
          <w:bCs/>
          <w:color w:val="auto"/>
          <w:lang w:eastAsia="zh-CN"/>
        </w:rPr>
        <w:t>Table S10</w:t>
      </w:r>
      <w:r w:rsidRPr="00463734">
        <w:rPr>
          <w:rFonts w:eastAsia="宋体" w:cs="Minion Pro"/>
          <w:bCs/>
          <w:color w:val="auto"/>
          <w:lang w:eastAsia="zh-CN"/>
        </w:rPr>
        <w:t xml:space="preserve"> shows Case 4 (full security) significantly reduces risks across all three feeders compared to Case 1 (no security), confirming that information security mitigates risks in both fault and normal states. Case 3 (integrity attack) exhibits greater risk reduction than Case 2 (availability attack), indicating integrity attacks have higher impact—consistent with IEEE 33-node results. However, fault-state risks here are substantially lower due to the multi-feeder inter-supply structure, where tie switches enable fault transfer and parallel branches localize failures.</w:t>
      </w:r>
    </w:p>
    <w:p w14:paraId="6829C9EE"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Table S11</w:t>
      </w:r>
      <w:r w:rsidRPr="00463734">
        <w:rPr>
          <w:rFonts w:eastAsia="宋体" w:cs="Minion Pro"/>
          <w:bCs/>
          <w:color w:val="auto"/>
          <w:lang w:eastAsia="zh-CN"/>
        </w:rPr>
        <w:t xml:space="preserve"> compares system risks under availability/integrity attacks using the proposed method versus a baseline. Only differing configurations are shown, as most cases yield identical results.</w:t>
      </w:r>
    </w:p>
    <w:p w14:paraId="263494B1"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Comparison of allocation methods under different defense resource for three feeders</w:t>
      </w:r>
    </w:p>
    <w:tbl>
      <w:tblPr>
        <w:tblStyle w:val="TableGrid"/>
        <w:tblW w:w="9360" w:type="dxa"/>
        <w:tblBorders>
          <w:top w:val="single" w:sz="8" w:space="0" w:color="auto"/>
          <w:left w:val="none" w:sz="0" w:space="0" w:color="auto"/>
          <w:bottom w:val="single" w:sz="8" w:space="0" w:color="auto"/>
          <w:right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80"/>
        <w:gridCol w:w="993"/>
        <w:gridCol w:w="1083"/>
        <w:gridCol w:w="1083"/>
        <w:gridCol w:w="1031"/>
        <w:gridCol w:w="993"/>
        <w:gridCol w:w="1083"/>
        <w:gridCol w:w="1083"/>
        <w:gridCol w:w="1031"/>
      </w:tblGrid>
      <w:tr w:rsidR="00055865" w:rsidRPr="00463734" w14:paraId="5BD61864" w14:textId="77777777">
        <w:tc>
          <w:tcPr>
            <w:tcW w:w="892" w:type="dxa"/>
            <w:vMerge w:val="restart"/>
            <w:vAlign w:val="center"/>
          </w:tcPr>
          <w:p w14:paraId="4A390CFD"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Area</w:t>
            </w:r>
          </w:p>
        </w:tc>
        <w:tc>
          <w:tcPr>
            <w:tcW w:w="904" w:type="dxa"/>
            <w:vMerge w:val="restart"/>
            <w:vAlign w:val="center"/>
          </w:tcPr>
          <w:p w14:paraId="09B412B7"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Number of Security Config RTUs</w:t>
            </w:r>
          </w:p>
        </w:tc>
        <w:tc>
          <w:tcPr>
            <w:tcW w:w="2911" w:type="dxa"/>
            <w:gridSpan w:val="3"/>
            <w:vAlign w:val="center"/>
          </w:tcPr>
          <w:p w14:paraId="5C3EB0EC"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Availability Attack</w:t>
            </w:r>
          </w:p>
        </w:tc>
        <w:tc>
          <w:tcPr>
            <w:tcW w:w="904" w:type="dxa"/>
            <w:vMerge w:val="restart"/>
            <w:vAlign w:val="center"/>
          </w:tcPr>
          <w:p w14:paraId="6C1641A5"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Number of Security Config RTUs</w:t>
            </w:r>
          </w:p>
        </w:tc>
        <w:tc>
          <w:tcPr>
            <w:tcW w:w="2911" w:type="dxa"/>
            <w:gridSpan w:val="3"/>
            <w:vAlign w:val="center"/>
          </w:tcPr>
          <w:p w14:paraId="2CE15712"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Integrity Attack</w:t>
            </w:r>
          </w:p>
        </w:tc>
      </w:tr>
      <w:tr w:rsidR="00055865" w:rsidRPr="00463734" w14:paraId="6AA14B98" w14:textId="77777777">
        <w:tc>
          <w:tcPr>
            <w:tcW w:w="892" w:type="dxa"/>
            <w:vMerge/>
            <w:vAlign w:val="center"/>
          </w:tcPr>
          <w:p w14:paraId="3F729FC7" w14:textId="77777777" w:rsidR="00055865" w:rsidRPr="00463734" w:rsidRDefault="00055865">
            <w:pPr>
              <w:widowControl/>
              <w:autoSpaceDE w:val="0"/>
              <w:autoSpaceDN w:val="0"/>
              <w:adjustRightInd w:val="0"/>
              <w:snapToGrid w:val="0"/>
              <w:jc w:val="center"/>
              <w:rPr>
                <w:rFonts w:ascii="Minion Pro" w:hAnsi="Minion Pro" w:cs="Minion Pro"/>
                <w:b/>
                <w:bCs/>
                <w:sz w:val="20"/>
                <w:szCs w:val="15"/>
              </w:rPr>
            </w:pPr>
          </w:p>
        </w:tc>
        <w:tc>
          <w:tcPr>
            <w:tcW w:w="904" w:type="dxa"/>
            <w:vMerge/>
            <w:vAlign w:val="center"/>
          </w:tcPr>
          <w:p w14:paraId="2B685AE7" w14:textId="77777777" w:rsidR="00055865" w:rsidRPr="00463734" w:rsidRDefault="00055865">
            <w:pPr>
              <w:widowControl/>
              <w:autoSpaceDE w:val="0"/>
              <w:autoSpaceDN w:val="0"/>
              <w:adjustRightInd w:val="0"/>
              <w:snapToGrid w:val="0"/>
              <w:jc w:val="center"/>
              <w:rPr>
                <w:rFonts w:ascii="Minion Pro" w:hAnsi="Minion Pro" w:cs="Minion Pro"/>
                <w:b/>
                <w:bCs/>
                <w:sz w:val="20"/>
                <w:szCs w:val="15"/>
              </w:rPr>
            </w:pPr>
          </w:p>
        </w:tc>
        <w:tc>
          <w:tcPr>
            <w:tcW w:w="986" w:type="dxa"/>
            <w:vAlign w:val="center"/>
          </w:tcPr>
          <w:p w14:paraId="5D741FF1"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sz w:val="20"/>
                <w:szCs w:val="15"/>
              </w:rPr>
              <w:t>Comparison Method (kWh)</w:t>
            </w:r>
          </w:p>
        </w:tc>
        <w:tc>
          <w:tcPr>
            <w:tcW w:w="986" w:type="dxa"/>
            <w:vAlign w:val="center"/>
          </w:tcPr>
          <w:p w14:paraId="4AFA3A17"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sz w:val="20"/>
                <w:szCs w:val="15"/>
              </w:rPr>
              <w:t>Current Chapter Method (kWh)</w:t>
            </w:r>
          </w:p>
        </w:tc>
        <w:tc>
          <w:tcPr>
            <w:tcW w:w="939" w:type="dxa"/>
            <w:vAlign w:val="center"/>
          </w:tcPr>
          <w:p w14:paraId="7C936084"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sz w:val="20"/>
                <w:szCs w:val="15"/>
              </w:rPr>
              <w:t>Percentage Reduction (%)</w:t>
            </w:r>
          </w:p>
        </w:tc>
        <w:tc>
          <w:tcPr>
            <w:tcW w:w="904" w:type="dxa"/>
            <w:vMerge/>
            <w:vAlign w:val="center"/>
          </w:tcPr>
          <w:p w14:paraId="3CEA91D4" w14:textId="77777777" w:rsidR="00055865" w:rsidRPr="00463734" w:rsidRDefault="00055865">
            <w:pPr>
              <w:widowControl/>
              <w:autoSpaceDE w:val="0"/>
              <w:autoSpaceDN w:val="0"/>
              <w:adjustRightInd w:val="0"/>
              <w:snapToGrid w:val="0"/>
              <w:jc w:val="center"/>
              <w:rPr>
                <w:rFonts w:ascii="Minion Pro" w:hAnsi="Minion Pro" w:cs="Minion Pro"/>
                <w:b/>
                <w:bCs/>
                <w:sz w:val="20"/>
                <w:szCs w:val="15"/>
              </w:rPr>
            </w:pPr>
          </w:p>
        </w:tc>
        <w:tc>
          <w:tcPr>
            <w:tcW w:w="986" w:type="dxa"/>
            <w:vAlign w:val="center"/>
          </w:tcPr>
          <w:p w14:paraId="0DE93ED2"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sz w:val="20"/>
                <w:szCs w:val="15"/>
              </w:rPr>
              <w:t>Comparison Method (kWh)</w:t>
            </w:r>
          </w:p>
        </w:tc>
        <w:tc>
          <w:tcPr>
            <w:tcW w:w="986" w:type="dxa"/>
            <w:vAlign w:val="center"/>
          </w:tcPr>
          <w:p w14:paraId="481BB8BC"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sz w:val="20"/>
                <w:szCs w:val="15"/>
              </w:rPr>
              <w:t>Current Chapter Method (kWh)</w:t>
            </w:r>
          </w:p>
        </w:tc>
        <w:tc>
          <w:tcPr>
            <w:tcW w:w="939" w:type="dxa"/>
            <w:vAlign w:val="center"/>
          </w:tcPr>
          <w:p w14:paraId="6A8AD1D8"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sz w:val="20"/>
                <w:szCs w:val="15"/>
              </w:rPr>
              <w:t>Percentage Reduction (%)</w:t>
            </w:r>
          </w:p>
        </w:tc>
      </w:tr>
      <w:tr w:rsidR="00055865" w:rsidRPr="00463734" w14:paraId="752FF69D" w14:textId="77777777">
        <w:tc>
          <w:tcPr>
            <w:tcW w:w="892" w:type="dxa"/>
            <w:vMerge w:val="restart"/>
            <w:vAlign w:val="center"/>
          </w:tcPr>
          <w:p w14:paraId="48DDF749"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Feedline 1</w:t>
            </w:r>
          </w:p>
        </w:tc>
        <w:tc>
          <w:tcPr>
            <w:tcW w:w="904" w:type="dxa"/>
            <w:vAlign w:val="center"/>
          </w:tcPr>
          <w:p w14:paraId="06648909"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w:t>
            </w:r>
          </w:p>
        </w:tc>
        <w:tc>
          <w:tcPr>
            <w:tcW w:w="986" w:type="dxa"/>
            <w:vAlign w:val="center"/>
          </w:tcPr>
          <w:p w14:paraId="59E9C5C1"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1219.23</w:t>
            </w:r>
          </w:p>
        </w:tc>
        <w:tc>
          <w:tcPr>
            <w:tcW w:w="986" w:type="dxa"/>
            <w:vAlign w:val="center"/>
          </w:tcPr>
          <w:p w14:paraId="785472BF"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1217.75</w:t>
            </w:r>
          </w:p>
        </w:tc>
        <w:tc>
          <w:tcPr>
            <w:tcW w:w="939" w:type="dxa"/>
            <w:vAlign w:val="center"/>
          </w:tcPr>
          <w:p w14:paraId="5AC31055"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0.1217</w:t>
            </w:r>
          </w:p>
        </w:tc>
        <w:tc>
          <w:tcPr>
            <w:tcW w:w="904" w:type="dxa"/>
            <w:vAlign w:val="center"/>
          </w:tcPr>
          <w:p w14:paraId="08566BF7"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7678A976"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0E09FFB1"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39" w:type="dxa"/>
            <w:vAlign w:val="center"/>
          </w:tcPr>
          <w:p w14:paraId="30A2EB77"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r>
      <w:tr w:rsidR="00055865" w:rsidRPr="00463734" w14:paraId="7B3AE7D4" w14:textId="77777777">
        <w:tc>
          <w:tcPr>
            <w:tcW w:w="892" w:type="dxa"/>
            <w:vMerge/>
            <w:vAlign w:val="center"/>
          </w:tcPr>
          <w:p w14:paraId="4C14E2B1" w14:textId="77777777" w:rsidR="00055865" w:rsidRPr="00463734" w:rsidRDefault="00055865">
            <w:pPr>
              <w:widowControl/>
              <w:autoSpaceDE w:val="0"/>
              <w:autoSpaceDN w:val="0"/>
              <w:adjustRightInd w:val="0"/>
              <w:snapToGrid w:val="0"/>
              <w:jc w:val="center"/>
              <w:rPr>
                <w:rFonts w:ascii="Minion Pro" w:hAnsi="Minion Pro" w:cs="Minion Pro"/>
                <w:b/>
                <w:bCs/>
                <w:sz w:val="20"/>
                <w:szCs w:val="15"/>
              </w:rPr>
            </w:pPr>
          </w:p>
        </w:tc>
        <w:tc>
          <w:tcPr>
            <w:tcW w:w="904" w:type="dxa"/>
            <w:vAlign w:val="center"/>
          </w:tcPr>
          <w:p w14:paraId="58496B4E"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9</w:t>
            </w:r>
          </w:p>
        </w:tc>
        <w:tc>
          <w:tcPr>
            <w:tcW w:w="986" w:type="dxa"/>
            <w:vAlign w:val="center"/>
          </w:tcPr>
          <w:p w14:paraId="13A6625C"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1138.24</w:t>
            </w:r>
          </w:p>
        </w:tc>
        <w:tc>
          <w:tcPr>
            <w:tcW w:w="986" w:type="dxa"/>
            <w:vAlign w:val="center"/>
          </w:tcPr>
          <w:p w14:paraId="711820C9"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1138.21</w:t>
            </w:r>
          </w:p>
        </w:tc>
        <w:tc>
          <w:tcPr>
            <w:tcW w:w="939" w:type="dxa"/>
            <w:vAlign w:val="center"/>
          </w:tcPr>
          <w:p w14:paraId="45AEB628"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0.0021</w:t>
            </w:r>
          </w:p>
        </w:tc>
        <w:tc>
          <w:tcPr>
            <w:tcW w:w="904" w:type="dxa"/>
            <w:vAlign w:val="center"/>
          </w:tcPr>
          <w:p w14:paraId="5A8EEF2D"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387A789A"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4D716AF6"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39" w:type="dxa"/>
            <w:vAlign w:val="center"/>
          </w:tcPr>
          <w:p w14:paraId="13212FFE"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r>
      <w:tr w:rsidR="00055865" w:rsidRPr="00463734" w14:paraId="1E12B096" w14:textId="77777777">
        <w:tc>
          <w:tcPr>
            <w:tcW w:w="892" w:type="dxa"/>
            <w:vMerge w:val="restart"/>
            <w:vAlign w:val="center"/>
          </w:tcPr>
          <w:p w14:paraId="1DDCB7F0" w14:textId="77777777" w:rsidR="00055865" w:rsidRPr="00463734" w:rsidRDefault="00000000">
            <w:pPr>
              <w:widowControl/>
              <w:autoSpaceDE w:val="0"/>
              <w:autoSpaceDN w:val="0"/>
              <w:adjustRightInd w:val="0"/>
              <w:snapToGrid w:val="0"/>
              <w:jc w:val="center"/>
              <w:rPr>
                <w:rFonts w:ascii="Minion Pro" w:hAnsi="Minion Pro" w:cs="Minion Pro"/>
                <w:b/>
                <w:bCs/>
                <w:sz w:val="20"/>
                <w:szCs w:val="15"/>
              </w:rPr>
            </w:pPr>
            <w:r w:rsidRPr="00463734">
              <w:rPr>
                <w:rFonts w:ascii="Minion Pro" w:hAnsi="Minion Pro" w:cs="Minion Pro"/>
                <w:b/>
                <w:bCs/>
                <w:kern w:val="0"/>
                <w:sz w:val="20"/>
                <w:szCs w:val="15"/>
                <w:lang w:bidi="ar"/>
              </w:rPr>
              <w:t>Feedline 2</w:t>
            </w:r>
          </w:p>
        </w:tc>
        <w:tc>
          <w:tcPr>
            <w:tcW w:w="904" w:type="dxa"/>
            <w:vAlign w:val="center"/>
          </w:tcPr>
          <w:p w14:paraId="378938D9"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4</w:t>
            </w:r>
          </w:p>
        </w:tc>
        <w:tc>
          <w:tcPr>
            <w:tcW w:w="986" w:type="dxa"/>
            <w:vAlign w:val="center"/>
          </w:tcPr>
          <w:p w14:paraId="26569B53"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613.83</w:t>
            </w:r>
          </w:p>
        </w:tc>
        <w:tc>
          <w:tcPr>
            <w:tcW w:w="986" w:type="dxa"/>
            <w:vAlign w:val="center"/>
          </w:tcPr>
          <w:p w14:paraId="6391855C"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613.66</w:t>
            </w:r>
          </w:p>
        </w:tc>
        <w:tc>
          <w:tcPr>
            <w:tcW w:w="939" w:type="dxa"/>
            <w:vAlign w:val="center"/>
          </w:tcPr>
          <w:p w14:paraId="60B5FBD4"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0.0278</w:t>
            </w:r>
          </w:p>
        </w:tc>
        <w:tc>
          <w:tcPr>
            <w:tcW w:w="904" w:type="dxa"/>
            <w:vAlign w:val="center"/>
          </w:tcPr>
          <w:p w14:paraId="408AD2F3"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28CB9370"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24E3FD64"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39" w:type="dxa"/>
            <w:vAlign w:val="center"/>
          </w:tcPr>
          <w:p w14:paraId="597CA6AA"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r>
      <w:tr w:rsidR="00055865" w:rsidRPr="00463734" w14:paraId="1C0799BA" w14:textId="77777777">
        <w:tc>
          <w:tcPr>
            <w:tcW w:w="892" w:type="dxa"/>
            <w:vMerge/>
            <w:vAlign w:val="center"/>
          </w:tcPr>
          <w:p w14:paraId="4E0D2263" w14:textId="77777777" w:rsidR="00055865" w:rsidRPr="00463734" w:rsidRDefault="00055865">
            <w:pPr>
              <w:widowControl/>
              <w:autoSpaceDE w:val="0"/>
              <w:autoSpaceDN w:val="0"/>
              <w:adjustRightInd w:val="0"/>
              <w:snapToGrid w:val="0"/>
              <w:jc w:val="center"/>
              <w:rPr>
                <w:rFonts w:ascii="Minion Pro" w:hAnsi="Minion Pro" w:cs="Minion Pro"/>
                <w:b/>
                <w:bCs/>
                <w:sz w:val="20"/>
                <w:szCs w:val="15"/>
              </w:rPr>
            </w:pPr>
          </w:p>
        </w:tc>
        <w:tc>
          <w:tcPr>
            <w:tcW w:w="904" w:type="dxa"/>
            <w:vAlign w:val="center"/>
          </w:tcPr>
          <w:p w14:paraId="68ED1D22"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6</w:t>
            </w:r>
          </w:p>
        </w:tc>
        <w:tc>
          <w:tcPr>
            <w:tcW w:w="986" w:type="dxa"/>
            <w:vAlign w:val="center"/>
          </w:tcPr>
          <w:p w14:paraId="6B839424"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611.04</w:t>
            </w:r>
          </w:p>
        </w:tc>
        <w:tc>
          <w:tcPr>
            <w:tcW w:w="986" w:type="dxa"/>
            <w:vAlign w:val="center"/>
          </w:tcPr>
          <w:p w14:paraId="31D70D69"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610</w:t>
            </w:r>
          </w:p>
        </w:tc>
        <w:tc>
          <w:tcPr>
            <w:tcW w:w="939" w:type="dxa"/>
            <w:vAlign w:val="center"/>
          </w:tcPr>
          <w:p w14:paraId="222A3104"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0.1697</w:t>
            </w:r>
          </w:p>
        </w:tc>
        <w:tc>
          <w:tcPr>
            <w:tcW w:w="904" w:type="dxa"/>
            <w:vAlign w:val="center"/>
          </w:tcPr>
          <w:p w14:paraId="47A71EF3"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715B2877"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86" w:type="dxa"/>
            <w:vAlign w:val="center"/>
          </w:tcPr>
          <w:p w14:paraId="512C556A"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c>
          <w:tcPr>
            <w:tcW w:w="939" w:type="dxa"/>
            <w:vAlign w:val="center"/>
          </w:tcPr>
          <w:p w14:paraId="2CD5AAD6"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w:t>
            </w:r>
          </w:p>
        </w:tc>
      </w:tr>
      <w:tr w:rsidR="00055865" w:rsidRPr="00463734" w14:paraId="24E48911" w14:textId="77777777">
        <w:tc>
          <w:tcPr>
            <w:tcW w:w="892" w:type="dxa"/>
            <w:vMerge w:val="restart"/>
            <w:vAlign w:val="center"/>
          </w:tcPr>
          <w:p w14:paraId="6AA14112" w14:textId="77777777" w:rsidR="00055865" w:rsidRPr="00463734" w:rsidRDefault="00000000">
            <w:pPr>
              <w:widowControl/>
              <w:autoSpaceDE w:val="0"/>
              <w:autoSpaceDN w:val="0"/>
              <w:adjustRightInd w:val="0"/>
              <w:snapToGrid w:val="0"/>
              <w:jc w:val="center"/>
              <w:rPr>
                <w:rFonts w:ascii="Minion Pro" w:hAnsi="Minion Pro" w:cs="Minion Pro"/>
                <w:b/>
                <w:bCs/>
                <w:kern w:val="0"/>
                <w:sz w:val="20"/>
                <w:szCs w:val="15"/>
                <w:lang w:bidi="ar"/>
              </w:rPr>
            </w:pPr>
            <w:r w:rsidRPr="00463734">
              <w:rPr>
                <w:rFonts w:ascii="Minion Pro" w:hAnsi="Minion Pro" w:cs="Minion Pro"/>
                <w:b/>
                <w:bCs/>
                <w:kern w:val="0"/>
                <w:sz w:val="20"/>
                <w:szCs w:val="15"/>
                <w:lang w:bidi="ar"/>
              </w:rPr>
              <w:t>Feedline 3</w:t>
            </w:r>
          </w:p>
        </w:tc>
        <w:tc>
          <w:tcPr>
            <w:tcW w:w="904" w:type="dxa"/>
            <w:vAlign w:val="center"/>
          </w:tcPr>
          <w:p w14:paraId="474A3AD6"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8</w:t>
            </w:r>
          </w:p>
        </w:tc>
        <w:tc>
          <w:tcPr>
            <w:tcW w:w="986" w:type="dxa"/>
            <w:vAlign w:val="center"/>
          </w:tcPr>
          <w:p w14:paraId="05C001C8"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1638.59</w:t>
            </w:r>
          </w:p>
        </w:tc>
        <w:tc>
          <w:tcPr>
            <w:tcW w:w="986" w:type="dxa"/>
            <w:vAlign w:val="center"/>
          </w:tcPr>
          <w:p w14:paraId="3211078F"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1632.09</w:t>
            </w:r>
          </w:p>
        </w:tc>
        <w:tc>
          <w:tcPr>
            <w:tcW w:w="939" w:type="dxa"/>
            <w:vAlign w:val="center"/>
          </w:tcPr>
          <w:p w14:paraId="525BD1BD"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0.3969</w:t>
            </w:r>
          </w:p>
        </w:tc>
        <w:tc>
          <w:tcPr>
            <w:tcW w:w="904" w:type="dxa"/>
            <w:vAlign w:val="center"/>
          </w:tcPr>
          <w:p w14:paraId="278A22DE"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8</w:t>
            </w:r>
          </w:p>
        </w:tc>
        <w:tc>
          <w:tcPr>
            <w:tcW w:w="986" w:type="dxa"/>
            <w:vAlign w:val="center"/>
          </w:tcPr>
          <w:p w14:paraId="79686501"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1853</w:t>
            </w:r>
          </w:p>
        </w:tc>
        <w:tc>
          <w:tcPr>
            <w:tcW w:w="986" w:type="dxa"/>
            <w:vAlign w:val="center"/>
          </w:tcPr>
          <w:p w14:paraId="34F7C6B5"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1850.38</w:t>
            </w:r>
          </w:p>
        </w:tc>
        <w:tc>
          <w:tcPr>
            <w:tcW w:w="939" w:type="dxa"/>
            <w:vAlign w:val="center"/>
          </w:tcPr>
          <w:p w14:paraId="208EE499" w14:textId="77777777" w:rsidR="00055865" w:rsidRPr="00463734" w:rsidRDefault="00000000">
            <w:pPr>
              <w:widowControl/>
              <w:autoSpaceDE w:val="0"/>
              <w:autoSpaceDN w:val="0"/>
              <w:adjustRightInd w:val="0"/>
              <w:snapToGrid w:val="0"/>
              <w:jc w:val="center"/>
              <w:rPr>
                <w:rFonts w:ascii="Minion Pro" w:hAnsi="Minion Pro" w:cs="Minion Pro"/>
                <w:sz w:val="20"/>
                <w:szCs w:val="15"/>
              </w:rPr>
            </w:pPr>
            <w:r w:rsidRPr="00463734">
              <w:rPr>
                <w:rFonts w:ascii="Minion Pro" w:hAnsi="Minion Pro" w:cs="Minion Pro"/>
                <w:kern w:val="0"/>
                <w:sz w:val="20"/>
                <w:szCs w:val="15"/>
                <w:lang w:bidi="ar"/>
              </w:rPr>
              <w:t>0.1412</w:t>
            </w:r>
          </w:p>
        </w:tc>
      </w:tr>
      <w:tr w:rsidR="00055865" w:rsidRPr="00463734" w14:paraId="75EA5FA0" w14:textId="77777777">
        <w:tc>
          <w:tcPr>
            <w:tcW w:w="892" w:type="dxa"/>
            <w:vMerge/>
            <w:vAlign w:val="center"/>
          </w:tcPr>
          <w:p w14:paraId="6E6B0F97" w14:textId="77777777" w:rsidR="00055865" w:rsidRPr="00463734" w:rsidRDefault="00055865">
            <w:pPr>
              <w:widowControl/>
              <w:autoSpaceDE w:val="0"/>
              <w:autoSpaceDN w:val="0"/>
              <w:adjustRightInd w:val="0"/>
              <w:snapToGrid w:val="0"/>
              <w:jc w:val="center"/>
              <w:rPr>
                <w:rFonts w:ascii="Minion Pro" w:hAnsi="Minion Pro" w:cs="Minion Pro"/>
                <w:kern w:val="0"/>
                <w:sz w:val="20"/>
                <w:szCs w:val="15"/>
                <w:lang w:bidi="ar"/>
              </w:rPr>
            </w:pPr>
          </w:p>
        </w:tc>
        <w:tc>
          <w:tcPr>
            <w:tcW w:w="904" w:type="dxa"/>
            <w:vAlign w:val="center"/>
          </w:tcPr>
          <w:p w14:paraId="1C41F976"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10</w:t>
            </w:r>
          </w:p>
        </w:tc>
        <w:tc>
          <w:tcPr>
            <w:tcW w:w="986" w:type="dxa"/>
            <w:vAlign w:val="center"/>
          </w:tcPr>
          <w:p w14:paraId="2A0BE309"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1634.91</w:t>
            </w:r>
          </w:p>
        </w:tc>
        <w:tc>
          <w:tcPr>
            <w:tcW w:w="986" w:type="dxa"/>
            <w:vAlign w:val="center"/>
          </w:tcPr>
          <w:p w14:paraId="25118878"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1632.14</w:t>
            </w:r>
          </w:p>
        </w:tc>
        <w:tc>
          <w:tcPr>
            <w:tcW w:w="939" w:type="dxa"/>
            <w:vAlign w:val="center"/>
          </w:tcPr>
          <w:p w14:paraId="2CAD1FEA"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0.1697</w:t>
            </w:r>
          </w:p>
        </w:tc>
        <w:tc>
          <w:tcPr>
            <w:tcW w:w="904" w:type="dxa"/>
            <w:vAlign w:val="center"/>
          </w:tcPr>
          <w:p w14:paraId="08AE0FF4"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13</w:t>
            </w:r>
          </w:p>
        </w:tc>
        <w:tc>
          <w:tcPr>
            <w:tcW w:w="986" w:type="dxa"/>
            <w:vAlign w:val="center"/>
          </w:tcPr>
          <w:p w14:paraId="18A6C31C"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1713.86</w:t>
            </w:r>
          </w:p>
        </w:tc>
        <w:tc>
          <w:tcPr>
            <w:tcW w:w="986" w:type="dxa"/>
            <w:vAlign w:val="center"/>
          </w:tcPr>
          <w:p w14:paraId="5097B6E1"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1713.61</w:t>
            </w:r>
          </w:p>
        </w:tc>
        <w:tc>
          <w:tcPr>
            <w:tcW w:w="939" w:type="dxa"/>
            <w:vAlign w:val="center"/>
          </w:tcPr>
          <w:p w14:paraId="674FA7EF" w14:textId="77777777" w:rsidR="00055865" w:rsidRPr="00463734" w:rsidRDefault="00000000">
            <w:pPr>
              <w:widowControl/>
              <w:autoSpaceDE w:val="0"/>
              <w:autoSpaceDN w:val="0"/>
              <w:adjustRightInd w:val="0"/>
              <w:snapToGrid w:val="0"/>
              <w:jc w:val="center"/>
              <w:rPr>
                <w:rFonts w:ascii="Minion Pro" w:hAnsi="Minion Pro" w:cs="Minion Pro"/>
                <w:kern w:val="0"/>
                <w:sz w:val="20"/>
                <w:szCs w:val="15"/>
                <w:lang w:bidi="ar"/>
              </w:rPr>
            </w:pPr>
            <w:r w:rsidRPr="00463734">
              <w:rPr>
                <w:rFonts w:ascii="Minion Pro" w:hAnsi="Minion Pro" w:cs="Minion Pro"/>
                <w:kern w:val="0"/>
                <w:sz w:val="20"/>
                <w:szCs w:val="15"/>
                <w:lang w:bidi="ar"/>
              </w:rPr>
              <w:t>0.0146</w:t>
            </w:r>
          </w:p>
        </w:tc>
      </w:tr>
    </w:tbl>
    <w:p w14:paraId="3B637B3B" w14:textId="77777777" w:rsidR="00055865" w:rsidRPr="00463734" w:rsidRDefault="00000000">
      <w:pPr>
        <w:pStyle w:val="TSP31text"/>
        <w:spacing w:before="240"/>
        <w:rPr>
          <w:rFonts w:eastAsia="宋体" w:cs="Minion Pro"/>
          <w:bCs/>
          <w:color w:val="auto"/>
          <w:lang w:eastAsia="zh-CN"/>
        </w:rPr>
      </w:pPr>
      <w:r w:rsidRPr="00463734">
        <w:rPr>
          <w:rFonts w:eastAsia="宋体" w:cs="Minion Pro"/>
          <w:bCs/>
          <w:color w:val="auto"/>
          <w:lang w:eastAsia="zh-CN"/>
        </w:rPr>
        <w:t xml:space="preserve">The results show that, similar to the IEEE 33-node system, although the configuration effects of the two methods are the same in most cases, under specific configuration quantities, the risk mitigation effect of this section's method is better. Moreover, in this example, this section's method can reduce the risk by up to 0.3969% at the highest, while the IEEE 33-node system only reduces it by 0.0684%. This is mainly because the CPS 62-node system relies on the information system for fault isolation and recovery, and has a higher dependence on the information system, making the advantages of the proposed defense resource allocation method more obvious. To make a more specific comparison of the two methods, Figures </w:t>
      </w:r>
      <w:r w:rsidRPr="00463734">
        <w:rPr>
          <w:rFonts w:eastAsia="宋体" w:cs="Minion Pro" w:hint="eastAsia"/>
          <w:bCs/>
          <w:color w:val="auto"/>
          <w:lang w:eastAsia="zh-CN"/>
        </w:rPr>
        <w:t>S26</w:t>
      </w:r>
      <w:r w:rsidRPr="00463734">
        <w:rPr>
          <w:rFonts w:eastAsia="宋体" w:cs="Minion Pro"/>
          <w:bCs/>
          <w:color w:val="auto"/>
          <w:lang w:eastAsia="zh-CN"/>
        </w:rPr>
        <w:t xml:space="preserve"> and </w:t>
      </w:r>
      <w:r w:rsidRPr="00463734">
        <w:rPr>
          <w:rFonts w:eastAsia="宋体" w:cs="Minion Pro" w:hint="eastAsia"/>
          <w:bCs/>
          <w:color w:val="auto"/>
          <w:lang w:eastAsia="zh-CN"/>
        </w:rPr>
        <w:t>S27</w:t>
      </w:r>
      <w:r w:rsidRPr="00463734">
        <w:rPr>
          <w:rFonts w:eastAsia="宋体" w:cs="Minion Pro"/>
          <w:bCs/>
          <w:color w:val="auto"/>
          <w:lang w:eastAsia="zh-CN"/>
        </w:rPr>
        <w:t>, respectively show the configuration schemes of this section's method and the comparison method when the number of feeder configurations is 9, 6, and 8 under the availability attack.</w:t>
      </w:r>
    </w:p>
    <w:p w14:paraId="727B54E1" w14:textId="77777777" w:rsidR="00055865" w:rsidRPr="00463734" w:rsidRDefault="00000000">
      <w:pPr>
        <w:jc w:val="center"/>
        <w:rPr>
          <w:rFonts w:ascii="Minion Pro" w:hAnsi="Minion Pro" w:cs="Minion Pro"/>
        </w:rPr>
      </w:pPr>
      <w:r w:rsidRPr="00463734">
        <w:rPr>
          <w:rFonts w:ascii="Minion Pro" w:hAnsi="Minion Pro" w:cs="Minion Pro"/>
          <w:noProof/>
        </w:rPr>
        <w:lastRenderedPageBreak/>
        <w:drawing>
          <wp:inline distT="0" distB="0" distL="114300" distR="114300" wp14:anchorId="5B70318F" wp14:editId="7A2A2C63">
            <wp:extent cx="3959860" cy="2136775"/>
            <wp:effectExtent l="0" t="0" r="2540" b="9525"/>
            <wp:docPr id="8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10"/>
                    <pic:cNvPicPr>
                      <a:picLocks noChangeAspect="1"/>
                    </pic:cNvPicPr>
                  </pic:nvPicPr>
                  <pic:blipFill>
                    <a:blip r:embed="rId76"/>
                    <a:stretch>
                      <a:fillRect/>
                    </a:stretch>
                  </pic:blipFill>
                  <pic:spPr>
                    <a:xfrm>
                      <a:off x="0" y="0"/>
                      <a:ext cx="3959860" cy="2136775"/>
                    </a:xfrm>
                    <a:prstGeom prst="rect">
                      <a:avLst/>
                    </a:prstGeom>
                    <a:noFill/>
                    <a:ln>
                      <a:noFill/>
                    </a:ln>
                  </pic:spPr>
                </pic:pic>
              </a:graphicData>
            </a:graphic>
          </wp:inline>
        </w:drawing>
      </w:r>
    </w:p>
    <w:p w14:paraId="007442C3"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Feeder allocation results obtained by proposed method under availability attack</w:t>
      </w:r>
    </w:p>
    <w:p w14:paraId="0731F29C"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3EF5D251" wp14:editId="77924D1B">
            <wp:extent cx="3959860" cy="2080260"/>
            <wp:effectExtent l="0" t="0" r="2540" b="2540"/>
            <wp:docPr id="8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9"/>
                    <pic:cNvPicPr>
                      <a:picLocks noChangeAspect="1"/>
                    </pic:cNvPicPr>
                  </pic:nvPicPr>
                  <pic:blipFill>
                    <a:blip r:embed="rId77"/>
                    <a:stretch>
                      <a:fillRect/>
                    </a:stretch>
                  </pic:blipFill>
                  <pic:spPr>
                    <a:xfrm>
                      <a:off x="0" y="0"/>
                      <a:ext cx="3959860" cy="2080260"/>
                    </a:xfrm>
                    <a:prstGeom prst="rect">
                      <a:avLst/>
                    </a:prstGeom>
                    <a:noFill/>
                    <a:ln>
                      <a:noFill/>
                    </a:ln>
                  </pic:spPr>
                </pic:pic>
              </a:graphicData>
            </a:graphic>
          </wp:inline>
        </w:drawing>
      </w:r>
    </w:p>
    <w:p w14:paraId="2234EDE4"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Feeder allocation results obtained by comparison method under availability attack</w:t>
      </w:r>
    </w:p>
    <w:p w14:paraId="6397110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By comparing </w:t>
      </w:r>
      <w:r w:rsidRPr="00463734">
        <w:rPr>
          <w:rFonts w:eastAsia="宋体" w:cs="Minion Pro" w:hint="eastAsia"/>
          <w:bCs/>
          <w:color w:val="auto"/>
          <w:lang w:eastAsia="zh-CN"/>
        </w:rPr>
        <w:t>Figure S26</w:t>
      </w:r>
      <w:r w:rsidRPr="00463734">
        <w:rPr>
          <w:rFonts w:eastAsia="宋体" w:cs="Minion Pro"/>
          <w:bCs/>
          <w:color w:val="auto"/>
          <w:lang w:eastAsia="zh-CN"/>
        </w:rPr>
        <w:t xml:space="preserve"> with </w:t>
      </w:r>
      <w:r w:rsidRPr="00463734">
        <w:rPr>
          <w:rFonts w:eastAsia="宋体" w:cs="Minion Pro" w:hint="eastAsia"/>
          <w:bCs/>
          <w:color w:val="auto"/>
          <w:lang w:eastAsia="zh-CN"/>
        </w:rPr>
        <w:t>Figure S27</w:t>
      </w:r>
      <w:r w:rsidRPr="00463734">
        <w:rPr>
          <w:rFonts w:eastAsia="宋体" w:cs="Minion Pro"/>
          <w:bCs/>
          <w:color w:val="auto"/>
          <w:lang w:eastAsia="zh-CN"/>
        </w:rPr>
        <w:t>, it can be seen that the proposed method and the comparison method have similar configuration results, with only differences in the security configurations of some RTUs. For example, the proposed method configured the RTU corresponding to S11 in feeder one, while the comparison method configured the RTU corresponding to S20. The main reason is similar to that of the IEEE 33-node system: the proportional allocation method used by the comparison method is difficult to accurately quantify the responsibility proportion of a single component in a multi-component attack event, overestimating the responsibility of S20. The proposed method, based on the configuration effect at the same switch position for resource allocation, yields more accurate results. In feeders two and three, the proposed method configured the RTU corresponding to S29 and S61, respectively, while the comparison method configured S40 and S56. The reasons are similar to those of the IEEE 33-node system and will not be elaborated further.</w:t>
      </w:r>
    </w:p>
    <w:p w14:paraId="3575A096" w14:textId="681C7770"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The time required to simulate the three feeders under availability and integrity attacks is shown in Table S12.</w:t>
      </w:r>
    </w:p>
    <w:p w14:paraId="7C9E6485"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Comparison of computing time required for three feeders with different methods</w:t>
      </w:r>
    </w:p>
    <w:tbl>
      <w:tblPr>
        <w:tblStyle w:val="TableGrid"/>
        <w:tblW w:w="0" w:type="auto"/>
        <w:tblLook w:val="04A0" w:firstRow="1" w:lastRow="0" w:firstColumn="1" w:lastColumn="0" w:noHBand="0" w:noVBand="1"/>
      </w:tblPr>
      <w:tblGrid>
        <w:gridCol w:w="1704"/>
        <w:gridCol w:w="1704"/>
        <w:gridCol w:w="1704"/>
        <w:gridCol w:w="1705"/>
        <w:gridCol w:w="1705"/>
      </w:tblGrid>
      <w:tr w:rsidR="00055865" w:rsidRPr="00463734" w14:paraId="5680EB53" w14:textId="77777777">
        <w:tc>
          <w:tcPr>
            <w:tcW w:w="1704" w:type="dxa"/>
            <w:vAlign w:val="center"/>
          </w:tcPr>
          <w:p w14:paraId="63832DD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Section</w:t>
            </w:r>
          </w:p>
        </w:tc>
        <w:tc>
          <w:tcPr>
            <w:tcW w:w="1704" w:type="dxa"/>
            <w:vAlign w:val="center"/>
          </w:tcPr>
          <w:p w14:paraId="3A825DC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Attack Type</w:t>
            </w:r>
          </w:p>
        </w:tc>
        <w:tc>
          <w:tcPr>
            <w:tcW w:w="1704" w:type="dxa"/>
            <w:vAlign w:val="center"/>
          </w:tcPr>
          <w:p w14:paraId="3653AE5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Comparison Method(s)</w:t>
            </w:r>
          </w:p>
        </w:tc>
        <w:tc>
          <w:tcPr>
            <w:tcW w:w="1705" w:type="dxa"/>
            <w:vAlign w:val="center"/>
          </w:tcPr>
          <w:p w14:paraId="43546220"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Methods in This Chapter</w:t>
            </w:r>
          </w:p>
        </w:tc>
        <w:tc>
          <w:tcPr>
            <w:tcW w:w="1705" w:type="dxa"/>
            <w:vAlign w:val="center"/>
          </w:tcPr>
          <w:p w14:paraId="17453EA5"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Difference Multiplier</w:t>
            </w:r>
          </w:p>
        </w:tc>
      </w:tr>
      <w:tr w:rsidR="00055865" w:rsidRPr="00463734" w14:paraId="3207AD04" w14:textId="77777777">
        <w:tc>
          <w:tcPr>
            <w:tcW w:w="1704" w:type="dxa"/>
            <w:vMerge w:val="restart"/>
            <w:vAlign w:val="center"/>
          </w:tcPr>
          <w:p w14:paraId="2AD0AF8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1</w:t>
            </w:r>
          </w:p>
        </w:tc>
        <w:tc>
          <w:tcPr>
            <w:tcW w:w="1704" w:type="dxa"/>
            <w:vAlign w:val="center"/>
          </w:tcPr>
          <w:p w14:paraId="22E9FEB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Availability Attack</w:t>
            </w:r>
          </w:p>
        </w:tc>
        <w:tc>
          <w:tcPr>
            <w:tcW w:w="1704" w:type="dxa"/>
            <w:vAlign w:val="center"/>
          </w:tcPr>
          <w:p w14:paraId="05DCBEC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103.15</w:t>
            </w:r>
          </w:p>
        </w:tc>
        <w:tc>
          <w:tcPr>
            <w:tcW w:w="1705" w:type="dxa"/>
            <w:vAlign w:val="center"/>
          </w:tcPr>
          <w:p w14:paraId="00903A35"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28.8</w:t>
            </w:r>
          </w:p>
        </w:tc>
        <w:tc>
          <w:tcPr>
            <w:tcW w:w="1705" w:type="dxa"/>
            <w:vAlign w:val="center"/>
          </w:tcPr>
          <w:p w14:paraId="3815A92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3.58</w:t>
            </w:r>
          </w:p>
        </w:tc>
      </w:tr>
      <w:tr w:rsidR="00055865" w:rsidRPr="00463734" w14:paraId="18EB033E" w14:textId="77777777">
        <w:tc>
          <w:tcPr>
            <w:tcW w:w="1704" w:type="dxa"/>
            <w:vMerge/>
            <w:vAlign w:val="center"/>
          </w:tcPr>
          <w:p w14:paraId="6B8541F3" w14:textId="77777777" w:rsidR="00055865" w:rsidRPr="00463734" w:rsidRDefault="00055865">
            <w:pPr>
              <w:jc w:val="center"/>
              <w:rPr>
                <w:rFonts w:ascii="Minion Pro" w:hAnsi="Minion Pro" w:cs="Minion Pro"/>
                <w:sz w:val="15"/>
                <w:szCs w:val="15"/>
              </w:rPr>
            </w:pPr>
          </w:p>
        </w:tc>
        <w:tc>
          <w:tcPr>
            <w:tcW w:w="1704" w:type="dxa"/>
            <w:vAlign w:val="center"/>
          </w:tcPr>
          <w:p w14:paraId="723FFCC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Integrity Attack</w:t>
            </w:r>
          </w:p>
        </w:tc>
        <w:tc>
          <w:tcPr>
            <w:tcW w:w="1704" w:type="dxa"/>
            <w:vAlign w:val="center"/>
          </w:tcPr>
          <w:p w14:paraId="1BD0BDD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99.95</w:t>
            </w:r>
          </w:p>
        </w:tc>
        <w:tc>
          <w:tcPr>
            <w:tcW w:w="1705" w:type="dxa"/>
            <w:vAlign w:val="center"/>
          </w:tcPr>
          <w:p w14:paraId="3210152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29.26</w:t>
            </w:r>
          </w:p>
        </w:tc>
        <w:tc>
          <w:tcPr>
            <w:tcW w:w="1705" w:type="dxa"/>
            <w:vAlign w:val="center"/>
          </w:tcPr>
          <w:p w14:paraId="2E088BE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3.42</w:t>
            </w:r>
          </w:p>
        </w:tc>
      </w:tr>
      <w:tr w:rsidR="00055865" w:rsidRPr="00463734" w14:paraId="10B64B35" w14:textId="77777777">
        <w:tc>
          <w:tcPr>
            <w:tcW w:w="1704" w:type="dxa"/>
            <w:vMerge w:val="restart"/>
            <w:vAlign w:val="center"/>
          </w:tcPr>
          <w:p w14:paraId="0AE8267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2</w:t>
            </w:r>
          </w:p>
        </w:tc>
        <w:tc>
          <w:tcPr>
            <w:tcW w:w="1704" w:type="dxa"/>
            <w:vAlign w:val="center"/>
          </w:tcPr>
          <w:p w14:paraId="0718348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Availability Attack</w:t>
            </w:r>
          </w:p>
        </w:tc>
        <w:tc>
          <w:tcPr>
            <w:tcW w:w="1704" w:type="dxa"/>
            <w:vAlign w:val="center"/>
          </w:tcPr>
          <w:p w14:paraId="46A46A6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52.51</w:t>
            </w:r>
          </w:p>
        </w:tc>
        <w:tc>
          <w:tcPr>
            <w:tcW w:w="1705" w:type="dxa"/>
            <w:vAlign w:val="center"/>
          </w:tcPr>
          <w:p w14:paraId="2C92A3D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32.14</w:t>
            </w:r>
          </w:p>
        </w:tc>
        <w:tc>
          <w:tcPr>
            <w:tcW w:w="1705" w:type="dxa"/>
            <w:vAlign w:val="center"/>
          </w:tcPr>
          <w:p w14:paraId="10A478A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1.63</w:t>
            </w:r>
          </w:p>
        </w:tc>
      </w:tr>
      <w:tr w:rsidR="00055865" w:rsidRPr="00463734" w14:paraId="6AEE1F46" w14:textId="77777777">
        <w:tc>
          <w:tcPr>
            <w:tcW w:w="1704" w:type="dxa"/>
            <w:vMerge/>
            <w:vAlign w:val="center"/>
          </w:tcPr>
          <w:p w14:paraId="3C6FF93C" w14:textId="77777777" w:rsidR="00055865" w:rsidRPr="00463734" w:rsidRDefault="00055865">
            <w:pPr>
              <w:jc w:val="center"/>
              <w:rPr>
                <w:rFonts w:ascii="Minion Pro" w:hAnsi="Minion Pro" w:cs="Minion Pro"/>
                <w:sz w:val="15"/>
                <w:szCs w:val="15"/>
              </w:rPr>
            </w:pPr>
          </w:p>
        </w:tc>
        <w:tc>
          <w:tcPr>
            <w:tcW w:w="1704" w:type="dxa"/>
            <w:vAlign w:val="center"/>
          </w:tcPr>
          <w:p w14:paraId="2EB9497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Integrity Attack</w:t>
            </w:r>
          </w:p>
        </w:tc>
        <w:tc>
          <w:tcPr>
            <w:tcW w:w="1704" w:type="dxa"/>
            <w:vAlign w:val="center"/>
          </w:tcPr>
          <w:p w14:paraId="1545205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53.57</w:t>
            </w:r>
          </w:p>
        </w:tc>
        <w:tc>
          <w:tcPr>
            <w:tcW w:w="1705" w:type="dxa"/>
            <w:vAlign w:val="center"/>
          </w:tcPr>
          <w:p w14:paraId="17F5B07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29.2</w:t>
            </w:r>
          </w:p>
        </w:tc>
        <w:tc>
          <w:tcPr>
            <w:tcW w:w="1705" w:type="dxa"/>
            <w:vAlign w:val="center"/>
          </w:tcPr>
          <w:p w14:paraId="477EEA4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1.83</w:t>
            </w:r>
          </w:p>
        </w:tc>
      </w:tr>
      <w:tr w:rsidR="00055865" w:rsidRPr="00463734" w14:paraId="01C0B84F" w14:textId="77777777">
        <w:tc>
          <w:tcPr>
            <w:tcW w:w="1704" w:type="dxa"/>
            <w:vMerge w:val="restart"/>
            <w:vAlign w:val="center"/>
          </w:tcPr>
          <w:p w14:paraId="4C32A1D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Feedline 3</w:t>
            </w:r>
          </w:p>
        </w:tc>
        <w:tc>
          <w:tcPr>
            <w:tcW w:w="1704" w:type="dxa"/>
            <w:vAlign w:val="center"/>
          </w:tcPr>
          <w:p w14:paraId="4D776DA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Availability Attack</w:t>
            </w:r>
          </w:p>
        </w:tc>
        <w:tc>
          <w:tcPr>
            <w:tcW w:w="1704" w:type="dxa"/>
            <w:vAlign w:val="center"/>
          </w:tcPr>
          <w:p w14:paraId="79B7650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52.34</w:t>
            </w:r>
          </w:p>
        </w:tc>
        <w:tc>
          <w:tcPr>
            <w:tcW w:w="1705" w:type="dxa"/>
            <w:vAlign w:val="center"/>
          </w:tcPr>
          <w:p w14:paraId="0BAACB6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35.26</w:t>
            </w:r>
          </w:p>
        </w:tc>
        <w:tc>
          <w:tcPr>
            <w:tcW w:w="1705" w:type="dxa"/>
            <w:vAlign w:val="center"/>
          </w:tcPr>
          <w:p w14:paraId="324AFC60"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1.48</w:t>
            </w:r>
          </w:p>
        </w:tc>
      </w:tr>
      <w:tr w:rsidR="00055865" w:rsidRPr="00463734" w14:paraId="3F921E8A" w14:textId="77777777">
        <w:tc>
          <w:tcPr>
            <w:tcW w:w="1704" w:type="dxa"/>
            <w:vMerge/>
            <w:vAlign w:val="center"/>
          </w:tcPr>
          <w:p w14:paraId="596B6279" w14:textId="77777777" w:rsidR="00055865" w:rsidRPr="00463734" w:rsidRDefault="00055865">
            <w:pPr>
              <w:jc w:val="center"/>
              <w:rPr>
                <w:rFonts w:ascii="Minion Pro" w:hAnsi="Minion Pro" w:cs="Minion Pro"/>
                <w:sz w:val="15"/>
                <w:szCs w:val="15"/>
              </w:rPr>
            </w:pPr>
          </w:p>
        </w:tc>
        <w:tc>
          <w:tcPr>
            <w:tcW w:w="1704" w:type="dxa"/>
            <w:vAlign w:val="center"/>
          </w:tcPr>
          <w:p w14:paraId="07ADA98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Integrity Attack</w:t>
            </w:r>
          </w:p>
        </w:tc>
        <w:tc>
          <w:tcPr>
            <w:tcW w:w="1704" w:type="dxa"/>
            <w:vAlign w:val="center"/>
          </w:tcPr>
          <w:p w14:paraId="2C4C99C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54.82</w:t>
            </w:r>
          </w:p>
        </w:tc>
        <w:tc>
          <w:tcPr>
            <w:tcW w:w="1705" w:type="dxa"/>
            <w:vAlign w:val="center"/>
          </w:tcPr>
          <w:p w14:paraId="11B40797"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34.46</w:t>
            </w:r>
          </w:p>
        </w:tc>
        <w:tc>
          <w:tcPr>
            <w:tcW w:w="1705" w:type="dxa"/>
            <w:vAlign w:val="center"/>
          </w:tcPr>
          <w:p w14:paraId="4293EA5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1.59</w:t>
            </w:r>
          </w:p>
        </w:tc>
      </w:tr>
    </w:tbl>
    <w:p w14:paraId="63AA758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The three feeder systems (22/20/20 nodes) show similar simulation times (28-36s) to the larger IEEE 33-node system, as they require complex recovery process calculations under attacks, unlike the simpler single-supply IEEE system. The comparison method’s time increases exponentially with switch count, making it slower for the IEEE system and feeder one (more switches).</w:t>
      </w:r>
    </w:p>
    <w:p w14:paraId="1D6C0E12"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42A5034A" wp14:editId="4F7BF8BC">
            <wp:extent cx="3959860" cy="1967865"/>
            <wp:effectExtent l="0" t="0" r="2540" b="635"/>
            <wp:docPr id="8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8"/>
                    <pic:cNvPicPr>
                      <a:picLocks noChangeAspect="1"/>
                    </pic:cNvPicPr>
                  </pic:nvPicPr>
                  <pic:blipFill>
                    <a:blip r:embed="rId78"/>
                    <a:stretch>
                      <a:fillRect/>
                    </a:stretch>
                  </pic:blipFill>
                  <pic:spPr>
                    <a:xfrm>
                      <a:off x="0" y="0"/>
                      <a:ext cx="3959860" cy="1967865"/>
                    </a:xfrm>
                    <a:prstGeom prst="rect">
                      <a:avLst/>
                    </a:prstGeom>
                    <a:noFill/>
                    <a:ln>
                      <a:noFill/>
                    </a:ln>
                  </pic:spPr>
                </pic:pic>
              </a:graphicData>
            </a:graphic>
          </wp:inline>
        </w:drawing>
      </w:r>
    </w:p>
    <w:p w14:paraId="55648155"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Results of defense resource allocation for three feeders</w:t>
      </w:r>
    </w:p>
    <w:p w14:paraId="0BC28DF2"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Thus, the proposed method offers significant time advantages in large systems like IEEE 33, but limited gains in smaller feeders. To analyze RTU quantity impact, this section simulates the three feeders under coexisting availability/integrity attacks (</w:t>
      </w:r>
      <w:r w:rsidRPr="00463734">
        <w:rPr>
          <w:rFonts w:eastAsia="宋体" w:cs="Minion Pro" w:hint="eastAsia"/>
          <w:bCs/>
          <w:color w:val="auto"/>
          <w:lang w:eastAsia="zh-CN"/>
        </w:rPr>
        <w:t>Figure S28</w:t>
      </w:r>
      <w:r w:rsidRPr="00463734">
        <w:rPr>
          <w:rFonts w:eastAsia="宋体" w:cs="Minion Pro"/>
          <w:bCs/>
          <w:color w:val="auto"/>
          <w:lang w:eastAsia="zh-CN"/>
        </w:rPr>
        <w:t>).</w:t>
      </w:r>
    </w:p>
    <w:p w14:paraId="41CC3E40"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62022FBE" wp14:editId="08EE7800">
            <wp:extent cx="3959860" cy="2099310"/>
            <wp:effectExtent l="0" t="0" r="2540" b="8890"/>
            <wp:docPr id="2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7"/>
                    <pic:cNvPicPr>
                      <a:picLocks noChangeAspect="1"/>
                    </pic:cNvPicPr>
                  </pic:nvPicPr>
                  <pic:blipFill>
                    <a:blip r:embed="rId79"/>
                    <a:stretch>
                      <a:fillRect/>
                    </a:stretch>
                  </pic:blipFill>
                  <pic:spPr>
                    <a:xfrm>
                      <a:off x="0" y="0"/>
                      <a:ext cx="3959860" cy="2099310"/>
                    </a:xfrm>
                    <a:prstGeom prst="rect">
                      <a:avLst/>
                    </a:prstGeom>
                    <a:noFill/>
                    <a:ln>
                      <a:noFill/>
                    </a:ln>
                  </pic:spPr>
                </pic:pic>
              </a:graphicData>
            </a:graphic>
          </wp:inline>
        </w:drawing>
      </w:r>
    </w:p>
    <w:p w14:paraId="537D0613"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 when the number of safely allocated RTUs on the three feeders is 12, 5 and 8 respectively</w:t>
      </w:r>
    </w:p>
    <w:p w14:paraId="7E5EE529" w14:textId="3C660ECD"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As with the IEEE 33-node system, increasing security-configured RTUs significantly reduces risks across the three feeders, but with diminishing marginal returns. Feeder three exhibits higher overall risk due to its large load and weak transfer capability, while feeder two shows lower risk from its small load and strong transfer capacity. Compared to the IEEE system, all three feeders demonstrate lower risks, attributed to the CPS 62-node system’s lighter load, multi-feeder inter-supply capability, and parallel branch structure limiting fault scope. </w:t>
      </w:r>
      <w:r w:rsidRPr="00463734">
        <w:rPr>
          <w:rFonts w:eastAsia="宋体" w:cs="Minion Pro" w:hint="eastAsia"/>
          <w:bCs/>
          <w:color w:val="auto"/>
          <w:lang w:eastAsia="zh-CN"/>
        </w:rPr>
        <w:t>Figure S28</w:t>
      </w:r>
      <w:r w:rsidRPr="00463734">
        <w:rPr>
          <w:rFonts w:eastAsia="宋体" w:cs="Minion Pro"/>
          <w:bCs/>
          <w:color w:val="auto"/>
          <w:lang w:eastAsia="zh-CN"/>
        </w:rPr>
        <w:t xml:space="preserve"> shows risk curves flattening at RTU counts exceeding 12, 5, and 8 for feeders one, two, and three</w:t>
      </w:r>
      <w:r w:rsidR="00D746B1">
        <w:rPr>
          <w:rFonts w:eastAsia="宋体" w:cs="Minion Pro" w:hint="eastAsia"/>
          <w:bCs/>
          <w:color w:val="auto"/>
          <w:lang w:eastAsia="zh-CN"/>
        </w:rPr>
        <w:t>,</w:t>
      </w:r>
      <w:r w:rsidRPr="00463734">
        <w:rPr>
          <w:rFonts w:eastAsia="宋体" w:cs="Minion Pro"/>
          <w:bCs/>
          <w:color w:val="auto"/>
          <w:lang w:eastAsia="zh-CN"/>
        </w:rPr>
        <w:t xml:space="preserve"> respectively. </w:t>
      </w:r>
      <w:r w:rsidRPr="00463734">
        <w:rPr>
          <w:rFonts w:eastAsia="宋体" w:cs="Minion Pro" w:hint="eastAsia"/>
          <w:bCs/>
          <w:color w:val="auto"/>
          <w:lang w:eastAsia="zh-CN"/>
        </w:rPr>
        <w:t>Figure S29</w:t>
      </w:r>
      <w:r w:rsidRPr="00463734">
        <w:rPr>
          <w:rFonts w:eastAsia="宋体" w:cs="Minion Pro"/>
          <w:bCs/>
          <w:color w:val="auto"/>
          <w:lang w:eastAsia="zh-CN"/>
        </w:rPr>
        <w:t xml:space="preserve"> further analyzes resource allocation at these configuration points.</w:t>
      </w:r>
    </w:p>
    <w:p w14:paraId="198A4311"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lastRenderedPageBreak/>
        <w:t>Defense configurations require RTUs at feeder outlets (e.g., S1, S2, S23, S43) and critical branches (e.g., S13, S29, S48), consistent with IEEE 33-node findings. Risk curve flattening points differ due to load distribution and topology:</w:t>
      </w:r>
      <w:r w:rsidRPr="00463734">
        <w:rPr>
          <w:rFonts w:eastAsia="宋体" w:cs="Minion Pro" w:hint="eastAsia"/>
          <w:bCs/>
          <w:color w:val="auto"/>
          <w:lang w:eastAsia="zh-CN"/>
        </w:rPr>
        <w:t xml:space="preserve"> 1) </w:t>
      </w:r>
      <w:r w:rsidRPr="00463734">
        <w:rPr>
          <w:rFonts w:eastAsia="宋体" w:cs="Minion Pro"/>
          <w:bCs/>
          <w:color w:val="auto"/>
          <w:lang w:eastAsia="zh-CN"/>
        </w:rPr>
        <w:t xml:space="preserve">Feeder 1: Loads concentrate on L9-L12/L14-L16. Upstream switch failures significantly impact risk, and L6-L12’s transfer capability makes switch unavailability critical, necessitating more RTUs. </w:t>
      </w:r>
      <w:r w:rsidRPr="00463734">
        <w:rPr>
          <w:rFonts w:eastAsia="宋体" w:cs="Minion Pro" w:hint="eastAsia"/>
          <w:bCs/>
          <w:color w:val="auto"/>
          <w:lang w:eastAsia="zh-CN"/>
        </w:rPr>
        <w:t>2</w:t>
      </w:r>
      <w:r w:rsidRPr="00463734">
        <w:rPr>
          <w:rFonts w:eastAsia="宋体" w:cs="Minion Pro"/>
          <w:bCs/>
          <w:color w:val="auto"/>
          <w:lang w:eastAsia="zh-CN"/>
        </w:rPr>
        <w:t xml:space="preserve">) Feeder 3: Loads focus on L46-L52 with minimal transferable load; defense prioritizes upstream switches. </w:t>
      </w:r>
      <w:r w:rsidRPr="00463734">
        <w:rPr>
          <w:rFonts w:eastAsia="宋体" w:cs="Minion Pro" w:hint="eastAsia"/>
          <w:bCs/>
          <w:color w:val="auto"/>
          <w:lang w:eastAsia="zh-CN"/>
        </w:rPr>
        <w:t>3</w:t>
      </w:r>
      <w:r w:rsidRPr="00463734">
        <w:rPr>
          <w:rFonts w:eastAsia="宋体" w:cs="Minion Pro"/>
          <w:bCs/>
          <w:color w:val="auto"/>
          <w:lang w:eastAsia="zh-CN"/>
        </w:rPr>
        <w:t xml:space="preserve">) Feeder 2: Balanced load distribution and small transferable area limit effectiveness to outlet-side and high-load branches. </w:t>
      </w:r>
    </w:p>
    <w:p w14:paraId="683BAFAD" w14:textId="77777777" w:rsidR="00055865" w:rsidRPr="00463734" w:rsidRDefault="00000000">
      <w:pPr>
        <w:pStyle w:val="TSP21heading1"/>
        <w:tabs>
          <w:tab w:val="left" w:pos="0"/>
        </w:tabs>
        <w:outlineLvl w:val="9"/>
        <w:rPr>
          <w:rFonts w:cs="Minion Pro"/>
          <w:b w:val="0"/>
          <w:bCs/>
          <w:i/>
          <w:iCs/>
          <w:color w:val="auto"/>
          <w:lang w:eastAsia="zh-CN"/>
        </w:rPr>
      </w:pPr>
      <w:r w:rsidRPr="00463734">
        <w:rPr>
          <w:rFonts w:eastAsiaTheme="minorEastAsia" w:cs="Minion Pro" w:hint="eastAsia"/>
          <w:b w:val="0"/>
          <w:bCs/>
          <w:i/>
          <w:iCs/>
          <w:color w:val="auto"/>
          <w:lang w:eastAsia="zh-CN"/>
        </w:rPr>
        <w:t xml:space="preserve">3.3.2 </w:t>
      </w:r>
      <w:r w:rsidRPr="00463734">
        <w:rPr>
          <w:rFonts w:cs="Minion Pro"/>
          <w:b w:val="0"/>
          <w:bCs/>
          <w:i/>
          <w:iCs/>
          <w:color w:val="auto"/>
          <w:lang w:eastAsia="zh-CN"/>
        </w:rPr>
        <w:t>Optimizing Security Defense Resources via Dynamic Offense-Defense Games</w:t>
      </w:r>
    </w:p>
    <w:p w14:paraId="54CF6B25"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IEEE 33-node System</w:t>
      </w:r>
    </w:p>
    <w:p w14:paraId="344E487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The IEEE 33-node system is shown in </w:t>
      </w:r>
      <w:r w:rsidRPr="00463734">
        <w:rPr>
          <w:rFonts w:eastAsia="宋体" w:cs="Minion Pro" w:hint="eastAsia"/>
          <w:bCs/>
          <w:color w:val="auto"/>
          <w:lang w:eastAsia="zh-CN"/>
        </w:rPr>
        <w:t>Figure S18</w:t>
      </w:r>
      <w:r w:rsidRPr="00463734">
        <w:rPr>
          <w:rFonts w:eastAsia="宋体" w:cs="Minion Pro"/>
          <w:bCs/>
          <w:color w:val="auto"/>
          <w:lang w:eastAsia="zh-CN"/>
        </w:rPr>
        <w:t>. The feeder failure rate is 0.05 times/(km·a), and the average fault repair time and feeder automation action time are set to 4 hours and 5 minutes, respectively. The resource input coefficients for availability and integrity attacks are both 10, and the attack success rates are 6% and 0.06‰, respectively. The number of RTUs that the defender can configure is 5, and the attack resources possessed by the attacker are 200.</w:t>
      </w:r>
    </w:p>
    <w:p w14:paraId="3A3F4896"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(1) Optimization of Defense Resources under Different Information Attacks</w:t>
      </w:r>
    </w:p>
    <w:p w14:paraId="28D07B49"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To analyze the impact of attack types on the defense resource configuration, this section conducts simulations for the following four cases:</w:t>
      </w:r>
    </w:p>
    <w:p w14:paraId="61165C5C"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w:t>
      </w:r>
      <w:r w:rsidRPr="00463734">
        <w:rPr>
          <w:rFonts w:eastAsia="宋体" w:cs="Minion Pro"/>
          <w:bCs/>
          <w:color w:val="auto"/>
          <w:lang w:eastAsia="zh-CN"/>
        </w:rPr>
        <w:t xml:space="preserve"> Case 1: Only considering the deliberate attack by the attacker, the defender does not perform RTU security configuration.</w:t>
      </w:r>
    </w:p>
    <w:p w14:paraId="31E22225"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w:t>
      </w:r>
      <w:r w:rsidRPr="00463734">
        <w:rPr>
          <w:rFonts w:eastAsia="宋体" w:cs="Minion Pro"/>
          <w:bCs/>
          <w:color w:val="auto"/>
          <w:lang w:eastAsia="zh-CN"/>
        </w:rPr>
        <w:t xml:space="preserve"> Case 2: Considering both attack and defense, after configuration, the RTU can protect against integrity attacks.</w:t>
      </w:r>
    </w:p>
    <w:p w14:paraId="4B44AE6C"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w:t>
      </w:r>
      <w:r w:rsidRPr="00463734">
        <w:rPr>
          <w:rFonts w:eastAsia="宋体" w:cs="Minion Pro"/>
          <w:bCs/>
          <w:color w:val="auto"/>
          <w:lang w:eastAsia="zh-CN"/>
        </w:rPr>
        <w:t xml:space="preserve"> Case 3: Considering both attack and defense, after configuration, the RTU can protect against availability attacks.</w:t>
      </w:r>
    </w:p>
    <w:p w14:paraId="24E43BEE"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w:t>
      </w:r>
      <w:r w:rsidRPr="00463734">
        <w:rPr>
          <w:rFonts w:eastAsia="宋体" w:cs="Minion Pro"/>
          <w:bCs/>
          <w:color w:val="auto"/>
          <w:lang w:eastAsia="zh-CN"/>
        </w:rPr>
        <w:t xml:space="preserve"> Case 4: Considering both attack and defense, after configuration, the RTU can protect against both types of attacks simultaneously.</w:t>
      </w:r>
    </w:p>
    <w:p w14:paraId="08584982" w14:textId="77777777" w:rsidR="00055865" w:rsidRPr="00463734" w:rsidRDefault="00000000">
      <w:pPr>
        <w:pStyle w:val="TSP31text"/>
        <w:rPr>
          <w:rFonts w:eastAsia="宋体"/>
        </w:rPr>
      </w:pPr>
      <w:r w:rsidRPr="00463734">
        <w:rPr>
          <w:rFonts w:eastAsia="宋体" w:hint="eastAsia"/>
        </w:rPr>
        <w:t>T</w:t>
      </w:r>
      <w:r w:rsidRPr="00463734">
        <w:rPr>
          <w:rFonts w:eastAsia="宋体"/>
        </w:rPr>
        <w:t xml:space="preserve">he simulation results are shown in </w:t>
      </w:r>
      <w:r w:rsidRPr="00463734">
        <w:rPr>
          <w:rFonts w:eastAsia="宋体" w:hint="eastAsia"/>
        </w:rPr>
        <w:t>Table S13</w:t>
      </w:r>
      <w:r w:rsidRPr="00463734">
        <w:rPr>
          <w:rFonts w:eastAsia="宋体"/>
        </w:rPr>
        <w:t xml:space="preserve">. The defense configuration distributions for Cases 2, 3, and 4 are presented in Figures </w:t>
      </w:r>
      <w:r w:rsidRPr="00463734">
        <w:rPr>
          <w:rFonts w:eastAsia="宋体" w:hint="eastAsia"/>
        </w:rPr>
        <w:t>S30</w:t>
      </w:r>
      <w:r w:rsidRPr="00463734">
        <w:rPr>
          <w:rFonts w:eastAsia="宋体"/>
        </w:rPr>
        <w:t xml:space="preserve">, </w:t>
      </w:r>
      <w:r w:rsidRPr="00463734">
        <w:rPr>
          <w:rFonts w:eastAsia="宋体" w:hint="eastAsia"/>
        </w:rPr>
        <w:t>S31</w:t>
      </w:r>
      <w:r w:rsidRPr="00463734">
        <w:rPr>
          <w:rFonts w:eastAsia="宋体"/>
        </w:rPr>
        <w:t xml:space="preserve">, and </w:t>
      </w:r>
      <w:r w:rsidRPr="00463734">
        <w:rPr>
          <w:rFonts w:eastAsia="宋体" w:hint="eastAsia"/>
        </w:rPr>
        <w:t>S32</w:t>
      </w:r>
      <w:r w:rsidRPr="00463734">
        <w:rPr>
          <w:rFonts w:eastAsia="宋体"/>
        </w:rPr>
        <w:t>, respectively.</w:t>
      </w:r>
    </w:p>
    <w:p w14:paraId="62DBD301"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Risk results in cases 1–4</w:t>
      </w:r>
    </w:p>
    <w:tbl>
      <w:tblPr>
        <w:tblStyle w:val="TableGrid"/>
        <w:tblW w:w="0" w:type="auto"/>
        <w:tblLook w:val="04A0" w:firstRow="1" w:lastRow="0" w:firstColumn="1" w:lastColumn="0" w:noHBand="0" w:noVBand="1"/>
      </w:tblPr>
      <w:tblGrid>
        <w:gridCol w:w="2840"/>
        <w:gridCol w:w="2841"/>
        <w:gridCol w:w="2841"/>
      </w:tblGrid>
      <w:tr w:rsidR="00055865" w:rsidRPr="00463734" w14:paraId="741F5385" w14:textId="77777777">
        <w:trPr>
          <w:trHeight w:val="279"/>
        </w:trPr>
        <w:tc>
          <w:tcPr>
            <w:tcW w:w="2840" w:type="dxa"/>
            <w:vAlign w:val="center"/>
          </w:tcPr>
          <w:p w14:paraId="263ABA6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Case</w:t>
            </w:r>
          </w:p>
        </w:tc>
        <w:tc>
          <w:tcPr>
            <w:tcW w:w="2841" w:type="dxa"/>
            <w:vAlign w:val="center"/>
          </w:tcPr>
          <w:p w14:paraId="360D2675"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Risk (MWh)</w:t>
            </w:r>
          </w:p>
        </w:tc>
        <w:tc>
          <w:tcPr>
            <w:tcW w:w="2841" w:type="dxa"/>
            <w:vAlign w:val="center"/>
          </w:tcPr>
          <w:p w14:paraId="31891CB7"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sz w:val="15"/>
                <w:szCs w:val="15"/>
              </w:rPr>
              <w:t>Percentage Reduction of Risk (%)</w:t>
            </w:r>
          </w:p>
        </w:tc>
      </w:tr>
      <w:tr w:rsidR="00055865" w:rsidRPr="00463734" w14:paraId="024F26C0" w14:textId="77777777">
        <w:tc>
          <w:tcPr>
            <w:tcW w:w="2840" w:type="dxa"/>
            <w:vAlign w:val="center"/>
          </w:tcPr>
          <w:p w14:paraId="70D41A9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w:t>
            </w:r>
          </w:p>
        </w:tc>
        <w:tc>
          <w:tcPr>
            <w:tcW w:w="2841" w:type="dxa"/>
            <w:vAlign w:val="center"/>
          </w:tcPr>
          <w:p w14:paraId="140DD84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13.9653</w:t>
            </w:r>
          </w:p>
        </w:tc>
        <w:tc>
          <w:tcPr>
            <w:tcW w:w="2841" w:type="dxa"/>
            <w:vAlign w:val="center"/>
          </w:tcPr>
          <w:p w14:paraId="722EA3C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r>
      <w:tr w:rsidR="00055865" w:rsidRPr="00463734" w14:paraId="5B2A06D9" w14:textId="77777777">
        <w:tc>
          <w:tcPr>
            <w:tcW w:w="2840" w:type="dxa"/>
            <w:vAlign w:val="center"/>
          </w:tcPr>
          <w:p w14:paraId="318E529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w:t>
            </w:r>
          </w:p>
        </w:tc>
        <w:tc>
          <w:tcPr>
            <w:tcW w:w="2841" w:type="dxa"/>
            <w:vAlign w:val="center"/>
          </w:tcPr>
          <w:p w14:paraId="3C043A1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11.9713</w:t>
            </w:r>
          </w:p>
        </w:tc>
        <w:tc>
          <w:tcPr>
            <w:tcW w:w="2841" w:type="dxa"/>
            <w:vAlign w:val="center"/>
          </w:tcPr>
          <w:p w14:paraId="093541C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14.28</w:t>
            </w:r>
          </w:p>
        </w:tc>
      </w:tr>
      <w:tr w:rsidR="00055865" w:rsidRPr="00463734" w14:paraId="1D8AB3A0" w14:textId="77777777">
        <w:tc>
          <w:tcPr>
            <w:tcW w:w="2840" w:type="dxa"/>
            <w:vAlign w:val="center"/>
          </w:tcPr>
          <w:p w14:paraId="7655A79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3</w:t>
            </w:r>
          </w:p>
        </w:tc>
        <w:tc>
          <w:tcPr>
            <w:tcW w:w="2841" w:type="dxa"/>
            <w:vAlign w:val="center"/>
          </w:tcPr>
          <w:p w14:paraId="4F0A65B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12.8803</w:t>
            </w:r>
          </w:p>
        </w:tc>
        <w:tc>
          <w:tcPr>
            <w:tcW w:w="2841" w:type="dxa"/>
            <w:vAlign w:val="center"/>
          </w:tcPr>
          <w:p w14:paraId="5CED7AB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7.77</w:t>
            </w:r>
          </w:p>
        </w:tc>
      </w:tr>
      <w:tr w:rsidR="00055865" w:rsidRPr="00463734" w14:paraId="62C54D8E" w14:textId="77777777">
        <w:tc>
          <w:tcPr>
            <w:tcW w:w="2840" w:type="dxa"/>
            <w:vAlign w:val="center"/>
          </w:tcPr>
          <w:p w14:paraId="6D19CA7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4</w:t>
            </w:r>
          </w:p>
        </w:tc>
        <w:tc>
          <w:tcPr>
            <w:tcW w:w="2841" w:type="dxa"/>
            <w:vAlign w:val="center"/>
          </w:tcPr>
          <w:p w14:paraId="1179A3DB"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11.3929</w:t>
            </w:r>
          </w:p>
        </w:tc>
        <w:tc>
          <w:tcPr>
            <w:tcW w:w="2841" w:type="dxa"/>
            <w:vAlign w:val="center"/>
          </w:tcPr>
          <w:p w14:paraId="028FD40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18.42</w:t>
            </w:r>
          </w:p>
        </w:tc>
      </w:tr>
    </w:tbl>
    <w:p w14:paraId="34B247AA" w14:textId="77777777" w:rsidR="00055865" w:rsidRPr="00463734" w:rsidRDefault="00000000">
      <w:pPr>
        <w:pStyle w:val="TSP31text"/>
        <w:spacing w:before="240"/>
        <w:rPr>
          <w:rFonts w:eastAsia="宋体" w:cs="Minion Pro"/>
          <w:bCs/>
          <w:color w:val="auto"/>
          <w:lang w:eastAsia="zh-CN"/>
        </w:rPr>
      </w:pPr>
      <w:r w:rsidRPr="00463734">
        <w:rPr>
          <w:rFonts w:eastAsia="宋体" w:cs="Minion Pro" w:hint="eastAsia"/>
          <w:bCs/>
          <w:color w:val="auto"/>
          <w:lang w:eastAsia="zh-CN"/>
        </w:rPr>
        <w:t>Table S13</w:t>
      </w:r>
      <w:r w:rsidRPr="00463734">
        <w:rPr>
          <w:rFonts w:eastAsia="宋体" w:cs="Minion Pro"/>
          <w:bCs/>
          <w:color w:val="auto"/>
          <w:lang w:eastAsia="zh-CN"/>
        </w:rPr>
        <w:t xml:space="preserve"> shows Cases 2, 3, and 4 reduce risks by 14.28%, 7.77%, and 18.42% versus Case 1, confirming critical RTU security mitigates system risks. Case 3’s lower reduction than Case 2 stems from integrity attacks directly disrupting normal operations (vs. availability attacks expanding fault outages). Since normal-state probability dominates, integrity attack prevention yields greater risk reduction. Case 4’s highest reduction proves dual-attack protection outperforms single-type defense.</w:t>
      </w:r>
    </w:p>
    <w:p w14:paraId="36741F6C" w14:textId="77777777" w:rsidR="00055865" w:rsidRPr="00463734" w:rsidRDefault="00000000">
      <w:pPr>
        <w:jc w:val="center"/>
        <w:rPr>
          <w:rFonts w:ascii="Minion Pro" w:hAnsi="Minion Pro" w:cs="Minion Pro"/>
        </w:rPr>
      </w:pPr>
      <w:r w:rsidRPr="00463734">
        <w:rPr>
          <w:rFonts w:ascii="Minion Pro" w:hAnsi="Minion Pro" w:cs="Minion Pro"/>
          <w:noProof/>
        </w:rPr>
        <w:lastRenderedPageBreak/>
        <w:drawing>
          <wp:inline distT="0" distB="0" distL="114300" distR="114300" wp14:anchorId="3F7E41A9" wp14:editId="69A9C9EE">
            <wp:extent cx="3959860" cy="1361440"/>
            <wp:effectExtent l="0" t="0" r="2540" b="10160"/>
            <wp:docPr id="2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6"/>
                    <pic:cNvPicPr>
                      <a:picLocks noChangeAspect="1"/>
                    </pic:cNvPicPr>
                  </pic:nvPicPr>
                  <pic:blipFill>
                    <a:blip r:embed="rId80"/>
                    <a:stretch>
                      <a:fillRect/>
                    </a:stretch>
                  </pic:blipFill>
                  <pic:spPr>
                    <a:xfrm>
                      <a:off x="0" y="0"/>
                      <a:ext cx="3959860" cy="1361440"/>
                    </a:xfrm>
                    <a:prstGeom prst="rect">
                      <a:avLst/>
                    </a:prstGeom>
                    <a:noFill/>
                    <a:ln>
                      <a:noFill/>
                    </a:ln>
                  </pic:spPr>
                </pic:pic>
              </a:graphicData>
            </a:graphic>
          </wp:inline>
        </w:drawing>
      </w:r>
    </w:p>
    <w:p w14:paraId="1FE643D5"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results of defense resources in Case 2</w:t>
      </w:r>
    </w:p>
    <w:p w14:paraId="5FC514CC"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31B4B1FD" wp14:editId="7C1CFA6B">
            <wp:extent cx="3959860" cy="1471295"/>
            <wp:effectExtent l="0" t="0" r="2540" b="1905"/>
            <wp:docPr id="2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5"/>
                    <pic:cNvPicPr>
                      <a:picLocks noChangeAspect="1"/>
                    </pic:cNvPicPr>
                  </pic:nvPicPr>
                  <pic:blipFill>
                    <a:blip r:embed="rId81"/>
                    <a:stretch>
                      <a:fillRect/>
                    </a:stretch>
                  </pic:blipFill>
                  <pic:spPr>
                    <a:xfrm>
                      <a:off x="0" y="0"/>
                      <a:ext cx="3959860" cy="1471295"/>
                    </a:xfrm>
                    <a:prstGeom prst="rect">
                      <a:avLst/>
                    </a:prstGeom>
                    <a:noFill/>
                    <a:ln>
                      <a:noFill/>
                    </a:ln>
                  </pic:spPr>
                </pic:pic>
              </a:graphicData>
            </a:graphic>
          </wp:inline>
        </w:drawing>
      </w:r>
    </w:p>
    <w:p w14:paraId="26BBCED2"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results of defense resources in Case 3</w:t>
      </w:r>
    </w:p>
    <w:p w14:paraId="0DFA19AC"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7EBFCDF5" wp14:editId="1F4D3035">
            <wp:extent cx="3959860" cy="1626235"/>
            <wp:effectExtent l="0" t="0" r="2540" b="12065"/>
            <wp:docPr id="2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4"/>
                    <pic:cNvPicPr>
                      <a:picLocks noChangeAspect="1"/>
                    </pic:cNvPicPr>
                  </pic:nvPicPr>
                  <pic:blipFill>
                    <a:blip r:embed="rId82"/>
                    <a:stretch>
                      <a:fillRect/>
                    </a:stretch>
                  </pic:blipFill>
                  <pic:spPr>
                    <a:xfrm>
                      <a:off x="0" y="0"/>
                      <a:ext cx="3959860" cy="1626235"/>
                    </a:xfrm>
                    <a:prstGeom prst="rect">
                      <a:avLst/>
                    </a:prstGeom>
                    <a:noFill/>
                    <a:ln>
                      <a:noFill/>
                    </a:ln>
                  </pic:spPr>
                </pic:pic>
              </a:graphicData>
            </a:graphic>
          </wp:inline>
        </w:drawing>
      </w:r>
    </w:p>
    <w:p w14:paraId="4EB7849F"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results of defense resources in Case 4</w:t>
      </w:r>
    </w:p>
    <w:p w14:paraId="716796E2"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Figures </w:t>
      </w:r>
      <w:r w:rsidRPr="00463734">
        <w:rPr>
          <w:rFonts w:eastAsia="宋体" w:cs="Minion Pro" w:hint="eastAsia"/>
          <w:bCs/>
          <w:color w:val="auto"/>
          <w:lang w:eastAsia="zh-CN"/>
        </w:rPr>
        <w:t>S30-S32</w:t>
      </w:r>
      <w:r w:rsidRPr="00463734">
        <w:rPr>
          <w:rFonts w:eastAsia="宋体" w:cs="Minion Pro"/>
          <w:bCs/>
          <w:color w:val="auto"/>
          <w:lang w:eastAsia="zh-CN"/>
        </w:rPr>
        <w:t xml:space="preserve"> reveal defense strategies: Case 2 prioritizes outlet-side RTUs (e.g., S1-S4) to prevent upstream switch misoperation causing system-wide outages. Case 3 focuses on branch RTUs (e.g., S18) to contain fault propagation. Case 4 combines both, favoring outlet-side RTUs due to integrity attacks’ severity and S18’s critical role in limiting L19 fault cascades.</w:t>
      </w:r>
    </w:p>
    <w:p w14:paraId="2E14551D" w14:textId="77777777" w:rsidR="00055865" w:rsidRPr="00463734" w:rsidRDefault="00000000">
      <w:pPr>
        <w:pStyle w:val="TSP31text"/>
        <w:rPr>
          <w:rFonts w:eastAsia="宋体" w:cs="Minion Pro"/>
          <w:bCs/>
          <w:color w:val="auto"/>
          <w:lang w:eastAsia="zh-CN"/>
        </w:rPr>
      </w:pPr>
      <w:r w:rsidRPr="00463734">
        <w:rPr>
          <w:rFonts w:eastAsia="宋体" w:cs="Minion Pro" w:hint="eastAsia"/>
          <w:bCs/>
          <w:color w:val="auto"/>
          <w:lang w:eastAsia="zh-CN"/>
        </w:rPr>
        <w:t>Table S14</w:t>
      </w:r>
      <w:r w:rsidRPr="00463734">
        <w:rPr>
          <w:rFonts w:eastAsia="宋体" w:cs="Minion Pro"/>
          <w:bCs/>
          <w:color w:val="auto"/>
          <w:lang w:eastAsia="zh-CN"/>
        </w:rPr>
        <w:t xml:space="preserve"> compares targeted vs. random attacks under 5-RTU defense. Though attackers use fewer resources (200 vs. 320 for random attacks), targeted attacks cause higher risks across all methods by concentrating on critical components. However, defenders achieve better risk mitigation against targeted attacks by optimizing for severe threats, leveraging offensive-defensive game dynamics.</w:t>
      </w:r>
    </w:p>
    <w:p w14:paraId="5D11FA7F" w14:textId="77777777" w:rsidR="00055865" w:rsidRPr="00463734" w:rsidRDefault="00000000">
      <w:pPr>
        <w:numPr>
          <w:ilvl w:val="0"/>
          <w:numId w:val="6"/>
        </w:numPr>
        <w:adjustRightInd w:val="0"/>
        <w:snapToGrid w:val="0"/>
        <w:spacing w:after="60" w:line="240" w:lineRule="atLeast"/>
        <w:jc w:val="center"/>
        <w:rPr>
          <w:rFonts w:ascii="Minion Pro" w:eastAsia="Times New Roman" w:hAnsi="Minion Pro" w:cs="Minion Pro"/>
          <w:snapToGrid w:val="0"/>
          <w:szCs w:val="21"/>
          <w:lang w:bidi="en-US"/>
        </w:rPr>
      </w:pPr>
      <w:r w:rsidRPr="00463734">
        <w:rPr>
          <w:rFonts w:ascii="Minion Pro" w:eastAsia="Times New Roman" w:hAnsi="Minion Pro" w:cs="Minion Pro"/>
          <w:snapToGrid w:val="0"/>
          <w:szCs w:val="21"/>
          <w:lang w:bidi="en-US"/>
        </w:rPr>
        <w:t>Risk results in cases 1–4</w:t>
      </w:r>
    </w:p>
    <w:tbl>
      <w:tblPr>
        <w:tblStyle w:val="TableGrid"/>
        <w:tblW w:w="0" w:type="auto"/>
        <w:tblLook w:val="04A0" w:firstRow="1" w:lastRow="0" w:firstColumn="1" w:lastColumn="0" w:noHBand="0" w:noVBand="1"/>
      </w:tblPr>
      <w:tblGrid>
        <w:gridCol w:w="1704"/>
        <w:gridCol w:w="1704"/>
        <w:gridCol w:w="1704"/>
        <w:gridCol w:w="1705"/>
        <w:gridCol w:w="1705"/>
      </w:tblGrid>
      <w:tr w:rsidR="00055865" w:rsidRPr="00463734" w14:paraId="654A7190" w14:textId="77777777">
        <w:tc>
          <w:tcPr>
            <w:tcW w:w="1704" w:type="dxa"/>
            <w:vMerge w:val="restart"/>
            <w:vAlign w:val="center"/>
          </w:tcPr>
          <w:p w14:paraId="15C3C67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Protection method</w:t>
            </w:r>
          </w:p>
        </w:tc>
        <w:tc>
          <w:tcPr>
            <w:tcW w:w="3408" w:type="dxa"/>
            <w:gridSpan w:val="2"/>
            <w:vAlign w:val="center"/>
          </w:tcPr>
          <w:p w14:paraId="12A24F8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Random attack scenario</w:t>
            </w:r>
          </w:p>
        </w:tc>
        <w:tc>
          <w:tcPr>
            <w:tcW w:w="3410" w:type="dxa"/>
            <w:gridSpan w:val="2"/>
            <w:vAlign w:val="center"/>
          </w:tcPr>
          <w:p w14:paraId="77D29927"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For the attack scenario</w:t>
            </w:r>
          </w:p>
        </w:tc>
      </w:tr>
      <w:tr w:rsidR="00055865" w:rsidRPr="00463734" w14:paraId="4AD8D28F" w14:textId="77777777">
        <w:tc>
          <w:tcPr>
            <w:tcW w:w="1704" w:type="dxa"/>
            <w:vMerge/>
            <w:vAlign w:val="center"/>
          </w:tcPr>
          <w:p w14:paraId="73F3A003" w14:textId="77777777" w:rsidR="00055865" w:rsidRPr="00463734" w:rsidRDefault="00055865">
            <w:pPr>
              <w:jc w:val="center"/>
              <w:rPr>
                <w:rFonts w:ascii="Minion Pro" w:hAnsi="Minion Pro" w:cs="Minion Pro"/>
                <w:sz w:val="15"/>
                <w:szCs w:val="15"/>
              </w:rPr>
            </w:pPr>
          </w:p>
        </w:tc>
        <w:tc>
          <w:tcPr>
            <w:tcW w:w="1704" w:type="dxa"/>
            <w:vAlign w:val="center"/>
          </w:tcPr>
          <w:p w14:paraId="644E9936"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Risk (MWh)</w:t>
            </w:r>
          </w:p>
        </w:tc>
        <w:tc>
          <w:tcPr>
            <w:tcW w:w="1704" w:type="dxa"/>
            <w:vAlign w:val="center"/>
          </w:tcPr>
          <w:p w14:paraId="36588BD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Risk reduction percentage (%)</w:t>
            </w:r>
          </w:p>
        </w:tc>
        <w:tc>
          <w:tcPr>
            <w:tcW w:w="1705" w:type="dxa"/>
            <w:vAlign w:val="center"/>
          </w:tcPr>
          <w:p w14:paraId="7DF9FED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Risk (MWh)</w:t>
            </w:r>
          </w:p>
        </w:tc>
        <w:tc>
          <w:tcPr>
            <w:tcW w:w="1705" w:type="dxa"/>
            <w:vAlign w:val="center"/>
          </w:tcPr>
          <w:p w14:paraId="7AB347D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Risk reduction percentage (%)</w:t>
            </w:r>
          </w:p>
        </w:tc>
      </w:tr>
      <w:tr w:rsidR="00055865" w:rsidRPr="00463734" w14:paraId="4C40F918" w14:textId="77777777">
        <w:tc>
          <w:tcPr>
            <w:tcW w:w="1704" w:type="dxa"/>
            <w:vAlign w:val="center"/>
          </w:tcPr>
          <w:p w14:paraId="7B1299B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Without protection</w:t>
            </w:r>
          </w:p>
        </w:tc>
        <w:tc>
          <w:tcPr>
            <w:tcW w:w="1704" w:type="dxa"/>
            <w:vAlign w:val="center"/>
          </w:tcPr>
          <w:p w14:paraId="13A0765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12.0716</w:t>
            </w:r>
          </w:p>
        </w:tc>
        <w:tc>
          <w:tcPr>
            <w:tcW w:w="1704" w:type="dxa"/>
            <w:vAlign w:val="center"/>
          </w:tcPr>
          <w:p w14:paraId="0DE8FEE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c>
          <w:tcPr>
            <w:tcW w:w="1705" w:type="dxa"/>
            <w:vAlign w:val="center"/>
          </w:tcPr>
          <w:p w14:paraId="3E871A0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13.9653</w:t>
            </w:r>
          </w:p>
        </w:tc>
        <w:tc>
          <w:tcPr>
            <w:tcW w:w="1705" w:type="dxa"/>
            <w:vAlign w:val="center"/>
          </w:tcPr>
          <w:p w14:paraId="5FFEC7B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w:t>
            </w:r>
          </w:p>
        </w:tc>
      </w:tr>
      <w:tr w:rsidR="00055865" w:rsidRPr="00463734" w14:paraId="5761DBCB" w14:textId="77777777">
        <w:tc>
          <w:tcPr>
            <w:tcW w:w="1704" w:type="dxa"/>
            <w:vAlign w:val="center"/>
          </w:tcPr>
          <w:p w14:paraId="73A0F557"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Protection integrity attack</w:t>
            </w:r>
          </w:p>
        </w:tc>
        <w:tc>
          <w:tcPr>
            <w:tcW w:w="1704" w:type="dxa"/>
            <w:vAlign w:val="center"/>
          </w:tcPr>
          <w:p w14:paraId="00F112D4"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11.2819</w:t>
            </w:r>
          </w:p>
        </w:tc>
        <w:tc>
          <w:tcPr>
            <w:tcW w:w="1704" w:type="dxa"/>
            <w:vAlign w:val="center"/>
          </w:tcPr>
          <w:p w14:paraId="3B6C0B2F"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6.54</w:t>
            </w:r>
          </w:p>
        </w:tc>
        <w:tc>
          <w:tcPr>
            <w:tcW w:w="1705" w:type="dxa"/>
            <w:vAlign w:val="center"/>
          </w:tcPr>
          <w:p w14:paraId="3AF5DE7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11.9713</w:t>
            </w:r>
          </w:p>
        </w:tc>
        <w:tc>
          <w:tcPr>
            <w:tcW w:w="1705" w:type="dxa"/>
            <w:vAlign w:val="center"/>
          </w:tcPr>
          <w:p w14:paraId="05638E97"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14.28</w:t>
            </w:r>
          </w:p>
        </w:tc>
      </w:tr>
      <w:tr w:rsidR="00055865" w:rsidRPr="00463734" w14:paraId="77375C94" w14:textId="77777777">
        <w:tc>
          <w:tcPr>
            <w:tcW w:w="1704" w:type="dxa"/>
            <w:vAlign w:val="center"/>
          </w:tcPr>
          <w:p w14:paraId="6039E9A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lastRenderedPageBreak/>
              <w:t>Protection availability attack</w:t>
            </w:r>
          </w:p>
        </w:tc>
        <w:tc>
          <w:tcPr>
            <w:tcW w:w="1704" w:type="dxa"/>
            <w:vAlign w:val="center"/>
          </w:tcPr>
          <w:p w14:paraId="28C50BD3"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11.7449</w:t>
            </w:r>
          </w:p>
        </w:tc>
        <w:tc>
          <w:tcPr>
            <w:tcW w:w="1704" w:type="dxa"/>
            <w:vAlign w:val="center"/>
          </w:tcPr>
          <w:p w14:paraId="2A636FED"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2.71</w:t>
            </w:r>
          </w:p>
        </w:tc>
        <w:tc>
          <w:tcPr>
            <w:tcW w:w="1705" w:type="dxa"/>
            <w:vAlign w:val="center"/>
          </w:tcPr>
          <w:p w14:paraId="43C99B8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12.8803</w:t>
            </w:r>
          </w:p>
        </w:tc>
        <w:tc>
          <w:tcPr>
            <w:tcW w:w="1705" w:type="dxa"/>
            <w:vAlign w:val="center"/>
          </w:tcPr>
          <w:p w14:paraId="285F9DD9"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7.77</w:t>
            </w:r>
          </w:p>
        </w:tc>
      </w:tr>
      <w:tr w:rsidR="00055865" w:rsidRPr="00463734" w14:paraId="26167FEC" w14:textId="77777777">
        <w:tc>
          <w:tcPr>
            <w:tcW w:w="1704" w:type="dxa"/>
            <w:vAlign w:val="center"/>
          </w:tcPr>
          <w:p w14:paraId="21E7964C"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Protection availability and integrity attack</w:t>
            </w:r>
          </w:p>
        </w:tc>
        <w:tc>
          <w:tcPr>
            <w:tcW w:w="1704" w:type="dxa"/>
            <w:vAlign w:val="center"/>
          </w:tcPr>
          <w:p w14:paraId="4C7DB741"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11.0358</w:t>
            </w:r>
          </w:p>
        </w:tc>
        <w:tc>
          <w:tcPr>
            <w:tcW w:w="1704" w:type="dxa"/>
            <w:vAlign w:val="center"/>
          </w:tcPr>
          <w:p w14:paraId="0DEC03B2"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8.58</w:t>
            </w:r>
          </w:p>
        </w:tc>
        <w:tc>
          <w:tcPr>
            <w:tcW w:w="1705" w:type="dxa"/>
            <w:vAlign w:val="center"/>
          </w:tcPr>
          <w:p w14:paraId="3256774A"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11.3929</w:t>
            </w:r>
          </w:p>
        </w:tc>
        <w:tc>
          <w:tcPr>
            <w:tcW w:w="1705" w:type="dxa"/>
            <w:vAlign w:val="center"/>
          </w:tcPr>
          <w:p w14:paraId="3A2B317E" w14:textId="77777777" w:rsidR="00055865" w:rsidRPr="00463734" w:rsidRDefault="00000000">
            <w:pPr>
              <w:widowControl/>
              <w:jc w:val="center"/>
              <w:textAlignment w:val="center"/>
              <w:rPr>
                <w:rFonts w:ascii="Minion Pro" w:hAnsi="Minion Pro" w:cs="Minion Pro"/>
                <w:sz w:val="15"/>
                <w:szCs w:val="15"/>
              </w:rPr>
            </w:pPr>
            <w:r w:rsidRPr="00463734">
              <w:rPr>
                <w:rFonts w:ascii="Minion Pro" w:hAnsi="Minion Pro" w:cs="Minion Pro"/>
                <w:kern w:val="0"/>
                <w:sz w:val="15"/>
                <w:szCs w:val="15"/>
                <w:lang w:bidi="ar"/>
              </w:rPr>
              <w:t>18.42</w:t>
            </w:r>
          </w:p>
        </w:tc>
      </w:tr>
    </w:tbl>
    <w:p w14:paraId="48364FB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It is worth noting that the configuration distribution of RTU varies in different attack scenarios. Taking the protection against both types of attacks as an example, the configuration results in the random attack scenario are shown in </w:t>
      </w:r>
      <w:r w:rsidRPr="00463734">
        <w:rPr>
          <w:rFonts w:eastAsia="宋体" w:cs="Minion Pro" w:hint="eastAsia"/>
          <w:bCs/>
          <w:color w:val="auto"/>
          <w:lang w:eastAsia="zh-CN"/>
        </w:rPr>
        <w:t>Figure S33</w:t>
      </w:r>
      <w:r w:rsidRPr="00463734">
        <w:rPr>
          <w:rFonts w:eastAsia="宋体" w:cs="Minion Pro"/>
          <w:bCs/>
          <w:color w:val="auto"/>
          <w:lang w:eastAsia="zh-CN"/>
        </w:rPr>
        <w:t>.</w:t>
      </w:r>
    </w:p>
    <w:p w14:paraId="669CBDD3"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6F3F3300" wp14:editId="6694675B">
            <wp:extent cx="3959860" cy="1362710"/>
            <wp:effectExtent l="0" t="0" r="2540" b="8890"/>
            <wp:docPr id="8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03"/>
                    <pic:cNvPicPr>
                      <a:picLocks noChangeAspect="1"/>
                    </pic:cNvPicPr>
                  </pic:nvPicPr>
                  <pic:blipFill>
                    <a:blip r:embed="rId83"/>
                    <a:stretch>
                      <a:fillRect/>
                    </a:stretch>
                  </pic:blipFill>
                  <pic:spPr>
                    <a:xfrm>
                      <a:off x="0" y="0"/>
                      <a:ext cx="3959860" cy="1362710"/>
                    </a:xfrm>
                    <a:prstGeom prst="rect">
                      <a:avLst/>
                    </a:prstGeom>
                    <a:noFill/>
                    <a:ln>
                      <a:noFill/>
                    </a:ln>
                  </pic:spPr>
                </pic:pic>
              </a:graphicData>
            </a:graphic>
          </wp:inline>
        </w:drawing>
      </w:r>
    </w:p>
    <w:p w14:paraId="262B3726"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results when the number of securely allocated RTUs is 5 under random attack</w:t>
      </w:r>
    </w:p>
    <w:p w14:paraId="62EF6B11" w14:textId="271EF2A8"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In both scenarios, defense configurations prioritize RTUs at exits and branches, showing overlap but differing due to attack methods. Figure </w:t>
      </w:r>
      <w:r w:rsidRPr="00463734">
        <w:rPr>
          <w:rFonts w:eastAsia="宋体" w:cs="Minion Pro" w:hint="eastAsia"/>
          <w:bCs/>
          <w:color w:val="auto"/>
          <w:lang w:eastAsia="zh-CN"/>
        </w:rPr>
        <w:t>S32</w:t>
      </w:r>
      <w:r w:rsidRPr="00463734">
        <w:rPr>
          <w:rFonts w:eastAsia="宋体" w:cs="Minion Pro"/>
          <w:bCs/>
          <w:color w:val="auto"/>
          <w:lang w:eastAsia="zh-CN"/>
        </w:rPr>
        <w:t xml:space="preserve"> (random scenario) configures S22, while </w:t>
      </w:r>
      <w:r w:rsidRPr="00463734">
        <w:rPr>
          <w:rFonts w:eastAsia="宋体" w:cs="Minion Pro" w:hint="eastAsia"/>
          <w:bCs/>
          <w:color w:val="auto"/>
          <w:lang w:eastAsia="zh-CN"/>
        </w:rPr>
        <w:t>Figure S33</w:t>
      </w:r>
      <w:r w:rsidRPr="00463734">
        <w:rPr>
          <w:rFonts w:eastAsia="宋体" w:cs="Minion Pro"/>
          <w:bCs/>
          <w:color w:val="auto"/>
          <w:lang w:eastAsia="zh-CN"/>
        </w:rPr>
        <w:t xml:space="preserve"> (targeted scenario) configures S5. Attackers concentrate resources on S5 to maximize false activation and downstream outage risks, prompting defenders to prioritize it. In random attacks, where all switches have equal failure probabilities, S22 provides broader protection by reducing outages and preventing fault spread, making it more critical than S5.</w:t>
      </w:r>
    </w:p>
    <w:p w14:paraId="15EB6935"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(2) The impact of the number of security-configured RTUs on system risk</w:t>
      </w:r>
    </w:p>
    <w:p w14:paraId="032FDDAA"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section simulates system risk under varying RTU quantities using the proposed method, generating optimized risk curves. For validation, random configuration serves as control: 100 random scenarios per quantity are averaged under deliberate attacks (</w:t>
      </w:r>
      <w:r w:rsidRPr="00463734">
        <w:rPr>
          <w:rFonts w:eastAsia="宋体" w:cs="Minion Pro" w:hint="eastAsia"/>
          <w:bCs/>
          <w:color w:val="auto"/>
          <w:lang w:eastAsia="zh-CN"/>
        </w:rPr>
        <w:t>Figure S34</w:t>
      </w:r>
      <w:r w:rsidRPr="00463734">
        <w:rPr>
          <w:rFonts w:eastAsia="宋体" w:cs="Minion Pro"/>
          <w:bCs/>
          <w:color w:val="auto"/>
          <w:lang w:eastAsia="zh-CN"/>
        </w:rPr>
        <w:t>).</w:t>
      </w:r>
    </w:p>
    <w:p w14:paraId="5E577A34"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664DFEAC" wp14:editId="59300CE9">
            <wp:extent cx="3959860" cy="2005330"/>
            <wp:effectExtent l="0" t="0" r="2540" b="1270"/>
            <wp:docPr id="8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2"/>
                    <pic:cNvPicPr>
                      <a:picLocks noChangeAspect="1"/>
                    </pic:cNvPicPr>
                  </pic:nvPicPr>
                  <pic:blipFill>
                    <a:blip r:embed="rId84"/>
                    <a:stretch>
                      <a:fillRect/>
                    </a:stretch>
                  </pic:blipFill>
                  <pic:spPr>
                    <a:xfrm>
                      <a:off x="0" y="0"/>
                      <a:ext cx="3959860" cy="2005330"/>
                    </a:xfrm>
                    <a:prstGeom prst="rect">
                      <a:avLst/>
                    </a:prstGeom>
                    <a:noFill/>
                    <a:ln>
                      <a:noFill/>
                    </a:ln>
                  </pic:spPr>
                </pic:pic>
              </a:graphicData>
            </a:graphic>
          </wp:inline>
        </w:drawing>
      </w:r>
    </w:p>
    <w:p w14:paraId="5CF8069E"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Risk with the different number of securely allocated RTUs</w:t>
      </w:r>
    </w:p>
    <w:p w14:paraId="3222B131"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As shown in the figure, the risk curves of both the proposed method and the control group decreased as the number of RTUs in the security configuration increased. This is because the more RTUs are configured in the system, the more difficult it is for attackers to launch information attacks on critical locations and cause power grid failures, and thus the system risk decreases. Under the same configuration quantity, the risk of the proposed meth</w:t>
      </w:r>
      <w:r w:rsidRPr="00463734">
        <w:rPr>
          <w:rFonts w:eastAsia="宋体" w:cs="Minion Pro"/>
          <w:bCs/>
          <w:color w:val="auto"/>
          <w:lang w:eastAsia="zh-CN"/>
        </w:rPr>
        <w:lastRenderedPageBreak/>
        <w:t>od is no higher than that of the control group, indicating that this method can more effectively alleviate system risks without increasing equipment costs. Moreover, the risk curve of the proposed method initially drops rapidly and then becomes relatively stable, indicating that by reasonably configuring a small number of key RTUs, significant reduction in system risk can be achieved.</w:t>
      </w:r>
    </w:p>
    <w:p w14:paraId="77F47DD0" w14:textId="77777777" w:rsidR="00055865" w:rsidRPr="00463734" w:rsidRDefault="00000000">
      <w:pPr>
        <w:pStyle w:val="TSP21heading1"/>
        <w:tabs>
          <w:tab w:val="left" w:pos="0"/>
        </w:tabs>
        <w:outlineLvl w:val="9"/>
        <w:rPr>
          <w:rFonts w:cs="Minion Pro"/>
          <w:color w:val="auto"/>
          <w:lang w:eastAsia="zh-CN"/>
        </w:rPr>
      </w:pPr>
      <w:r w:rsidRPr="00463734">
        <w:rPr>
          <w:rFonts w:cs="Minion Pro"/>
          <w:color w:val="auto"/>
          <w:lang w:eastAsia="zh-CN"/>
        </w:rPr>
        <w:t>CPS 62 Node System</w:t>
      </w:r>
    </w:p>
    <w:p w14:paraId="798B8CAB"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This section further verifies the proposed method and model using the CPS 62 node system. The system topology is shown in </w:t>
      </w:r>
      <w:r w:rsidRPr="00463734">
        <w:rPr>
          <w:rFonts w:eastAsia="宋体" w:cs="Minion Pro" w:hint="eastAsia"/>
          <w:bCs/>
          <w:color w:val="auto"/>
          <w:lang w:eastAsia="zh-CN"/>
        </w:rPr>
        <w:t>Figure S19</w:t>
      </w:r>
      <w:r w:rsidRPr="00463734">
        <w:rPr>
          <w:rFonts w:eastAsia="宋体" w:cs="Minion Pro"/>
          <w:bCs/>
          <w:color w:val="auto"/>
          <w:lang w:eastAsia="zh-CN"/>
        </w:rPr>
        <w:t xml:space="preserve">, which includes three feeder lines interconnected through tie switches. The attack resources for each feeder line are 100, and the other simulation parameters are consistent with those of the IEEE 33-node system. The topology and load data of the CPS 62 node system are detailed in Appendix A, Tables </w:t>
      </w:r>
      <w:r w:rsidRPr="00463734">
        <w:rPr>
          <w:rFonts w:cs="Minion Pro" w:hint="eastAsia"/>
          <w:color w:val="auto"/>
          <w:lang w:eastAsia="zh-CN"/>
        </w:rPr>
        <w:t>A1</w:t>
      </w:r>
      <w:r w:rsidRPr="00463734">
        <w:rPr>
          <w:rFonts w:cs="Minion Pro"/>
          <w:color w:val="auto"/>
          <w:lang w:eastAsia="zh-CN"/>
        </w:rPr>
        <w:t xml:space="preserve"> and </w:t>
      </w:r>
      <w:r w:rsidRPr="00463734">
        <w:rPr>
          <w:rFonts w:cs="Minion Pro" w:hint="eastAsia"/>
          <w:color w:val="auto"/>
          <w:lang w:eastAsia="zh-CN"/>
        </w:rPr>
        <w:t>A2</w:t>
      </w:r>
      <w:r w:rsidRPr="00463734">
        <w:rPr>
          <w:rFonts w:eastAsia="宋体" w:cs="Minion Pro"/>
          <w:bCs/>
          <w:color w:val="auto"/>
          <w:lang w:eastAsia="zh-CN"/>
        </w:rPr>
        <w:t>.</w:t>
      </w:r>
    </w:p>
    <w:p w14:paraId="79A082EA"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236C2D39" wp14:editId="080FB0BD">
            <wp:extent cx="3959860" cy="1799590"/>
            <wp:effectExtent l="0" t="0" r="2540" b="3810"/>
            <wp:docPr id="3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1"/>
                    <pic:cNvPicPr>
                      <a:picLocks noChangeAspect="1"/>
                    </pic:cNvPicPr>
                  </pic:nvPicPr>
                  <pic:blipFill>
                    <a:blip r:embed="rId85"/>
                    <a:stretch>
                      <a:fillRect/>
                    </a:stretch>
                  </pic:blipFill>
                  <pic:spPr>
                    <a:xfrm>
                      <a:off x="0" y="0"/>
                      <a:ext cx="3959860" cy="1799590"/>
                    </a:xfrm>
                    <a:prstGeom prst="rect">
                      <a:avLst/>
                    </a:prstGeom>
                    <a:noFill/>
                    <a:ln>
                      <a:noFill/>
                    </a:ln>
                  </pic:spPr>
                </pic:pic>
              </a:graphicData>
            </a:graphic>
          </wp:inline>
        </w:drawing>
      </w:r>
    </w:p>
    <w:p w14:paraId="1DCB4285"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Results of feeder risk with different number of securely allocated RTUs</w:t>
      </w:r>
    </w:p>
    <w:p w14:paraId="19C3B75E"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5CFBEBA5" wp14:editId="478C007E">
            <wp:extent cx="3959860" cy="1877060"/>
            <wp:effectExtent l="0" t="0" r="2540" b="2540"/>
            <wp:docPr id="2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2"/>
                    <pic:cNvPicPr>
                      <a:picLocks noChangeAspect="1"/>
                    </pic:cNvPicPr>
                  </pic:nvPicPr>
                  <pic:blipFill>
                    <a:blip r:embed="rId86"/>
                    <a:stretch>
                      <a:fillRect/>
                    </a:stretch>
                  </pic:blipFill>
                  <pic:spPr>
                    <a:xfrm>
                      <a:off x="0" y="0"/>
                      <a:ext cx="3959860" cy="1877060"/>
                    </a:xfrm>
                    <a:prstGeom prst="rect">
                      <a:avLst/>
                    </a:prstGeom>
                    <a:noFill/>
                    <a:ln>
                      <a:noFill/>
                    </a:ln>
                  </pic:spPr>
                </pic:pic>
              </a:graphicData>
            </a:graphic>
          </wp:inline>
        </w:drawing>
      </w:r>
    </w:p>
    <w:p w14:paraId="045E5CD4" w14:textId="77777777" w:rsidR="00055865" w:rsidRPr="00463734" w:rsidRDefault="00000000">
      <w:pPr>
        <w:pStyle w:val="figurecaption"/>
        <w:numPr>
          <w:ilvl w:val="0"/>
          <w:numId w:val="5"/>
        </w:numPr>
        <w:jc w:val="center"/>
        <w:rPr>
          <w:rFonts w:ascii="Minion Pro" w:hAnsi="Minion Pro" w:cs="Minion Pro"/>
        </w:rPr>
      </w:pPr>
      <w:r w:rsidRPr="00463734">
        <w:rPr>
          <w:rFonts w:ascii="Minion Pro" w:hAnsi="Minion Pro" w:cs="Minion Pro"/>
        </w:rPr>
        <w:t>Allocation result when the number of safely allocated RTUs on the three feeders is 7, 5 and 7 respectively under targeted attack</w:t>
      </w:r>
    </w:p>
    <w:p w14:paraId="331BF607"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 xml:space="preserve">To analyze the impact of the number of security-configured RTUs on risk, this section assesses the risks of the three feeder lines under different configuration quantities and compares them with the random configuration method. The results are shown in </w:t>
      </w:r>
      <w:r w:rsidRPr="00463734">
        <w:rPr>
          <w:rFonts w:eastAsia="宋体" w:cs="Minion Pro" w:hint="eastAsia"/>
          <w:bCs/>
          <w:color w:val="auto"/>
          <w:lang w:eastAsia="zh-CN"/>
        </w:rPr>
        <w:t>Figure S35</w:t>
      </w:r>
      <w:r w:rsidRPr="00463734">
        <w:rPr>
          <w:rFonts w:eastAsia="宋体" w:cs="Minion Pro"/>
          <w:bCs/>
          <w:color w:val="auto"/>
          <w:lang w:eastAsia="zh-CN"/>
        </w:rPr>
        <w:t>.</w:t>
      </w:r>
    </w:p>
    <w:p w14:paraId="52BA292F" w14:textId="743C544B" w:rsidR="00055865" w:rsidRPr="00463734" w:rsidRDefault="00000000">
      <w:pPr>
        <w:pStyle w:val="TSP31text"/>
        <w:rPr>
          <w:rFonts w:eastAsia="宋体" w:cs="Minion Pro"/>
          <w:color w:val="auto"/>
          <w:lang w:eastAsia="zh-CN"/>
        </w:rPr>
      </w:pPr>
      <w:r w:rsidRPr="00463734">
        <w:rPr>
          <w:rFonts w:eastAsia="宋体" w:cs="Minion Pro"/>
          <w:bCs/>
          <w:color w:val="auto"/>
          <w:lang w:eastAsia="zh-CN"/>
        </w:rPr>
        <w:t xml:space="preserve">Similar to IEEE 33-node results, the proposed method’s risk curves consistently outperform the control group in complex feeder systems, demonstrating superior risk mitigation. As configurations increase, all three feeders exhibit rapid initial risk decline followed by gradual flattening, though this decline is gentler than in the IEEE system due to mutual power supply capabilities and more complex topology. Feeder 3 shows the highest risk while Feeder 2 is lowest, with all feeders outperforming the IEEE system. </w:t>
      </w:r>
      <w:r w:rsidRPr="00463734">
        <w:rPr>
          <w:rFonts w:eastAsia="宋体" w:cs="Minion Pro" w:hint="eastAsia"/>
          <w:bCs/>
          <w:color w:val="auto"/>
          <w:lang w:eastAsia="zh-CN"/>
        </w:rPr>
        <w:t>Figure S35</w:t>
      </w:r>
      <w:r w:rsidRPr="00463734">
        <w:rPr>
          <w:rFonts w:eastAsia="宋体" w:cs="Minion Pro"/>
          <w:bCs/>
          <w:color w:val="auto"/>
          <w:lang w:eastAsia="zh-CN"/>
        </w:rPr>
        <w:t xml:space="preserve"> shows risk curves flattening at 7, 5, and 7 RTU configurations for Feeders 1-3</w:t>
      </w:r>
      <w:r w:rsidR="00E51AB5" w:rsidRPr="00463734">
        <w:rPr>
          <w:rFonts w:eastAsia="宋体" w:cs="Minion Pro" w:hint="eastAsia"/>
          <w:bCs/>
          <w:color w:val="auto"/>
          <w:lang w:eastAsia="zh-CN"/>
        </w:rPr>
        <w:t>,</w:t>
      </w:r>
      <w:r w:rsidRPr="00463734">
        <w:rPr>
          <w:rFonts w:eastAsia="宋体" w:cs="Minion Pro"/>
          <w:bCs/>
          <w:color w:val="auto"/>
          <w:lang w:eastAsia="zh-CN"/>
        </w:rPr>
        <w:t xml:space="preserve"> respectively. Figures </w:t>
      </w:r>
      <w:r w:rsidRPr="00463734">
        <w:rPr>
          <w:rFonts w:eastAsia="宋体" w:cs="Minion Pro" w:hint="eastAsia"/>
          <w:bCs/>
          <w:color w:val="auto"/>
          <w:lang w:eastAsia="zh-CN"/>
        </w:rPr>
        <w:t>S36</w:t>
      </w:r>
      <w:r w:rsidRPr="00463734">
        <w:rPr>
          <w:rFonts w:eastAsia="宋体" w:cs="Minion Pro"/>
          <w:bCs/>
          <w:color w:val="auto"/>
          <w:lang w:eastAsia="zh-CN"/>
        </w:rPr>
        <w:t xml:space="preserve"> and </w:t>
      </w:r>
      <w:r w:rsidRPr="00463734">
        <w:rPr>
          <w:rFonts w:eastAsia="宋体" w:cs="Minion Pro" w:hint="eastAsia"/>
          <w:bCs/>
          <w:color w:val="auto"/>
          <w:lang w:eastAsia="zh-CN"/>
        </w:rPr>
        <w:t>S37</w:t>
      </w:r>
      <w:r w:rsidRPr="00463734">
        <w:rPr>
          <w:rFonts w:eastAsia="宋体" w:cs="Minion Pro"/>
          <w:bCs/>
          <w:color w:val="auto"/>
          <w:lang w:eastAsia="zh-CN"/>
        </w:rPr>
        <w:t xml:space="preserve"> fur</w:t>
      </w:r>
      <w:r w:rsidRPr="00463734">
        <w:rPr>
          <w:rFonts w:eastAsia="宋体" w:cs="Minion Pro"/>
          <w:bCs/>
          <w:color w:val="auto"/>
          <w:lang w:eastAsia="zh-CN"/>
        </w:rPr>
        <w:lastRenderedPageBreak/>
        <w:t>ther analyze defense outcomes under attack and random scenarios at these configuration levels.</w:t>
      </w:r>
    </w:p>
    <w:p w14:paraId="4ACAC438" w14:textId="77777777" w:rsidR="00055865" w:rsidRPr="00463734" w:rsidRDefault="00000000">
      <w:pPr>
        <w:pStyle w:val="TSP31text"/>
        <w:rPr>
          <w:rFonts w:eastAsia="宋体" w:cs="Minion Pro"/>
          <w:color w:val="auto"/>
          <w:lang w:eastAsia="zh-CN"/>
        </w:rPr>
      </w:pPr>
      <w:r w:rsidRPr="00463734">
        <w:rPr>
          <w:rFonts w:eastAsia="宋体" w:cs="Minion Pro"/>
          <w:bCs/>
          <w:color w:val="auto"/>
          <w:lang w:eastAsia="zh-CN"/>
        </w:rPr>
        <w:t>Both scenarios prioritize RTU configurations at exit/branch switches, but differ in specifics: Attack scenarios configure S7/S36, while random scenarios configure S8/S29. Attackers target S7 to increase false activation risk and downstream outages, prompting defenders to prioritize it. In random attacks, equal switch failure probabilities make S8 more critical for reducing outage spread. Similar rationale applies to feeder 3 configurations (S36 vs. S29).</w:t>
      </w:r>
    </w:p>
    <w:p w14:paraId="5FD67182" w14:textId="77777777" w:rsidR="00055865" w:rsidRPr="00463734" w:rsidRDefault="00000000">
      <w:pPr>
        <w:jc w:val="center"/>
        <w:rPr>
          <w:rFonts w:ascii="Minion Pro" w:hAnsi="Minion Pro" w:cs="Minion Pro"/>
        </w:rPr>
      </w:pPr>
      <w:r w:rsidRPr="00463734">
        <w:rPr>
          <w:rFonts w:ascii="Minion Pro" w:hAnsi="Minion Pro" w:cs="Minion Pro"/>
          <w:noProof/>
        </w:rPr>
        <w:drawing>
          <wp:inline distT="0" distB="0" distL="114300" distR="114300" wp14:anchorId="60FBBCA9" wp14:editId="348185E6">
            <wp:extent cx="3959860" cy="1885950"/>
            <wp:effectExtent l="0" t="0" r="2540" b="6350"/>
            <wp:docPr id="9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1"/>
                    <pic:cNvPicPr>
                      <a:picLocks noChangeAspect="1"/>
                    </pic:cNvPicPr>
                  </pic:nvPicPr>
                  <pic:blipFill>
                    <a:blip r:embed="rId87"/>
                    <a:stretch>
                      <a:fillRect/>
                    </a:stretch>
                  </pic:blipFill>
                  <pic:spPr>
                    <a:xfrm>
                      <a:off x="0" y="0"/>
                      <a:ext cx="3959860" cy="1885950"/>
                    </a:xfrm>
                    <a:prstGeom prst="rect">
                      <a:avLst/>
                    </a:prstGeom>
                    <a:noFill/>
                    <a:ln>
                      <a:noFill/>
                    </a:ln>
                  </pic:spPr>
                </pic:pic>
              </a:graphicData>
            </a:graphic>
          </wp:inline>
        </w:drawing>
      </w:r>
    </w:p>
    <w:p w14:paraId="40CD67E9" w14:textId="77777777" w:rsidR="00055865" w:rsidRPr="00463734" w:rsidRDefault="00000000">
      <w:pPr>
        <w:pStyle w:val="figurecaption"/>
        <w:numPr>
          <w:ilvl w:val="0"/>
          <w:numId w:val="5"/>
        </w:numPr>
        <w:ind w:left="363" w:hanging="363"/>
        <w:jc w:val="center"/>
        <w:rPr>
          <w:rFonts w:ascii="Minion Pro" w:hAnsi="Minion Pro" w:cs="Minion Pro"/>
        </w:rPr>
      </w:pPr>
      <w:r w:rsidRPr="00463734">
        <w:rPr>
          <w:rFonts w:ascii="Minion Pro" w:hAnsi="Minion Pro" w:cs="Minion Pro"/>
        </w:rPr>
        <w:t>Allocation result when the number of safely allocated RTUs on the three feeders is 7, 5 and 7 respectively under random attack</w:t>
      </w:r>
    </w:p>
    <w:p w14:paraId="23182DC3"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This section proposes an optimization method for security defense resource allocation in distribution networks under information attacks. Integrating attack impact analysis (Section 2) and risk assessment (Section 3), we establish system risk expressions and optimization models for random and targeted attack scenarios, accounting for regional states’ influence on load outage times.</w:t>
      </w:r>
    </w:p>
    <w:p w14:paraId="71A05CB1"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Simulations show RTU security configurations significantly reduce risks in random attacks, with mitigation intensifying as configurations increase. Compared to the node risk coupling method (Section 2), our approach achieves superior risk reduction with identical resources and shorter computation time. For targeted attacks, multi-attack protection outperforms single-attack defense, surpassing random configuration.</w:t>
      </w:r>
    </w:p>
    <w:p w14:paraId="3010DDC0" w14:textId="77777777" w:rsidR="00055865" w:rsidRPr="00463734" w:rsidRDefault="00000000">
      <w:pPr>
        <w:pStyle w:val="TSP31text"/>
        <w:rPr>
          <w:rFonts w:eastAsia="宋体" w:cs="Minion Pro"/>
          <w:bCs/>
          <w:color w:val="auto"/>
          <w:lang w:eastAsia="zh-CN"/>
        </w:rPr>
      </w:pPr>
      <w:r w:rsidRPr="00463734">
        <w:rPr>
          <w:rFonts w:eastAsia="宋体" w:cs="Minion Pro"/>
          <w:bCs/>
          <w:color w:val="auto"/>
          <w:lang w:eastAsia="zh-CN"/>
        </w:rPr>
        <w:t>By incorporating attacker motivations, capabilities, and scenario characteristics, this research provides a theoretical basis for grid planners to develop defense strategies and enhance information systems.</w:t>
      </w:r>
    </w:p>
    <w:sectPr w:rsidR="00055865" w:rsidRPr="00463734">
      <w:headerReference w:type="default" r:id="rId88"/>
      <w:footerReference w:type="default" r:id="rId8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97B55" w14:textId="77777777" w:rsidR="00D720D5" w:rsidRDefault="00D720D5">
      <w:r>
        <w:separator/>
      </w:r>
    </w:p>
  </w:endnote>
  <w:endnote w:type="continuationSeparator" w:id="0">
    <w:p w14:paraId="6221363C" w14:textId="77777777" w:rsidR="00D720D5" w:rsidRDefault="00D72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inion Pro">
    <w:altName w:val="Times New Roman"/>
    <w:panose1 w:val="02040503050201020203"/>
    <w:charset w:val="00"/>
    <w:family w:val="roman"/>
    <w:notTrueType/>
    <w:pitch w:val="variable"/>
    <w:sig w:usb0="E00002AF" w:usb1="5000E07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书宋简体">
    <w:altName w:val="黑体"/>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方正小标宋简体">
    <w:altName w:val="方正舒体"/>
    <w:charset w:val="86"/>
    <w:family w:val="script"/>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方正黑体_GBK">
    <w:altName w:val="微软雅黑"/>
    <w:charset w:val="86"/>
    <w:family w:val="script"/>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Arial Unicode MS">
    <w:panose1 w:val="020B0604020202020204"/>
    <w:charset w:val="86"/>
    <w:family w:val="swiss"/>
    <w:pitch w:val="variable"/>
    <w:sig w:usb0="F7FFAFFF" w:usb1="E9DFFFFF" w:usb2="0000003F" w:usb3="00000000" w:csb0="003F01FF" w:csb1="00000000"/>
  </w:font>
  <w:font w:name="方正仿宋简体">
    <w:altName w:val="微软雅黑"/>
    <w:charset w:val="86"/>
    <w:family w:val="modern"/>
    <w:pitch w:val="default"/>
    <w:sig w:usb0="00000000" w:usb1="00000000" w:usb2="00000010" w:usb3="00000000" w:csb0="00040000" w:csb1="00000000"/>
  </w:font>
  <w:font w:name="方正书宋_GBK">
    <w:altName w:val="微软雅黑"/>
    <w:charset w:val="86"/>
    <w:family w:val="script"/>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0DFB7" w14:textId="77777777" w:rsidR="00055865" w:rsidRDefault="00000000">
    <w:pPr>
      <w:pStyle w:val="Footer"/>
      <w:ind w:firstLine="360"/>
      <w:jc w:val="center"/>
    </w:pPr>
    <w:r>
      <w:fldChar w:fldCharType="begin"/>
    </w:r>
    <w:r>
      <w:instrText>PAGE   \* MERGEFORMAT</w:instrText>
    </w:r>
    <w:r>
      <w:fldChar w:fldCharType="separate"/>
    </w:r>
    <w:r>
      <w:rPr>
        <w:lang w:val="zh-CN"/>
      </w:rPr>
      <w:t>6</w:t>
    </w:r>
    <w:r>
      <w:fldChar w:fldCharType="end"/>
    </w:r>
  </w:p>
  <w:p w14:paraId="0873712F" w14:textId="77777777" w:rsidR="00055865" w:rsidRDefault="00055865">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905C39" w14:textId="77777777" w:rsidR="00D720D5" w:rsidRDefault="00D720D5">
      <w:r>
        <w:separator/>
      </w:r>
    </w:p>
  </w:footnote>
  <w:footnote w:type="continuationSeparator" w:id="0">
    <w:p w14:paraId="1C9E6A0A" w14:textId="77777777" w:rsidR="00D720D5" w:rsidRDefault="00D720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FFBEC" w14:textId="77777777" w:rsidR="00055865" w:rsidRDefault="00055865">
    <w:pPr>
      <w:pStyle w:val="Heade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FBD02"/>
    <w:multiLevelType w:val="multilevel"/>
    <w:tmpl w:val="846FBD02"/>
    <w:lvl w:ilvl="0">
      <w:start w:val="1"/>
      <w:numFmt w:val="decimal"/>
      <w:pStyle w:val="figurecaption"/>
      <w:suff w:val="space"/>
      <w:lvlText w:val="Figure %1:"/>
      <w:lvlJc w:val="left"/>
      <w:pPr>
        <w:tabs>
          <w:tab w:val="left" w:pos="0"/>
        </w:tabs>
        <w:ind w:left="360" w:hanging="360"/>
      </w:pPr>
      <w:rPr>
        <w:rFonts w:ascii="Minion Pro" w:hAnsi="Minion Pro" w:cs="Minion Pro" w:hint="default"/>
        <w:b w:val="0"/>
        <w:bCs w:val="0"/>
        <w:i w:val="0"/>
        <w:iCs w:val="0"/>
        <w:color w:val="auto"/>
        <w:sz w:val="21"/>
        <w:szCs w:val="21"/>
      </w:rPr>
    </w:lvl>
    <w:lvl w:ilvl="1">
      <w:start w:val="1"/>
      <w:numFmt w:val="decimal"/>
      <w:lvlText w:val="%2."/>
      <w:lvlJc w:val="center"/>
      <w:pPr>
        <w:tabs>
          <w:tab w:val="left" w:pos="420"/>
        </w:tabs>
        <w:ind w:left="1440" w:hanging="360"/>
      </w:pPr>
      <w:rPr>
        <w:rFonts w:cs="Times New Roman" w:hint="default"/>
      </w:rPr>
    </w:lvl>
    <w:lvl w:ilvl="2">
      <w:start w:val="1"/>
      <w:numFmt w:val="lowerRoman"/>
      <w:lvlText w:val="%3."/>
      <w:lvlJc w:val="right"/>
      <w:pPr>
        <w:tabs>
          <w:tab w:val="left" w:pos="2160"/>
        </w:tabs>
        <w:ind w:left="2160" w:hanging="180"/>
      </w:pPr>
      <w:rPr>
        <w:rFonts w:cs="Times New Roman" w:hint="default"/>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 w15:restartNumberingAfterBreak="0">
    <w:nsid w:val="18B468F5"/>
    <w:multiLevelType w:val="multilevel"/>
    <w:tmpl w:val="18B468F5"/>
    <w:lvl w:ilvl="0">
      <w:start w:val="1"/>
      <w:numFmt w:val="bullet"/>
      <w:pStyle w:val="TSP38bullet"/>
      <w:lvlText w:val=""/>
      <w:lvlJc w:val="left"/>
      <w:pPr>
        <w:ind w:left="3033" w:hanging="425"/>
      </w:pPr>
      <w:rPr>
        <w:rFonts w:ascii="Symbol" w:hAnsi="Symbol" w:hint="default"/>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54B70B8"/>
    <w:multiLevelType w:val="multilevel"/>
    <w:tmpl w:val="254B70B8"/>
    <w:lvl w:ilvl="0">
      <w:start w:val="1"/>
      <w:numFmt w:val="decimal"/>
      <w:pStyle w:val="A"/>
      <w:lvlText w:val="[%1]"/>
      <w:lvlJc w:val="left"/>
      <w:pPr>
        <w:ind w:left="420" w:hanging="42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15:restartNumberingAfterBreak="0">
    <w:nsid w:val="6DF47BD3"/>
    <w:multiLevelType w:val="multilevel"/>
    <w:tmpl w:val="6DF47BD3"/>
    <w:lvl w:ilvl="0">
      <w:start w:val="1"/>
      <w:numFmt w:val="decimal"/>
      <w:suff w:val="space"/>
      <w:lvlText w:val="Figure S%1:"/>
      <w:lvlJc w:val="left"/>
      <w:pPr>
        <w:tabs>
          <w:tab w:val="left" w:pos="0"/>
        </w:tabs>
        <w:ind w:left="360" w:hanging="360"/>
      </w:pPr>
      <w:rPr>
        <w:rFonts w:ascii="Minion Pro" w:hAnsi="Minion Pro" w:cs="Minion Pro" w:hint="default"/>
        <w:b w:val="0"/>
        <w:bCs w:val="0"/>
        <w:i w:val="0"/>
        <w:iCs w:val="0"/>
        <w:color w:val="auto"/>
        <w:sz w:val="21"/>
        <w:szCs w:val="21"/>
      </w:rPr>
    </w:lvl>
    <w:lvl w:ilvl="1">
      <w:start w:val="1"/>
      <w:numFmt w:val="decimal"/>
      <w:lvlText w:val="%2."/>
      <w:lvlJc w:val="center"/>
      <w:pPr>
        <w:tabs>
          <w:tab w:val="left" w:pos="1440"/>
        </w:tabs>
        <w:ind w:left="1440" w:hanging="360"/>
      </w:pPr>
      <w:rPr>
        <w:rFonts w:cs="Times New Roman" w:hint="default"/>
      </w:rPr>
    </w:lvl>
    <w:lvl w:ilvl="2">
      <w:start w:val="1"/>
      <w:numFmt w:val="lowerRoman"/>
      <w:lvlText w:val="%3."/>
      <w:lvlJc w:val="right"/>
      <w:pPr>
        <w:tabs>
          <w:tab w:val="left" w:pos="2160"/>
        </w:tabs>
        <w:ind w:left="2160" w:hanging="180"/>
      </w:pPr>
      <w:rPr>
        <w:rFonts w:cs="Times New Roman" w:hint="default"/>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4" w15:restartNumberingAfterBreak="0">
    <w:nsid w:val="70012E46"/>
    <w:multiLevelType w:val="multilevel"/>
    <w:tmpl w:val="70012E46"/>
    <w:lvl w:ilvl="0">
      <w:start w:val="1"/>
      <w:numFmt w:val="decimal"/>
      <w:pStyle w:val="TSP71References"/>
      <w:lvlText w:val="%1."/>
      <w:lvlJc w:val="left"/>
      <w:pPr>
        <w:ind w:left="360" w:hanging="360"/>
      </w:pPr>
      <w:rPr>
        <w:rFonts w:hint="eastAsia"/>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20A5D35"/>
    <w:multiLevelType w:val="singleLevel"/>
    <w:tmpl w:val="720A5D35"/>
    <w:lvl w:ilvl="0">
      <w:start w:val="1"/>
      <w:numFmt w:val="decimal"/>
      <w:suff w:val="nothing"/>
      <w:lvlText w:val="Table S%1: "/>
      <w:lvlJc w:val="left"/>
      <w:pPr>
        <w:tabs>
          <w:tab w:val="left" w:pos="0"/>
        </w:tabs>
        <w:ind w:left="0" w:firstLine="0"/>
      </w:pPr>
      <w:rPr>
        <w:rFonts w:ascii="Minion Pro" w:eastAsia="Minion Pro" w:hAnsi="Minion Pro" w:cs="Minion Pro" w:hint="default"/>
        <w:b/>
        <w:bCs/>
        <w:sz w:val="21"/>
        <w:szCs w:val="21"/>
      </w:rPr>
    </w:lvl>
  </w:abstractNum>
  <w:num w:numId="1" w16cid:durableId="388067524">
    <w:abstractNumId w:val="2"/>
  </w:num>
  <w:num w:numId="2" w16cid:durableId="866791195">
    <w:abstractNumId w:val="1"/>
  </w:num>
  <w:num w:numId="3" w16cid:durableId="104161348">
    <w:abstractNumId w:val="4"/>
  </w:num>
  <w:num w:numId="4" w16cid:durableId="532693721">
    <w:abstractNumId w:val="0"/>
  </w:num>
  <w:num w:numId="5" w16cid:durableId="311833304">
    <w:abstractNumId w:val="3"/>
  </w:num>
  <w:num w:numId="6" w16cid:durableId="178403055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autoHyphenation/>
  <w:hyphenationZone w:val="357"/>
  <w:drawingGridHorizontalSpacing w:val="105"/>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TQ2YmE5YjcxN2NlMDg4ZTlhODE2ZGJiYWYzOWM3MDUifQ=="/>
  </w:docVars>
  <w:rsids>
    <w:rsidRoot w:val="00172A27"/>
    <w:rsid w:val="00000550"/>
    <w:rsid w:val="00002437"/>
    <w:rsid w:val="000026C1"/>
    <w:rsid w:val="00002F3A"/>
    <w:rsid w:val="00002F7B"/>
    <w:rsid w:val="000030D4"/>
    <w:rsid w:val="0000325D"/>
    <w:rsid w:val="000039AB"/>
    <w:rsid w:val="00003A41"/>
    <w:rsid w:val="000042A2"/>
    <w:rsid w:val="00004BC3"/>
    <w:rsid w:val="000050E2"/>
    <w:rsid w:val="0000657C"/>
    <w:rsid w:val="000067A0"/>
    <w:rsid w:val="00007398"/>
    <w:rsid w:val="00007BAA"/>
    <w:rsid w:val="000104D8"/>
    <w:rsid w:val="00012741"/>
    <w:rsid w:val="0001284D"/>
    <w:rsid w:val="00012A17"/>
    <w:rsid w:val="00013161"/>
    <w:rsid w:val="000136A6"/>
    <w:rsid w:val="00014D51"/>
    <w:rsid w:val="00015239"/>
    <w:rsid w:val="0001550C"/>
    <w:rsid w:val="000155E1"/>
    <w:rsid w:val="00015931"/>
    <w:rsid w:val="00016374"/>
    <w:rsid w:val="00016F1C"/>
    <w:rsid w:val="000175E2"/>
    <w:rsid w:val="000179FE"/>
    <w:rsid w:val="00020029"/>
    <w:rsid w:val="0002038E"/>
    <w:rsid w:val="00020A60"/>
    <w:rsid w:val="00020C95"/>
    <w:rsid w:val="00022228"/>
    <w:rsid w:val="00022A36"/>
    <w:rsid w:val="00022A83"/>
    <w:rsid w:val="00022A8B"/>
    <w:rsid w:val="00022B49"/>
    <w:rsid w:val="00022EEC"/>
    <w:rsid w:val="000240FF"/>
    <w:rsid w:val="00025229"/>
    <w:rsid w:val="00025532"/>
    <w:rsid w:val="00025A21"/>
    <w:rsid w:val="000261FA"/>
    <w:rsid w:val="000264CD"/>
    <w:rsid w:val="00026B40"/>
    <w:rsid w:val="00026C47"/>
    <w:rsid w:val="00027F7A"/>
    <w:rsid w:val="000305A3"/>
    <w:rsid w:val="000305B8"/>
    <w:rsid w:val="0003088E"/>
    <w:rsid w:val="00031044"/>
    <w:rsid w:val="000314A0"/>
    <w:rsid w:val="000317E3"/>
    <w:rsid w:val="0003195B"/>
    <w:rsid w:val="000324F0"/>
    <w:rsid w:val="00032876"/>
    <w:rsid w:val="000344E6"/>
    <w:rsid w:val="00034659"/>
    <w:rsid w:val="0003562B"/>
    <w:rsid w:val="00035D6E"/>
    <w:rsid w:val="000367C3"/>
    <w:rsid w:val="00036BA3"/>
    <w:rsid w:val="0004025F"/>
    <w:rsid w:val="00040693"/>
    <w:rsid w:val="0004169C"/>
    <w:rsid w:val="00041A75"/>
    <w:rsid w:val="00043740"/>
    <w:rsid w:val="00043F01"/>
    <w:rsid w:val="00044228"/>
    <w:rsid w:val="000445DA"/>
    <w:rsid w:val="00044694"/>
    <w:rsid w:val="00044C09"/>
    <w:rsid w:val="00044D9A"/>
    <w:rsid w:val="000457F7"/>
    <w:rsid w:val="00045F09"/>
    <w:rsid w:val="00046E25"/>
    <w:rsid w:val="0005021B"/>
    <w:rsid w:val="00050A93"/>
    <w:rsid w:val="000512E2"/>
    <w:rsid w:val="000519DC"/>
    <w:rsid w:val="00051B2D"/>
    <w:rsid w:val="0005287C"/>
    <w:rsid w:val="00052E3D"/>
    <w:rsid w:val="00053119"/>
    <w:rsid w:val="00053901"/>
    <w:rsid w:val="00054D93"/>
    <w:rsid w:val="00055865"/>
    <w:rsid w:val="00056E0F"/>
    <w:rsid w:val="00057784"/>
    <w:rsid w:val="0006171F"/>
    <w:rsid w:val="00061844"/>
    <w:rsid w:val="0006306E"/>
    <w:rsid w:val="000631F4"/>
    <w:rsid w:val="00063959"/>
    <w:rsid w:val="00064345"/>
    <w:rsid w:val="000645CE"/>
    <w:rsid w:val="00064A06"/>
    <w:rsid w:val="00064F6E"/>
    <w:rsid w:val="000652C7"/>
    <w:rsid w:val="000660BD"/>
    <w:rsid w:val="000666E1"/>
    <w:rsid w:val="00066948"/>
    <w:rsid w:val="0006747F"/>
    <w:rsid w:val="00067F2D"/>
    <w:rsid w:val="00067F33"/>
    <w:rsid w:val="00070817"/>
    <w:rsid w:val="00070C64"/>
    <w:rsid w:val="00070C83"/>
    <w:rsid w:val="0007122B"/>
    <w:rsid w:val="00071EF1"/>
    <w:rsid w:val="00073215"/>
    <w:rsid w:val="00074A70"/>
    <w:rsid w:val="00074C30"/>
    <w:rsid w:val="0007521B"/>
    <w:rsid w:val="00075507"/>
    <w:rsid w:val="00075542"/>
    <w:rsid w:val="00076509"/>
    <w:rsid w:val="00076B28"/>
    <w:rsid w:val="00076C7E"/>
    <w:rsid w:val="0007717B"/>
    <w:rsid w:val="0007727C"/>
    <w:rsid w:val="00077282"/>
    <w:rsid w:val="00077421"/>
    <w:rsid w:val="000774FE"/>
    <w:rsid w:val="00077938"/>
    <w:rsid w:val="000805A4"/>
    <w:rsid w:val="00082992"/>
    <w:rsid w:val="00082EC6"/>
    <w:rsid w:val="00083569"/>
    <w:rsid w:val="000835D8"/>
    <w:rsid w:val="000839EB"/>
    <w:rsid w:val="00083D74"/>
    <w:rsid w:val="00083D96"/>
    <w:rsid w:val="0008427E"/>
    <w:rsid w:val="000853AE"/>
    <w:rsid w:val="00085A46"/>
    <w:rsid w:val="000862D5"/>
    <w:rsid w:val="00086879"/>
    <w:rsid w:val="000874E2"/>
    <w:rsid w:val="0009126E"/>
    <w:rsid w:val="0009227C"/>
    <w:rsid w:val="0009299B"/>
    <w:rsid w:val="00092BED"/>
    <w:rsid w:val="00092C16"/>
    <w:rsid w:val="000930E8"/>
    <w:rsid w:val="000934BB"/>
    <w:rsid w:val="000950BD"/>
    <w:rsid w:val="00095D51"/>
    <w:rsid w:val="000962C9"/>
    <w:rsid w:val="0009723D"/>
    <w:rsid w:val="00097582"/>
    <w:rsid w:val="00097FB0"/>
    <w:rsid w:val="000A0ACD"/>
    <w:rsid w:val="000A131E"/>
    <w:rsid w:val="000A1FB4"/>
    <w:rsid w:val="000A32B4"/>
    <w:rsid w:val="000A3CA6"/>
    <w:rsid w:val="000A5189"/>
    <w:rsid w:val="000A58A5"/>
    <w:rsid w:val="000A6C1D"/>
    <w:rsid w:val="000A74C9"/>
    <w:rsid w:val="000A7B8F"/>
    <w:rsid w:val="000B22B2"/>
    <w:rsid w:val="000B29FF"/>
    <w:rsid w:val="000B38C7"/>
    <w:rsid w:val="000B3CD3"/>
    <w:rsid w:val="000B435D"/>
    <w:rsid w:val="000B491B"/>
    <w:rsid w:val="000B49E9"/>
    <w:rsid w:val="000B4F9C"/>
    <w:rsid w:val="000B5112"/>
    <w:rsid w:val="000B5290"/>
    <w:rsid w:val="000B74BC"/>
    <w:rsid w:val="000B7B7B"/>
    <w:rsid w:val="000C099A"/>
    <w:rsid w:val="000C0EA4"/>
    <w:rsid w:val="000C1741"/>
    <w:rsid w:val="000C1BFC"/>
    <w:rsid w:val="000C2748"/>
    <w:rsid w:val="000C34CD"/>
    <w:rsid w:val="000C49E4"/>
    <w:rsid w:val="000C5661"/>
    <w:rsid w:val="000C5AA5"/>
    <w:rsid w:val="000C6166"/>
    <w:rsid w:val="000C6973"/>
    <w:rsid w:val="000C6F75"/>
    <w:rsid w:val="000C78F0"/>
    <w:rsid w:val="000D1E87"/>
    <w:rsid w:val="000D26BE"/>
    <w:rsid w:val="000D2B93"/>
    <w:rsid w:val="000D2F99"/>
    <w:rsid w:val="000D4FB9"/>
    <w:rsid w:val="000D50C0"/>
    <w:rsid w:val="000D50F8"/>
    <w:rsid w:val="000D5DE5"/>
    <w:rsid w:val="000D634A"/>
    <w:rsid w:val="000D652B"/>
    <w:rsid w:val="000D65E2"/>
    <w:rsid w:val="000D6605"/>
    <w:rsid w:val="000D675F"/>
    <w:rsid w:val="000D6EA5"/>
    <w:rsid w:val="000D70D4"/>
    <w:rsid w:val="000E0329"/>
    <w:rsid w:val="000E044A"/>
    <w:rsid w:val="000E0C99"/>
    <w:rsid w:val="000E2F59"/>
    <w:rsid w:val="000E3EC8"/>
    <w:rsid w:val="000E487A"/>
    <w:rsid w:val="000E48E0"/>
    <w:rsid w:val="000E4F59"/>
    <w:rsid w:val="000E4FEE"/>
    <w:rsid w:val="000E53A9"/>
    <w:rsid w:val="000E6270"/>
    <w:rsid w:val="000F13A2"/>
    <w:rsid w:val="000F1D5D"/>
    <w:rsid w:val="000F20FB"/>
    <w:rsid w:val="000F290B"/>
    <w:rsid w:val="000F2D0B"/>
    <w:rsid w:val="000F2D14"/>
    <w:rsid w:val="000F3083"/>
    <w:rsid w:val="000F337F"/>
    <w:rsid w:val="000F3747"/>
    <w:rsid w:val="000F3E64"/>
    <w:rsid w:val="000F4848"/>
    <w:rsid w:val="000F5E0E"/>
    <w:rsid w:val="000F5F64"/>
    <w:rsid w:val="000F608C"/>
    <w:rsid w:val="000F6BA2"/>
    <w:rsid w:val="000F7633"/>
    <w:rsid w:val="0010066C"/>
    <w:rsid w:val="001007D7"/>
    <w:rsid w:val="001009E8"/>
    <w:rsid w:val="0010110F"/>
    <w:rsid w:val="001020F4"/>
    <w:rsid w:val="00102647"/>
    <w:rsid w:val="00102AEB"/>
    <w:rsid w:val="00102E7E"/>
    <w:rsid w:val="00103170"/>
    <w:rsid w:val="00103A87"/>
    <w:rsid w:val="00105D7D"/>
    <w:rsid w:val="001064C3"/>
    <w:rsid w:val="00106720"/>
    <w:rsid w:val="0010683D"/>
    <w:rsid w:val="00107521"/>
    <w:rsid w:val="00107607"/>
    <w:rsid w:val="001077A8"/>
    <w:rsid w:val="00107B93"/>
    <w:rsid w:val="00107D9F"/>
    <w:rsid w:val="001121FA"/>
    <w:rsid w:val="00112313"/>
    <w:rsid w:val="001136AB"/>
    <w:rsid w:val="00114C0A"/>
    <w:rsid w:val="00114CA4"/>
    <w:rsid w:val="00115256"/>
    <w:rsid w:val="001154BB"/>
    <w:rsid w:val="0011687C"/>
    <w:rsid w:val="00116E77"/>
    <w:rsid w:val="00117A13"/>
    <w:rsid w:val="00120CC9"/>
    <w:rsid w:val="001210D1"/>
    <w:rsid w:val="00121539"/>
    <w:rsid w:val="00121C2D"/>
    <w:rsid w:val="0012243A"/>
    <w:rsid w:val="001232C3"/>
    <w:rsid w:val="00123AA1"/>
    <w:rsid w:val="00123C5B"/>
    <w:rsid w:val="001240FE"/>
    <w:rsid w:val="001246B3"/>
    <w:rsid w:val="00124F4A"/>
    <w:rsid w:val="0012527A"/>
    <w:rsid w:val="001258C8"/>
    <w:rsid w:val="00126E57"/>
    <w:rsid w:val="00127097"/>
    <w:rsid w:val="0012750A"/>
    <w:rsid w:val="00130811"/>
    <w:rsid w:val="0013081A"/>
    <w:rsid w:val="001308EA"/>
    <w:rsid w:val="001322A4"/>
    <w:rsid w:val="00132D29"/>
    <w:rsid w:val="00133019"/>
    <w:rsid w:val="00133198"/>
    <w:rsid w:val="00134083"/>
    <w:rsid w:val="00135201"/>
    <w:rsid w:val="00135235"/>
    <w:rsid w:val="001354FE"/>
    <w:rsid w:val="00135FC6"/>
    <w:rsid w:val="00136143"/>
    <w:rsid w:val="00136BA6"/>
    <w:rsid w:val="001402FE"/>
    <w:rsid w:val="00140C60"/>
    <w:rsid w:val="0014186B"/>
    <w:rsid w:val="00141A6F"/>
    <w:rsid w:val="00142602"/>
    <w:rsid w:val="00142FE3"/>
    <w:rsid w:val="00143B7F"/>
    <w:rsid w:val="00144797"/>
    <w:rsid w:val="001447EF"/>
    <w:rsid w:val="00144B78"/>
    <w:rsid w:val="00145682"/>
    <w:rsid w:val="00145E63"/>
    <w:rsid w:val="001500BA"/>
    <w:rsid w:val="00150311"/>
    <w:rsid w:val="001503E9"/>
    <w:rsid w:val="0015062E"/>
    <w:rsid w:val="001515C8"/>
    <w:rsid w:val="00151B50"/>
    <w:rsid w:val="0015206A"/>
    <w:rsid w:val="0015214D"/>
    <w:rsid w:val="00152BF5"/>
    <w:rsid w:val="00153053"/>
    <w:rsid w:val="00154217"/>
    <w:rsid w:val="00154E1B"/>
    <w:rsid w:val="00154E7D"/>
    <w:rsid w:val="00156486"/>
    <w:rsid w:val="00157844"/>
    <w:rsid w:val="0016014A"/>
    <w:rsid w:val="00160B48"/>
    <w:rsid w:val="00160BC5"/>
    <w:rsid w:val="0016296C"/>
    <w:rsid w:val="00163373"/>
    <w:rsid w:val="001640A3"/>
    <w:rsid w:val="0016433B"/>
    <w:rsid w:val="001645F2"/>
    <w:rsid w:val="0017002C"/>
    <w:rsid w:val="00170E30"/>
    <w:rsid w:val="00170EA2"/>
    <w:rsid w:val="00170FC4"/>
    <w:rsid w:val="00171D9C"/>
    <w:rsid w:val="00172A27"/>
    <w:rsid w:val="00172D82"/>
    <w:rsid w:val="001736D6"/>
    <w:rsid w:val="00173DF0"/>
    <w:rsid w:val="00174B64"/>
    <w:rsid w:val="00175D80"/>
    <w:rsid w:val="001768BE"/>
    <w:rsid w:val="00176B5C"/>
    <w:rsid w:val="00180072"/>
    <w:rsid w:val="00182BB3"/>
    <w:rsid w:val="001846B8"/>
    <w:rsid w:val="001848EA"/>
    <w:rsid w:val="00185BC8"/>
    <w:rsid w:val="001864C7"/>
    <w:rsid w:val="00187C5E"/>
    <w:rsid w:val="00187D1D"/>
    <w:rsid w:val="00187E2E"/>
    <w:rsid w:val="00190198"/>
    <w:rsid w:val="00190BE3"/>
    <w:rsid w:val="0019139B"/>
    <w:rsid w:val="001914A1"/>
    <w:rsid w:val="00191E99"/>
    <w:rsid w:val="00191EE3"/>
    <w:rsid w:val="001921EC"/>
    <w:rsid w:val="00192E78"/>
    <w:rsid w:val="00193707"/>
    <w:rsid w:val="00193B7A"/>
    <w:rsid w:val="0019404C"/>
    <w:rsid w:val="001941A3"/>
    <w:rsid w:val="001952D9"/>
    <w:rsid w:val="001958A9"/>
    <w:rsid w:val="0019595B"/>
    <w:rsid w:val="00195BC4"/>
    <w:rsid w:val="001971B4"/>
    <w:rsid w:val="001A0D19"/>
    <w:rsid w:val="001A1CBC"/>
    <w:rsid w:val="001A2CD4"/>
    <w:rsid w:val="001A4619"/>
    <w:rsid w:val="001A49F9"/>
    <w:rsid w:val="001A589A"/>
    <w:rsid w:val="001A59B2"/>
    <w:rsid w:val="001A5A60"/>
    <w:rsid w:val="001A5CBD"/>
    <w:rsid w:val="001A5F79"/>
    <w:rsid w:val="001A665E"/>
    <w:rsid w:val="001B1600"/>
    <w:rsid w:val="001B1C80"/>
    <w:rsid w:val="001B2699"/>
    <w:rsid w:val="001B2FFC"/>
    <w:rsid w:val="001B3526"/>
    <w:rsid w:val="001B3CEB"/>
    <w:rsid w:val="001B4383"/>
    <w:rsid w:val="001B63C6"/>
    <w:rsid w:val="001B6CED"/>
    <w:rsid w:val="001B789F"/>
    <w:rsid w:val="001B7D8A"/>
    <w:rsid w:val="001B7E95"/>
    <w:rsid w:val="001C0266"/>
    <w:rsid w:val="001C033D"/>
    <w:rsid w:val="001C0918"/>
    <w:rsid w:val="001C148A"/>
    <w:rsid w:val="001C1A11"/>
    <w:rsid w:val="001C1F4C"/>
    <w:rsid w:val="001C2020"/>
    <w:rsid w:val="001C2044"/>
    <w:rsid w:val="001C2B06"/>
    <w:rsid w:val="001C3F3D"/>
    <w:rsid w:val="001C4071"/>
    <w:rsid w:val="001C6062"/>
    <w:rsid w:val="001C637C"/>
    <w:rsid w:val="001C7382"/>
    <w:rsid w:val="001C7B4A"/>
    <w:rsid w:val="001D002C"/>
    <w:rsid w:val="001D0840"/>
    <w:rsid w:val="001D236E"/>
    <w:rsid w:val="001D25AC"/>
    <w:rsid w:val="001D2783"/>
    <w:rsid w:val="001D2DCD"/>
    <w:rsid w:val="001D34A1"/>
    <w:rsid w:val="001D4405"/>
    <w:rsid w:val="001D4D32"/>
    <w:rsid w:val="001D5457"/>
    <w:rsid w:val="001D5B44"/>
    <w:rsid w:val="001D5B6E"/>
    <w:rsid w:val="001D5BEE"/>
    <w:rsid w:val="001D5C69"/>
    <w:rsid w:val="001D63C4"/>
    <w:rsid w:val="001D6A2A"/>
    <w:rsid w:val="001D7010"/>
    <w:rsid w:val="001D794C"/>
    <w:rsid w:val="001E0F14"/>
    <w:rsid w:val="001E1621"/>
    <w:rsid w:val="001E238F"/>
    <w:rsid w:val="001E2964"/>
    <w:rsid w:val="001E2C7F"/>
    <w:rsid w:val="001E2EE9"/>
    <w:rsid w:val="001E3CAD"/>
    <w:rsid w:val="001E5640"/>
    <w:rsid w:val="001E586B"/>
    <w:rsid w:val="001E5AF8"/>
    <w:rsid w:val="001E5CC3"/>
    <w:rsid w:val="001E5EBC"/>
    <w:rsid w:val="001E5F9D"/>
    <w:rsid w:val="001E676E"/>
    <w:rsid w:val="001E76CE"/>
    <w:rsid w:val="001F016B"/>
    <w:rsid w:val="001F1DA9"/>
    <w:rsid w:val="001F1EE4"/>
    <w:rsid w:val="001F2AFB"/>
    <w:rsid w:val="001F2BFA"/>
    <w:rsid w:val="001F2CE1"/>
    <w:rsid w:val="001F445F"/>
    <w:rsid w:val="001F4CC2"/>
    <w:rsid w:val="001F5A89"/>
    <w:rsid w:val="001F64EF"/>
    <w:rsid w:val="001F664C"/>
    <w:rsid w:val="001F6EE8"/>
    <w:rsid w:val="001F78A0"/>
    <w:rsid w:val="00200241"/>
    <w:rsid w:val="0020050B"/>
    <w:rsid w:val="002009FD"/>
    <w:rsid w:val="00200C16"/>
    <w:rsid w:val="00200C17"/>
    <w:rsid w:val="00201299"/>
    <w:rsid w:val="00201A23"/>
    <w:rsid w:val="0020287E"/>
    <w:rsid w:val="002031C8"/>
    <w:rsid w:val="002039F3"/>
    <w:rsid w:val="002040D0"/>
    <w:rsid w:val="00204343"/>
    <w:rsid w:val="00204886"/>
    <w:rsid w:val="002054E7"/>
    <w:rsid w:val="00205544"/>
    <w:rsid w:val="00205579"/>
    <w:rsid w:val="002065F7"/>
    <w:rsid w:val="0020684E"/>
    <w:rsid w:val="00206B79"/>
    <w:rsid w:val="00206F68"/>
    <w:rsid w:val="00210CE4"/>
    <w:rsid w:val="0021133C"/>
    <w:rsid w:val="002119B4"/>
    <w:rsid w:val="00211D88"/>
    <w:rsid w:val="00212108"/>
    <w:rsid w:val="00212F99"/>
    <w:rsid w:val="00213E0B"/>
    <w:rsid w:val="00214461"/>
    <w:rsid w:val="0021447E"/>
    <w:rsid w:val="00214481"/>
    <w:rsid w:val="00214C15"/>
    <w:rsid w:val="00217714"/>
    <w:rsid w:val="00220CE2"/>
    <w:rsid w:val="00221563"/>
    <w:rsid w:val="00221752"/>
    <w:rsid w:val="0022191D"/>
    <w:rsid w:val="00222C4E"/>
    <w:rsid w:val="00222D5C"/>
    <w:rsid w:val="00223056"/>
    <w:rsid w:val="00223D53"/>
    <w:rsid w:val="00225378"/>
    <w:rsid w:val="00225467"/>
    <w:rsid w:val="0022596A"/>
    <w:rsid w:val="0022682E"/>
    <w:rsid w:val="00227243"/>
    <w:rsid w:val="00227BF3"/>
    <w:rsid w:val="002302E1"/>
    <w:rsid w:val="00231360"/>
    <w:rsid w:val="00232D08"/>
    <w:rsid w:val="00233B5F"/>
    <w:rsid w:val="00234751"/>
    <w:rsid w:val="002348DF"/>
    <w:rsid w:val="00234BA5"/>
    <w:rsid w:val="00235FBF"/>
    <w:rsid w:val="002366CE"/>
    <w:rsid w:val="00236985"/>
    <w:rsid w:val="00236CAC"/>
    <w:rsid w:val="00237894"/>
    <w:rsid w:val="00240125"/>
    <w:rsid w:val="002403DA"/>
    <w:rsid w:val="00240662"/>
    <w:rsid w:val="00240B8A"/>
    <w:rsid w:val="0024161B"/>
    <w:rsid w:val="00241AFB"/>
    <w:rsid w:val="002421C1"/>
    <w:rsid w:val="00242D22"/>
    <w:rsid w:val="00243309"/>
    <w:rsid w:val="002434A6"/>
    <w:rsid w:val="00244045"/>
    <w:rsid w:val="00244AED"/>
    <w:rsid w:val="0024540A"/>
    <w:rsid w:val="0024564C"/>
    <w:rsid w:val="002470FF"/>
    <w:rsid w:val="0025036D"/>
    <w:rsid w:val="00250620"/>
    <w:rsid w:val="00253695"/>
    <w:rsid w:val="002538B3"/>
    <w:rsid w:val="00253D36"/>
    <w:rsid w:val="00254B54"/>
    <w:rsid w:val="002567E6"/>
    <w:rsid w:val="00256B9B"/>
    <w:rsid w:val="00257872"/>
    <w:rsid w:val="00260EF3"/>
    <w:rsid w:val="002615C2"/>
    <w:rsid w:val="00261740"/>
    <w:rsid w:val="00261B56"/>
    <w:rsid w:val="002620B2"/>
    <w:rsid w:val="0026237C"/>
    <w:rsid w:val="00262BDB"/>
    <w:rsid w:val="00263046"/>
    <w:rsid w:val="00263283"/>
    <w:rsid w:val="00263ABC"/>
    <w:rsid w:val="00263FC5"/>
    <w:rsid w:val="00264700"/>
    <w:rsid w:val="00264AD7"/>
    <w:rsid w:val="00264D48"/>
    <w:rsid w:val="00264D71"/>
    <w:rsid w:val="00265FAC"/>
    <w:rsid w:val="0026615F"/>
    <w:rsid w:val="00267243"/>
    <w:rsid w:val="00267782"/>
    <w:rsid w:val="00267A7E"/>
    <w:rsid w:val="00267B99"/>
    <w:rsid w:val="00267D1B"/>
    <w:rsid w:val="002710FC"/>
    <w:rsid w:val="0027176E"/>
    <w:rsid w:val="00273323"/>
    <w:rsid w:val="002737A6"/>
    <w:rsid w:val="0027479E"/>
    <w:rsid w:val="00274EBB"/>
    <w:rsid w:val="0027549B"/>
    <w:rsid w:val="00276249"/>
    <w:rsid w:val="0027657F"/>
    <w:rsid w:val="002800AB"/>
    <w:rsid w:val="00280E64"/>
    <w:rsid w:val="002811B4"/>
    <w:rsid w:val="00281246"/>
    <w:rsid w:val="0028160D"/>
    <w:rsid w:val="0028166E"/>
    <w:rsid w:val="00281D2D"/>
    <w:rsid w:val="0028210A"/>
    <w:rsid w:val="00282471"/>
    <w:rsid w:val="00282BFD"/>
    <w:rsid w:val="00282E66"/>
    <w:rsid w:val="0028335E"/>
    <w:rsid w:val="0028455A"/>
    <w:rsid w:val="00287579"/>
    <w:rsid w:val="00287750"/>
    <w:rsid w:val="00290261"/>
    <w:rsid w:val="00291499"/>
    <w:rsid w:val="00291949"/>
    <w:rsid w:val="00291CA2"/>
    <w:rsid w:val="00291E4F"/>
    <w:rsid w:val="00291F04"/>
    <w:rsid w:val="00292199"/>
    <w:rsid w:val="00292A53"/>
    <w:rsid w:val="002933ED"/>
    <w:rsid w:val="0029391B"/>
    <w:rsid w:val="00293EAD"/>
    <w:rsid w:val="00293FA5"/>
    <w:rsid w:val="002958DF"/>
    <w:rsid w:val="00295C3B"/>
    <w:rsid w:val="002970B7"/>
    <w:rsid w:val="00297A5D"/>
    <w:rsid w:val="00297CC6"/>
    <w:rsid w:val="002A1B92"/>
    <w:rsid w:val="002A2CA3"/>
    <w:rsid w:val="002A4068"/>
    <w:rsid w:val="002A4186"/>
    <w:rsid w:val="002A4666"/>
    <w:rsid w:val="002A5AE2"/>
    <w:rsid w:val="002A5B0C"/>
    <w:rsid w:val="002A60A8"/>
    <w:rsid w:val="002A62D8"/>
    <w:rsid w:val="002A6B75"/>
    <w:rsid w:val="002A7083"/>
    <w:rsid w:val="002A79B8"/>
    <w:rsid w:val="002A7FE4"/>
    <w:rsid w:val="002B082F"/>
    <w:rsid w:val="002B0DAF"/>
    <w:rsid w:val="002B1033"/>
    <w:rsid w:val="002B129F"/>
    <w:rsid w:val="002B1354"/>
    <w:rsid w:val="002B18E0"/>
    <w:rsid w:val="002B1DEC"/>
    <w:rsid w:val="002B2F0D"/>
    <w:rsid w:val="002B3129"/>
    <w:rsid w:val="002B4544"/>
    <w:rsid w:val="002B4633"/>
    <w:rsid w:val="002B4652"/>
    <w:rsid w:val="002B4D2C"/>
    <w:rsid w:val="002B5877"/>
    <w:rsid w:val="002B5D10"/>
    <w:rsid w:val="002B5EB9"/>
    <w:rsid w:val="002B6845"/>
    <w:rsid w:val="002B6F8C"/>
    <w:rsid w:val="002B7A5D"/>
    <w:rsid w:val="002C0B09"/>
    <w:rsid w:val="002C0E41"/>
    <w:rsid w:val="002C0FE1"/>
    <w:rsid w:val="002C1115"/>
    <w:rsid w:val="002C1561"/>
    <w:rsid w:val="002C2C5E"/>
    <w:rsid w:val="002C30C6"/>
    <w:rsid w:val="002C33DF"/>
    <w:rsid w:val="002C3B5E"/>
    <w:rsid w:val="002C3C75"/>
    <w:rsid w:val="002C4A00"/>
    <w:rsid w:val="002C559D"/>
    <w:rsid w:val="002C6B93"/>
    <w:rsid w:val="002C6ED7"/>
    <w:rsid w:val="002C7453"/>
    <w:rsid w:val="002C7530"/>
    <w:rsid w:val="002C79B0"/>
    <w:rsid w:val="002D0631"/>
    <w:rsid w:val="002D08CC"/>
    <w:rsid w:val="002D1A88"/>
    <w:rsid w:val="002D1E86"/>
    <w:rsid w:val="002D24AB"/>
    <w:rsid w:val="002D349F"/>
    <w:rsid w:val="002D3B62"/>
    <w:rsid w:val="002D43F8"/>
    <w:rsid w:val="002D47BD"/>
    <w:rsid w:val="002D4870"/>
    <w:rsid w:val="002D53E9"/>
    <w:rsid w:val="002D5782"/>
    <w:rsid w:val="002D5A37"/>
    <w:rsid w:val="002D5EAC"/>
    <w:rsid w:val="002D6FE6"/>
    <w:rsid w:val="002D769A"/>
    <w:rsid w:val="002E04C6"/>
    <w:rsid w:val="002E0CB5"/>
    <w:rsid w:val="002E1AFC"/>
    <w:rsid w:val="002E2083"/>
    <w:rsid w:val="002E20B2"/>
    <w:rsid w:val="002E29CD"/>
    <w:rsid w:val="002E29D1"/>
    <w:rsid w:val="002E2B0B"/>
    <w:rsid w:val="002E312F"/>
    <w:rsid w:val="002E3E08"/>
    <w:rsid w:val="002E3E4C"/>
    <w:rsid w:val="002E493F"/>
    <w:rsid w:val="002E56BC"/>
    <w:rsid w:val="002E5BDE"/>
    <w:rsid w:val="002E7449"/>
    <w:rsid w:val="002E7D1C"/>
    <w:rsid w:val="002F11E8"/>
    <w:rsid w:val="002F28AD"/>
    <w:rsid w:val="002F3640"/>
    <w:rsid w:val="002F3B72"/>
    <w:rsid w:val="002F4291"/>
    <w:rsid w:val="002F4F34"/>
    <w:rsid w:val="002F582B"/>
    <w:rsid w:val="002F6E9F"/>
    <w:rsid w:val="002F7A60"/>
    <w:rsid w:val="00300272"/>
    <w:rsid w:val="00300686"/>
    <w:rsid w:val="00300C71"/>
    <w:rsid w:val="0030136C"/>
    <w:rsid w:val="003013D8"/>
    <w:rsid w:val="003019D1"/>
    <w:rsid w:val="00302735"/>
    <w:rsid w:val="00302773"/>
    <w:rsid w:val="00302A92"/>
    <w:rsid w:val="003037D8"/>
    <w:rsid w:val="00303ABC"/>
    <w:rsid w:val="003049BE"/>
    <w:rsid w:val="003056F7"/>
    <w:rsid w:val="00305EFB"/>
    <w:rsid w:val="00306656"/>
    <w:rsid w:val="003075C9"/>
    <w:rsid w:val="003077DC"/>
    <w:rsid w:val="00310029"/>
    <w:rsid w:val="00310C46"/>
    <w:rsid w:val="0031279D"/>
    <w:rsid w:val="0031420B"/>
    <w:rsid w:val="00314533"/>
    <w:rsid w:val="00315935"/>
    <w:rsid w:val="0031621A"/>
    <w:rsid w:val="003163CE"/>
    <w:rsid w:val="00317272"/>
    <w:rsid w:val="003218AA"/>
    <w:rsid w:val="00322798"/>
    <w:rsid w:val="00323C2D"/>
    <w:rsid w:val="00323F06"/>
    <w:rsid w:val="00325A66"/>
    <w:rsid w:val="003262F1"/>
    <w:rsid w:val="0032641C"/>
    <w:rsid w:val="00326447"/>
    <w:rsid w:val="00327419"/>
    <w:rsid w:val="00327E5F"/>
    <w:rsid w:val="003307F6"/>
    <w:rsid w:val="00332005"/>
    <w:rsid w:val="00333D00"/>
    <w:rsid w:val="003366A1"/>
    <w:rsid w:val="00337F53"/>
    <w:rsid w:val="0034107F"/>
    <w:rsid w:val="003413AD"/>
    <w:rsid w:val="003418D0"/>
    <w:rsid w:val="00341B93"/>
    <w:rsid w:val="0034387C"/>
    <w:rsid w:val="00343D24"/>
    <w:rsid w:val="00344573"/>
    <w:rsid w:val="0034473B"/>
    <w:rsid w:val="0034571D"/>
    <w:rsid w:val="00345FA2"/>
    <w:rsid w:val="00346802"/>
    <w:rsid w:val="003469B4"/>
    <w:rsid w:val="00346FA6"/>
    <w:rsid w:val="0034725D"/>
    <w:rsid w:val="003473FD"/>
    <w:rsid w:val="003475D6"/>
    <w:rsid w:val="00347A0D"/>
    <w:rsid w:val="00347EBC"/>
    <w:rsid w:val="00351269"/>
    <w:rsid w:val="00351D7B"/>
    <w:rsid w:val="003524C5"/>
    <w:rsid w:val="00352CCE"/>
    <w:rsid w:val="00353E12"/>
    <w:rsid w:val="00356A76"/>
    <w:rsid w:val="00356CAE"/>
    <w:rsid w:val="00357956"/>
    <w:rsid w:val="00361933"/>
    <w:rsid w:val="00362B5D"/>
    <w:rsid w:val="00362C26"/>
    <w:rsid w:val="00362CA5"/>
    <w:rsid w:val="00363038"/>
    <w:rsid w:val="0036359E"/>
    <w:rsid w:val="003636AB"/>
    <w:rsid w:val="00363B45"/>
    <w:rsid w:val="003648F0"/>
    <w:rsid w:val="00364B2C"/>
    <w:rsid w:val="00364D85"/>
    <w:rsid w:val="00366903"/>
    <w:rsid w:val="00367958"/>
    <w:rsid w:val="00370465"/>
    <w:rsid w:val="00370633"/>
    <w:rsid w:val="00371068"/>
    <w:rsid w:val="003714FA"/>
    <w:rsid w:val="00372ECE"/>
    <w:rsid w:val="00373579"/>
    <w:rsid w:val="0037372D"/>
    <w:rsid w:val="0037445D"/>
    <w:rsid w:val="003744B1"/>
    <w:rsid w:val="003747E9"/>
    <w:rsid w:val="0037484E"/>
    <w:rsid w:val="00375048"/>
    <w:rsid w:val="0037514A"/>
    <w:rsid w:val="00375668"/>
    <w:rsid w:val="00375ADC"/>
    <w:rsid w:val="0037630A"/>
    <w:rsid w:val="003764AB"/>
    <w:rsid w:val="00376647"/>
    <w:rsid w:val="00377C99"/>
    <w:rsid w:val="003805DA"/>
    <w:rsid w:val="0038329A"/>
    <w:rsid w:val="00383509"/>
    <w:rsid w:val="00383F66"/>
    <w:rsid w:val="00384939"/>
    <w:rsid w:val="00384D52"/>
    <w:rsid w:val="00384F9C"/>
    <w:rsid w:val="003853FC"/>
    <w:rsid w:val="003858F6"/>
    <w:rsid w:val="00385B32"/>
    <w:rsid w:val="00385E12"/>
    <w:rsid w:val="003862FC"/>
    <w:rsid w:val="00386795"/>
    <w:rsid w:val="00387D3A"/>
    <w:rsid w:val="00393552"/>
    <w:rsid w:val="003935ED"/>
    <w:rsid w:val="0039377A"/>
    <w:rsid w:val="00393F4F"/>
    <w:rsid w:val="003948BC"/>
    <w:rsid w:val="003952C2"/>
    <w:rsid w:val="0039531E"/>
    <w:rsid w:val="00395E75"/>
    <w:rsid w:val="0039640F"/>
    <w:rsid w:val="00396734"/>
    <w:rsid w:val="00396A19"/>
    <w:rsid w:val="00397524"/>
    <w:rsid w:val="00397E1B"/>
    <w:rsid w:val="003A1926"/>
    <w:rsid w:val="003A2096"/>
    <w:rsid w:val="003A242B"/>
    <w:rsid w:val="003A24AE"/>
    <w:rsid w:val="003A2FA7"/>
    <w:rsid w:val="003A4647"/>
    <w:rsid w:val="003A4C80"/>
    <w:rsid w:val="003A4E76"/>
    <w:rsid w:val="003A7363"/>
    <w:rsid w:val="003A7649"/>
    <w:rsid w:val="003B17CB"/>
    <w:rsid w:val="003B195C"/>
    <w:rsid w:val="003B1FDC"/>
    <w:rsid w:val="003B20DD"/>
    <w:rsid w:val="003B3691"/>
    <w:rsid w:val="003B36E6"/>
    <w:rsid w:val="003B3AB1"/>
    <w:rsid w:val="003B3E4B"/>
    <w:rsid w:val="003B4D29"/>
    <w:rsid w:val="003B4F34"/>
    <w:rsid w:val="003B55E3"/>
    <w:rsid w:val="003B5E14"/>
    <w:rsid w:val="003B5EB3"/>
    <w:rsid w:val="003B6003"/>
    <w:rsid w:val="003B744F"/>
    <w:rsid w:val="003B7C48"/>
    <w:rsid w:val="003C03AD"/>
    <w:rsid w:val="003C22FD"/>
    <w:rsid w:val="003C293C"/>
    <w:rsid w:val="003C440D"/>
    <w:rsid w:val="003C51A6"/>
    <w:rsid w:val="003C7C06"/>
    <w:rsid w:val="003D0506"/>
    <w:rsid w:val="003D093A"/>
    <w:rsid w:val="003D1D25"/>
    <w:rsid w:val="003D1DE7"/>
    <w:rsid w:val="003D348B"/>
    <w:rsid w:val="003D383E"/>
    <w:rsid w:val="003D38A5"/>
    <w:rsid w:val="003D3992"/>
    <w:rsid w:val="003D4287"/>
    <w:rsid w:val="003D4E10"/>
    <w:rsid w:val="003D4F93"/>
    <w:rsid w:val="003D6348"/>
    <w:rsid w:val="003D653A"/>
    <w:rsid w:val="003D7188"/>
    <w:rsid w:val="003D7656"/>
    <w:rsid w:val="003E1FC4"/>
    <w:rsid w:val="003E2033"/>
    <w:rsid w:val="003E2621"/>
    <w:rsid w:val="003E2671"/>
    <w:rsid w:val="003E2BB7"/>
    <w:rsid w:val="003E4CBD"/>
    <w:rsid w:val="003E62A1"/>
    <w:rsid w:val="003E6ADA"/>
    <w:rsid w:val="003E7387"/>
    <w:rsid w:val="003E7F39"/>
    <w:rsid w:val="003F0131"/>
    <w:rsid w:val="003F0843"/>
    <w:rsid w:val="003F0958"/>
    <w:rsid w:val="003F0C2D"/>
    <w:rsid w:val="003F122A"/>
    <w:rsid w:val="003F368E"/>
    <w:rsid w:val="003F3E7F"/>
    <w:rsid w:val="003F3FAC"/>
    <w:rsid w:val="003F526F"/>
    <w:rsid w:val="003F60B0"/>
    <w:rsid w:val="003F618A"/>
    <w:rsid w:val="003F78A5"/>
    <w:rsid w:val="003F7E5E"/>
    <w:rsid w:val="00400E78"/>
    <w:rsid w:val="0040151C"/>
    <w:rsid w:val="004016EC"/>
    <w:rsid w:val="0040186E"/>
    <w:rsid w:val="004018CE"/>
    <w:rsid w:val="00401980"/>
    <w:rsid w:val="00403196"/>
    <w:rsid w:val="00403745"/>
    <w:rsid w:val="00404C55"/>
    <w:rsid w:val="00406207"/>
    <w:rsid w:val="00407939"/>
    <w:rsid w:val="0041388F"/>
    <w:rsid w:val="00414421"/>
    <w:rsid w:val="004155DE"/>
    <w:rsid w:val="0041578D"/>
    <w:rsid w:val="00416D38"/>
    <w:rsid w:val="00416E0E"/>
    <w:rsid w:val="00420E6D"/>
    <w:rsid w:val="00420F6B"/>
    <w:rsid w:val="00422BDF"/>
    <w:rsid w:val="00423C78"/>
    <w:rsid w:val="00424DFC"/>
    <w:rsid w:val="00424EFD"/>
    <w:rsid w:val="0042532C"/>
    <w:rsid w:val="00425D2C"/>
    <w:rsid w:val="004300CA"/>
    <w:rsid w:val="0043016D"/>
    <w:rsid w:val="0043062D"/>
    <w:rsid w:val="004308D3"/>
    <w:rsid w:val="00430A48"/>
    <w:rsid w:val="004311A1"/>
    <w:rsid w:val="00431A2E"/>
    <w:rsid w:val="00432097"/>
    <w:rsid w:val="00432E8C"/>
    <w:rsid w:val="004334CA"/>
    <w:rsid w:val="00435273"/>
    <w:rsid w:val="00435C6A"/>
    <w:rsid w:val="00436CFE"/>
    <w:rsid w:val="0044013B"/>
    <w:rsid w:val="004404CF"/>
    <w:rsid w:val="00441566"/>
    <w:rsid w:val="00441AC7"/>
    <w:rsid w:val="00442425"/>
    <w:rsid w:val="00442556"/>
    <w:rsid w:val="004428D2"/>
    <w:rsid w:val="00442B6F"/>
    <w:rsid w:val="00442F5C"/>
    <w:rsid w:val="00443325"/>
    <w:rsid w:val="00443893"/>
    <w:rsid w:val="00443DA9"/>
    <w:rsid w:val="00443F2B"/>
    <w:rsid w:val="00445203"/>
    <w:rsid w:val="00445630"/>
    <w:rsid w:val="00445689"/>
    <w:rsid w:val="004458C6"/>
    <w:rsid w:val="00446D5C"/>
    <w:rsid w:val="004503CC"/>
    <w:rsid w:val="00450D25"/>
    <w:rsid w:val="00451695"/>
    <w:rsid w:val="00453277"/>
    <w:rsid w:val="004539B4"/>
    <w:rsid w:val="0045423F"/>
    <w:rsid w:val="004547A1"/>
    <w:rsid w:val="00454A97"/>
    <w:rsid w:val="004550FE"/>
    <w:rsid w:val="00456A5C"/>
    <w:rsid w:val="00460798"/>
    <w:rsid w:val="004607F6"/>
    <w:rsid w:val="00461354"/>
    <w:rsid w:val="004626AC"/>
    <w:rsid w:val="004626EE"/>
    <w:rsid w:val="0046291E"/>
    <w:rsid w:val="00463233"/>
    <w:rsid w:val="00463734"/>
    <w:rsid w:val="00463AC2"/>
    <w:rsid w:val="0046478C"/>
    <w:rsid w:val="00464BCD"/>
    <w:rsid w:val="00465240"/>
    <w:rsid w:val="00466B77"/>
    <w:rsid w:val="004670DF"/>
    <w:rsid w:val="00467E37"/>
    <w:rsid w:val="00467FE6"/>
    <w:rsid w:val="00471BCB"/>
    <w:rsid w:val="00471C61"/>
    <w:rsid w:val="00472F3A"/>
    <w:rsid w:val="00473458"/>
    <w:rsid w:val="0047456E"/>
    <w:rsid w:val="004752D2"/>
    <w:rsid w:val="004804E1"/>
    <w:rsid w:val="0048157B"/>
    <w:rsid w:val="00481DD3"/>
    <w:rsid w:val="00484A79"/>
    <w:rsid w:val="00485895"/>
    <w:rsid w:val="004862CA"/>
    <w:rsid w:val="004867EB"/>
    <w:rsid w:val="004869A7"/>
    <w:rsid w:val="004870FB"/>
    <w:rsid w:val="0049055A"/>
    <w:rsid w:val="004907BE"/>
    <w:rsid w:val="00490A43"/>
    <w:rsid w:val="00490DF4"/>
    <w:rsid w:val="0049144A"/>
    <w:rsid w:val="0049155B"/>
    <w:rsid w:val="00491C89"/>
    <w:rsid w:val="00491E19"/>
    <w:rsid w:val="0049222B"/>
    <w:rsid w:val="004925CA"/>
    <w:rsid w:val="00492D26"/>
    <w:rsid w:val="004948C8"/>
    <w:rsid w:val="004957D0"/>
    <w:rsid w:val="0049624D"/>
    <w:rsid w:val="00496349"/>
    <w:rsid w:val="00496C34"/>
    <w:rsid w:val="00497793"/>
    <w:rsid w:val="00497AFC"/>
    <w:rsid w:val="004A03EB"/>
    <w:rsid w:val="004A0A70"/>
    <w:rsid w:val="004A166A"/>
    <w:rsid w:val="004A1FB7"/>
    <w:rsid w:val="004A20FF"/>
    <w:rsid w:val="004A25EF"/>
    <w:rsid w:val="004A5E84"/>
    <w:rsid w:val="004A71B2"/>
    <w:rsid w:val="004B1A52"/>
    <w:rsid w:val="004B2BE0"/>
    <w:rsid w:val="004B42E4"/>
    <w:rsid w:val="004B46C7"/>
    <w:rsid w:val="004B4C32"/>
    <w:rsid w:val="004B69B9"/>
    <w:rsid w:val="004C01EB"/>
    <w:rsid w:val="004C03F7"/>
    <w:rsid w:val="004C0B73"/>
    <w:rsid w:val="004C236E"/>
    <w:rsid w:val="004C2B86"/>
    <w:rsid w:val="004C2F7C"/>
    <w:rsid w:val="004C3673"/>
    <w:rsid w:val="004C393F"/>
    <w:rsid w:val="004C3AD5"/>
    <w:rsid w:val="004C5B99"/>
    <w:rsid w:val="004C6078"/>
    <w:rsid w:val="004C7D26"/>
    <w:rsid w:val="004D0206"/>
    <w:rsid w:val="004D0894"/>
    <w:rsid w:val="004D0EC7"/>
    <w:rsid w:val="004D1A38"/>
    <w:rsid w:val="004D2FA4"/>
    <w:rsid w:val="004D37CD"/>
    <w:rsid w:val="004D38B9"/>
    <w:rsid w:val="004D6267"/>
    <w:rsid w:val="004D6422"/>
    <w:rsid w:val="004D6A5D"/>
    <w:rsid w:val="004D6A65"/>
    <w:rsid w:val="004D6DDF"/>
    <w:rsid w:val="004D7998"/>
    <w:rsid w:val="004D7D4A"/>
    <w:rsid w:val="004E0320"/>
    <w:rsid w:val="004E047B"/>
    <w:rsid w:val="004E0965"/>
    <w:rsid w:val="004E09C1"/>
    <w:rsid w:val="004E3151"/>
    <w:rsid w:val="004E3D96"/>
    <w:rsid w:val="004E44C5"/>
    <w:rsid w:val="004E48D9"/>
    <w:rsid w:val="004E48EF"/>
    <w:rsid w:val="004E5167"/>
    <w:rsid w:val="004E5740"/>
    <w:rsid w:val="004E5FE3"/>
    <w:rsid w:val="004E67C9"/>
    <w:rsid w:val="004E6C7E"/>
    <w:rsid w:val="004E76B8"/>
    <w:rsid w:val="004F03D6"/>
    <w:rsid w:val="004F06F6"/>
    <w:rsid w:val="004F0ECD"/>
    <w:rsid w:val="004F0FEA"/>
    <w:rsid w:val="004F12B3"/>
    <w:rsid w:val="004F1A60"/>
    <w:rsid w:val="004F2440"/>
    <w:rsid w:val="004F2B36"/>
    <w:rsid w:val="004F35A1"/>
    <w:rsid w:val="004F3ABE"/>
    <w:rsid w:val="004F4A58"/>
    <w:rsid w:val="004F59A2"/>
    <w:rsid w:val="004F5CD2"/>
    <w:rsid w:val="004F6F62"/>
    <w:rsid w:val="004F70AD"/>
    <w:rsid w:val="00500144"/>
    <w:rsid w:val="005002F5"/>
    <w:rsid w:val="005003A4"/>
    <w:rsid w:val="005004A6"/>
    <w:rsid w:val="005019B7"/>
    <w:rsid w:val="00502661"/>
    <w:rsid w:val="005027C5"/>
    <w:rsid w:val="00503DE9"/>
    <w:rsid w:val="00504319"/>
    <w:rsid w:val="00507104"/>
    <w:rsid w:val="00507706"/>
    <w:rsid w:val="00507D9B"/>
    <w:rsid w:val="0051030F"/>
    <w:rsid w:val="00510CD2"/>
    <w:rsid w:val="00510D5D"/>
    <w:rsid w:val="00511051"/>
    <w:rsid w:val="005124BD"/>
    <w:rsid w:val="00513347"/>
    <w:rsid w:val="00513602"/>
    <w:rsid w:val="00513A64"/>
    <w:rsid w:val="00513EDC"/>
    <w:rsid w:val="00513F9C"/>
    <w:rsid w:val="00514120"/>
    <w:rsid w:val="00514209"/>
    <w:rsid w:val="0051430A"/>
    <w:rsid w:val="005143A0"/>
    <w:rsid w:val="0051456F"/>
    <w:rsid w:val="00514B5D"/>
    <w:rsid w:val="00516F8D"/>
    <w:rsid w:val="005174FF"/>
    <w:rsid w:val="0052039A"/>
    <w:rsid w:val="00520500"/>
    <w:rsid w:val="00520570"/>
    <w:rsid w:val="00520E8A"/>
    <w:rsid w:val="00522AE7"/>
    <w:rsid w:val="005233C1"/>
    <w:rsid w:val="00524A5F"/>
    <w:rsid w:val="005268E2"/>
    <w:rsid w:val="00526AC8"/>
    <w:rsid w:val="0052701C"/>
    <w:rsid w:val="00527119"/>
    <w:rsid w:val="0052713E"/>
    <w:rsid w:val="005276B1"/>
    <w:rsid w:val="005278CB"/>
    <w:rsid w:val="00527A05"/>
    <w:rsid w:val="005310EA"/>
    <w:rsid w:val="00531D83"/>
    <w:rsid w:val="00532A80"/>
    <w:rsid w:val="00532B62"/>
    <w:rsid w:val="00532EAB"/>
    <w:rsid w:val="00534809"/>
    <w:rsid w:val="00535ABB"/>
    <w:rsid w:val="00535B27"/>
    <w:rsid w:val="00536932"/>
    <w:rsid w:val="0053705A"/>
    <w:rsid w:val="00537DF4"/>
    <w:rsid w:val="00540553"/>
    <w:rsid w:val="005409E9"/>
    <w:rsid w:val="00540EEE"/>
    <w:rsid w:val="00542000"/>
    <w:rsid w:val="0054357F"/>
    <w:rsid w:val="005443DB"/>
    <w:rsid w:val="0054598F"/>
    <w:rsid w:val="00545AB3"/>
    <w:rsid w:val="005462D8"/>
    <w:rsid w:val="00547294"/>
    <w:rsid w:val="00547E31"/>
    <w:rsid w:val="00547E89"/>
    <w:rsid w:val="005501B5"/>
    <w:rsid w:val="00551327"/>
    <w:rsid w:val="00552549"/>
    <w:rsid w:val="00552AEC"/>
    <w:rsid w:val="00553028"/>
    <w:rsid w:val="005534D8"/>
    <w:rsid w:val="005542BF"/>
    <w:rsid w:val="00554322"/>
    <w:rsid w:val="00555487"/>
    <w:rsid w:val="0055620F"/>
    <w:rsid w:val="005572AA"/>
    <w:rsid w:val="00557805"/>
    <w:rsid w:val="00557E26"/>
    <w:rsid w:val="0056083E"/>
    <w:rsid w:val="00560907"/>
    <w:rsid w:val="005619A7"/>
    <w:rsid w:val="00562481"/>
    <w:rsid w:val="0056334A"/>
    <w:rsid w:val="0056380D"/>
    <w:rsid w:val="00563C14"/>
    <w:rsid w:val="0056449F"/>
    <w:rsid w:val="00564902"/>
    <w:rsid w:val="005660A5"/>
    <w:rsid w:val="005677BB"/>
    <w:rsid w:val="005708C4"/>
    <w:rsid w:val="0057106D"/>
    <w:rsid w:val="0057240F"/>
    <w:rsid w:val="00572A8F"/>
    <w:rsid w:val="00572C91"/>
    <w:rsid w:val="00572DFD"/>
    <w:rsid w:val="00573855"/>
    <w:rsid w:val="00573BD0"/>
    <w:rsid w:val="00575057"/>
    <w:rsid w:val="00575DD2"/>
    <w:rsid w:val="00576A37"/>
    <w:rsid w:val="00580B11"/>
    <w:rsid w:val="00581777"/>
    <w:rsid w:val="005822FB"/>
    <w:rsid w:val="00584FFB"/>
    <w:rsid w:val="005864DA"/>
    <w:rsid w:val="0058776F"/>
    <w:rsid w:val="00587E8C"/>
    <w:rsid w:val="00587EAE"/>
    <w:rsid w:val="0059101B"/>
    <w:rsid w:val="00591274"/>
    <w:rsid w:val="00591CBA"/>
    <w:rsid w:val="00593C78"/>
    <w:rsid w:val="005945A1"/>
    <w:rsid w:val="005952B9"/>
    <w:rsid w:val="00595EA8"/>
    <w:rsid w:val="00595F08"/>
    <w:rsid w:val="00596BA5"/>
    <w:rsid w:val="00596EC3"/>
    <w:rsid w:val="00597B97"/>
    <w:rsid w:val="005A0E30"/>
    <w:rsid w:val="005A2419"/>
    <w:rsid w:val="005A2716"/>
    <w:rsid w:val="005A2B0C"/>
    <w:rsid w:val="005A5198"/>
    <w:rsid w:val="005A52ED"/>
    <w:rsid w:val="005A571F"/>
    <w:rsid w:val="005A6683"/>
    <w:rsid w:val="005A6A46"/>
    <w:rsid w:val="005A6C7A"/>
    <w:rsid w:val="005A6D0E"/>
    <w:rsid w:val="005A7156"/>
    <w:rsid w:val="005A7EFA"/>
    <w:rsid w:val="005B02EC"/>
    <w:rsid w:val="005B0949"/>
    <w:rsid w:val="005B1EF6"/>
    <w:rsid w:val="005B2395"/>
    <w:rsid w:val="005B2EAC"/>
    <w:rsid w:val="005B3201"/>
    <w:rsid w:val="005B409C"/>
    <w:rsid w:val="005B447A"/>
    <w:rsid w:val="005B723B"/>
    <w:rsid w:val="005C0484"/>
    <w:rsid w:val="005C07AA"/>
    <w:rsid w:val="005C2299"/>
    <w:rsid w:val="005C361A"/>
    <w:rsid w:val="005C3C03"/>
    <w:rsid w:val="005C3F94"/>
    <w:rsid w:val="005C47C9"/>
    <w:rsid w:val="005C53BD"/>
    <w:rsid w:val="005C5D95"/>
    <w:rsid w:val="005C6977"/>
    <w:rsid w:val="005C71E3"/>
    <w:rsid w:val="005C7B78"/>
    <w:rsid w:val="005C7C6D"/>
    <w:rsid w:val="005D064E"/>
    <w:rsid w:val="005D13BF"/>
    <w:rsid w:val="005D1EDF"/>
    <w:rsid w:val="005D3825"/>
    <w:rsid w:val="005D3D07"/>
    <w:rsid w:val="005D3D15"/>
    <w:rsid w:val="005D3E8C"/>
    <w:rsid w:val="005D40DD"/>
    <w:rsid w:val="005D473C"/>
    <w:rsid w:val="005D5D1E"/>
    <w:rsid w:val="005D5D34"/>
    <w:rsid w:val="005D5EEF"/>
    <w:rsid w:val="005D65D3"/>
    <w:rsid w:val="005D6C35"/>
    <w:rsid w:val="005D7380"/>
    <w:rsid w:val="005D7AC4"/>
    <w:rsid w:val="005E0F84"/>
    <w:rsid w:val="005E13BE"/>
    <w:rsid w:val="005E143E"/>
    <w:rsid w:val="005E18F7"/>
    <w:rsid w:val="005E1E6F"/>
    <w:rsid w:val="005E1F76"/>
    <w:rsid w:val="005E218A"/>
    <w:rsid w:val="005E25F8"/>
    <w:rsid w:val="005E2A89"/>
    <w:rsid w:val="005E2CF9"/>
    <w:rsid w:val="005E3315"/>
    <w:rsid w:val="005E4F86"/>
    <w:rsid w:val="005E597F"/>
    <w:rsid w:val="005E71D2"/>
    <w:rsid w:val="005E71DB"/>
    <w:rsid w:val="005E78D0"/>
    <w:rsid w:val="005F39B3"/>
    <w:rsid w:val="005F3D9C"/>
    <w:rsid w:val="005F3E05"/>
    <w:rsid w:val="005F3E64"/>
    <w:rsid w:val="005F5125"/>
    <w:rsid w:val="005F5B12"/>
    <w:rsid w:val="005F5F09"/>
    <w:rsid w:val="005F713E"/>
    <w:rsid w:val="005F733A"/>
    <w:rsid w:val="0060043D"/>
    <w:rsid w:val="00600714"/>
    <w:rsid w:val="00600AB3"/>
    <w:rsid w:val="00601B2F"/>
    <w:rsid w:val="00601EFE"/>
    <w:rsid w:val="006027DB"/>
    <w:rsid w:val="00602F98"/>
    <w:rsid w:val="006037AF"/>
    <w:rsid w:val="006039A1"/>
    <w:rsid w:val="00604548"/>
    <w:rsid w:val="006068D8"/>
    <w:rsid w:val="006068DF"/>
    <w:rsid w:val="00606F56"/>
    <w:rsid w:val="006108BB"/>
    <w:rsid w:val="0061118B"/>
    <w:rsid w:val="006111BC"/>
    <w:rsid w:val="00611C76"/>
    <w:rsid w:val="00611CB6"/>
    <w:rsid w:val="0061214E"/>
    <w:rsid w:val="006125FB"/>
    <w:rsid w:val="0061260D"/>
    <w:rsid w:val="00612BD5"/>
    <w:rsid w:val="00612F26"/>
    <w:rsid w:val="00613576"/>
    <w:rsid w:val="00613A08"/>
    <w:rsid w:val="00613B2A"/>
    <w:rsid w:val="00614222"/>
    <w:rsid w:val="00614BF7"/>
    <w:rsid w:val="00614DAF"/>
    <w:rsid w:val="00615061"/>
    <w:rsid w:val="0061509C"/>
    <w:rsid w:val="006152CB"/>
    <w:rsid w:val="00615471"/>
    <w:rsid w:val="006166CB"/>
    <w:rsid w:val="00616716"/>
    <w:rsid w:val="00616765"/>
    <w:rsid w:val="00616BCF"/>
    <w:rsid w:val="00616E33"/>
    <w:rsid w:val="00617BBC"/>
    <w:rsid w:val="00617D80"/>
    <w:rsid w:val="00620427"/>
    <w:rsid w:val="00621044"/>
    <w:rsid w:val="006232C0"/>
    <w:rsid w:val="0062341A"/>
    <w:rsid w:val="0062381A"/>
    <w:rsid w:val="0062423B"/>
    <w:rsid w:val="00624D40"/>
    <w:rsid w:val="0062518C"/>
    <w:rsid w:val="00625828"/>
    <w:rsid w:val="00626AC7"/>
    <w:rsid w:val="00627595"/>
    <w:rsid w:val="006300F3"/>
    <w:rsid w:val="00630469"/>
    <w:rsid w:val="00633058"/>
    <w:rsid w:val="00633E9C"/>
    <w:rsid w:val="0063408A"/>
    <w:rsid w:val="00634E74"/>
    <w:rsid w:val="006357BF"/>
    <w:rsid w:val="0063619E"/>
    <w:rsid w:val="00636E5B"/>
    <w:rsid w:val="00636E84"/>
    <w:rsid w:val="006372CE"/>
    <w:rsid w:val="00637F9E"/>
    <w:rsid w:val="006401DB"/>
    <w:rsid w:val="00640601"/>
    <w:rsid w:val="00640AE6"/>
    <w:rsid w:val="00640F1F"/>
    <w:rsid w:val="0064169B"/>
    <w:rsid w:val="00643188"/>
    <w:rsid w:val="0064406D"/>
    <w:rsid w:val="00644870"/>
    <w:rsid w:val="006451D7"/>
    <w:rsid w:val="00645535"/>
    <w:rsid w:val="0064591F"/>
    <w:rsid w:val="00646809"/>
    <w:rsid w:val="00646AC4"/>
    <w:rsid w:val="00646C2E"/>
    <w:rsid w:val="00646ECF"/>
    <w:rsid w:val="006477E2"/>
    <w:rsid w:val="00647A47"/>
    <w:rsid w:val="00647DC9"/>
    <w:rsid w:val="00651D4E"/>
    <w:rsid w:val="00652E56"/>
    <w:rsid w:val="00653938"/>
    <w:rsid w:val="00653A41"/>
    <w:rsid w:val="00653BC3"/>
    <w:rsid w:val="00653CBC"/>
    <w:rsid w:val="00653E0A"/>
    <w:rsid w:val="006540E5"/>
    <w:rsid w:val="00654D04"/>
    <w:rsid w:val="006553D1"/>
    <w:rsid w:val="006553DC"/>
    <w:rsid w:val="00655451"/>
    <w:rsid w:val="0065551E"/>
    <w:rsid w:val="00656574"/>
    <w:rsid w:val="00660279"/>
    <w:rsid w:val="00660D7C"/>
    <w:rsid w:val="00660E56"/>
    <w:rsid w:val="0066115A"/>
    <w:rsid w:val="0066328A"/>
    <w:rsid w:val="0066375A"/>
    <w:rsid w:val="00663987"/>
    <w:rsid w:val="00663A2D"/>
    <w:rsid w:val="00663B01"/>
    <w:rsid w:val="00663C51"/>
    <w:rsid w:val="00663D9E"/>
    <w:rsid w:val="00665441"/>
    <w:rsid w:val="00665484"/>
    <w:rsid w:val="00666771"/>
    <w:rsid w:val="006674E3"/>
    <w:rsid w:val="00667C9B"/>
    <w:rsid w:val="006707D3"/>
    <w:rsid w:val="00671139"/>
    <w:rsid w:val="00673548"/>
    <w:rsid w:val="00673C64"/>
    <w:rsid w:val="00674474"/>
    <w:rsid w:val="00674E3A"/>
    <w:rsid w:val="0067506C"/>
    <w:rsid w:val="00676E4C"/>
    <w:rsid w:val="00677676"/>
    <w:rsid w:val="00680011"/>
    <w:rsid w:val="0068022B"/>
    <w:rsid w:val="0068040A"/>
    <w:rsid w:val="0068089A"/>
    <w:rsid w:val="006827A9"/>
    <w:rsid w:val="0068457D"/>
    <w:rsid w:val="006850B5"/>
    <w:rsid w:val="006851EB"/>
    <w:rsid w:val="00685C68"/>
    <w:rsid w:val="00685FC8"/>
    <w:rsid w:val="006868CF"/>
    <w:rsid w:val="00687588"/>
    <w:rsid w:val="00687AB3"/>
    <w:rsid w:val="00687D2B"/>
    <w:rsid w:val="006921AC"/>
    <w:rsid w:val="00692236"/>
    <w:rsid w:val="00692780"/>
    <w:rsid w:val="00692AC2"/>
    <w:rsid w:val="006938DB"/>
    <w:rsid w:val="00693B0A"/>
    <w:rsid w:val="006954C1"/>
    <w:rsid w:val="006956C5"/>
    <w:rsid w:val="00695A4F"/>
    <w:rsid w:val="00695FE4"/>
    <w:rsid w:val="00696706"/>
    <w:rsid w:val="00696AE8"/>
    <w:rsid w:val="006A0A24"/>
    <w:rsid w:val="006A27FE"/>
    <w:rsid w:val="006A3B22"/>
    <w:rsid w:val="006A46FC"/>
    <w:rsid w:val="006A4F75"/>
    <w:rsid w:val="006A5812"/>
    <w:rsid w:val="006A5E8F"/>
    <w:rsid w:val="006A6BCC"/>
    <w:rsid w:val="006A75ED"/>
    <w:rsid w:val="006A76F1"/>
    <w:rsid w:val="006B0408"/>
    <w:rsid w:val="006B10CE"/>
    <w:rsid w:val="006B2201"/>
    <w:rsid w:val="006B3BFA"/>
    <w:rsid w:val="006B3C08"/>
    <w:rsid w:val="006B5595"/>
    <w:rsid w:val="006B577F"/>
    <w:rsid w:val="006B57A4"/>
    <w:rsid w:val="006B5D42"/>
    <w:rsid w:val="006B7083"/>
    <w:rsid w:val="006B7F64"/>
    <w:rsid w:val="006C048A"/>
    <w:rsid w:val="006C0582"/>
    <w:rsid w:val="006C0CB9"/>
    <w:rsid w:val="006C16DA"/>
    <w:rsid w:val="006C1BE9"/>
    <w:rsid w:val="006C1DB5"/>
    <w:rsid w:val="006C25DC"/>
    <w:rsid w:val="006C2F4B"/>
    <w:rsid w:val="006C3238"/>
    <w:rsid w:val="006C51C9"/>
    <w:rsid w:val="006C57C5"/>
    <w:rsid w:val="006C647D"/>
    <w:rsid w:val="006C7167"/>
    <w:rsid w:val="006C7491"/>
    <w:rsid w:val="006C76D7"/>
    <w:rsid w:val="006C79F9"/>
    <w:rsid w:val="006C7DFB"/>
    <w:rsid w:val="006D0B53"/>
    <w:rsid w:val="006D1656"/>
    <w:rsid w:val="006D1A4C"/>
    <w:rsid w:val="006D257D"/>
    <w:rsid w:val="006D26C8"/>
    <w:rsid w:val="006D2F6F"/>
    <w:rsid w:val="006D4068"/>
    <w:rsid w:val="006D439F"/>
    <w:rsid w:val="006D44A6"/>
    <w:rsid w:val="006D4C5F"/>
    <w:rsid w:val="006D52AD"/>
    <w:rsid w:val="006D58B6"/>
    <w:rsid w:val="006D61C9"/>
    <w:rsid w:val="006D632B"/>
    <w:rsid w:val="006D6621"/>
    <w:rsid w:val="006D67AC"/>
    <w:rsid w:val="006D6A99"/>
    <w:rsid w:val="006D6C3A"/>
    <w:rsid w:val="006E00E3"/>
    <w:rsid w:val="006E0204"/>
    <w:rsid w:val="006E0F86"/>
    <w:rsid w:val="006E0FE9"/>
    <w:rsid w:val="006E158E"/>
    <w:rsid w:val="006E15C2"/>
    <w:rsid w:val="006E1D5A"/>
    <w:rsid w:val="006E218D"/>
    <w:rsid w:val="006E21E8"/>
    <w:rsid w:val="006E2B0D"/>
    <w:rsid w:val="006E3919"/>
    <w:rsid w:val="006E4B44"/>
    <w:rsid w:val="006E66DB"/>
    <w:rsid w:val="006E68B3"/>
    <w:rsid w:val="006E6BA2"/>
    <w:rsid w:val="006E7982"/>
    <w:rsid w:val="006F0242"/>
    <w:rsid w:val="006F044D"/>
    <w:rsid w:val="006F17D2"/>
    <w:rsid w:val="006F1867"/>
    <w:rsid w:val="006F2876"/>
    <w:rsid w:val="006F2D1F"/>
    <w:rsid w:val="006F2EED"/>
    <w:rsid w:val="006F365B"/>
    <w:rsid w:val="006F450C"/>
    <w:rsid w:val="006F46C7"/>
    <w:rsid w:val="006F60FD"/>
    <w:rsid w:val="006F6FDD"/>
    <w:rsid w:val="006F73C4"/>
    <w:rsid w:val="00700E96"/>
    <w:rsid w:val="00702645"/>
    <w:rsid w:val="00702AF1"/>
    <w:rsid w:val="00703C40"/>
    <w:rsid w:val="00703D9C"/>
    <w:rsid w:val="0070419A"/>
    <w:rsid w:val="0070428A"/>
    <w:rsid w:val="00704CFA"/>
    <w:rsid w:val="00705220"/>
    <w:rsid w:val="00705258"/>
    <w:rsid w:val="00706043"/>
    <w:rsid w:val="00706695"/>
    <w:rsid w:val="00707238"/>
    <w:rsid w:val="007101BC"/>
    <w:rsid w:val="0071031B"/>
    <w:rsid w:val="007106D7"/>
    <w:rsid w:val="0071212F"/>
    <w:rsid w:val="007137DD"/>
    <w:rsid w:val="0071391A"/>
    <w:rsid w:val="00713C04"/>
    <w:rsid w:val="0071455E"/>
    <w:rsid w:val="00714E6C"/>
    <w:rsid w:val="0071550C"/>
    <w:rsid w:val="00715761"/>
    <w:rsid w:val="0071640A"/>
    <w:rsid w:val="00716BFF"/>
    <w:rsid w:val="00716D36"/>
    <w:rsid w:val="0071717D"/>
    <w:rsid w:val="00720EA7"/>
    <w:rsid w:val="007238C2"/>
    <w:rsid w:val="00724878"/>
    <w:rsid w:val="007253B9"/>
    <w:rsid w:val="007254F0"/>
    <w:rsid w:val="0072672C"/>
    <w:rsid w:val="007277C4"/>
    <w:rsid w:val="0073203B"/>
    <w:rsid w:val="00734A45"/>
    <w:rsid w:val="00734B52"/>
    <w:rsid w:val="00735846"/>
    <w:rsid w:val="00735A16"/>
    <w:rsid w:val="00735A79"/>
    <w:rsid w:val="00735A81"/>
    <w:rsid w:val="00736358"/>
    <w:rsid w:val="00736475"/>
    <w:rsid w:val="00736D6A"/>
    <w:rsid w:val="00737149"/>
    <w:rsid w:val="00737B09"/>
    <w:rsid w:val="00737D36"/>
    <w:rsid w:val="007405F4"/>
    <w:rsid w:val="00741016"/>
    <w:rsid w:val="00741059"/>
    <w:rsid w:val="00741270"/>
    <w:rsid w:val="00741376"/>
    <w:rsid w:val="007426FE"/>
    <w:rsid w:val="00742749"/>
    <w:rsid w:val="0074307A"/>
    <w:rsid w:val="007439DF"/>
    <w:rsid w:val="00743ABE"/>
    <w:rsid w:val="00743C31"/>
    <w:rsid w:val="00744318"/>
    <w:rsid w:val="00744680"/>
    <w:rsid w:val="007462CE"/>
    <w:rsid w:val="00747379"/>
    <w:rsid w:val="00747A7D"/>
    <w:rsid w:val="00751306"/>
    <w:rsid w:val="00751328"/>
    <w:rsid w:val="007515B2"/>
    <w:rsid w:val="00751716"/>
    <w:rsid w:val="00753401"/>
    <w:rsid w:val="00753409"/>
    <w:rsid w:val="007541D4"/>
    <w:rsid w:val="007546A4"/>
    <w:rsid w:val="00754781"/>
    <w:rsid w:val="00756259"/>
    <w:rsid w:val="00756A19"/>
    <w:rsid w:val="00760677"/>
    <w:rsid w:val="0076135E"/>
    <w:rsid w:val="00761F73"/>
    <w:rsid w:val="00762387"/>
    <w:rsid w:val="007628B8"/>
    <w:rsid w:val="007643E8"/>
    <w:rsid w:val="00764CA1"/>
    <w:rsid w:val="00764D66"/>
    <w:rsid w:val="00766BB9"/>
    <w:rsid w:val="00767A20"/>
    <w:rsid w:val="00767B45"/>
    <w:rsid w:val="00770A49"/>
    <w:rsid w:val="00770C9B"/>
    <w:rsid w:val="0077107F"/>
    <w:rsid w:val="00771439"/>
    <w:rsid w:val="00771C7D"/>
    <w:rsid w:val="00771D2B"/>
    <w:rsid w:val="00772240"/>
    <w:rsid w:val="007756C4"/>
    <w:rsid w:val="00775869"/>
    <w:rsid w:val="0077719E"/>
    <w:rsid w:val="00777433"/>
    <w:rsid w:val="00777D78"/>
    <w:rsid w:val="0078079C"/>
    <w:rsid w:val="00780AAA"/>
    <w:rsid w:val="00780E6D"/>
    <w:rsid w:val="00781092"/>
    <w:rsid w:val="00781D22"/>
    <w:rsid w:val="00782CE9"/>
    <w:rsid w:val="00782DCF"/>
    <w:rsid w:val="00782E22"/>
    <w:rsid w:val="007835FA"/>
    <w:rsid w:val="007845C5"/>
    <w:rsid w:val="00784821"/>
    <w:rsid w:val="0078515C"/>
    <w:rsid w:val="007857CB"/>
    <w:rsid w:val="007858C8"/>
    <w:rsid w:val="0078686C"/>
    <w:rsid w:val="00786F25"/>
    <w:rsid w:val="0078718C"/>
    <w:rsid w:val="007903EF"/>
    <w:rsid w:val="00790AD8"/>
    <w:rsid w:val="0079127A"/>
    <w:rsid w:val="00791937"/>
    <w:rsid w:val="00791EF5"/>
    <w:rsid w:val="00792874"/>
    <w:rsid w:val="00793E25"/>
    <w:rsid w:val="0079429C"/>
    <w:rsid w:val="007947B9"/>
    <w:rsid w:val="00794D8D"/>
    <w:rsid w:val="00795008"/>
    <w:rsid w:val="00795F1D"/>
    <w:rsid w:val="0079623F"/>
    <w:rsid w:val="00796372"/>
    <w:rsid w:val="00796B11"/>
    <w:rsid w:val="00796E25"/>
    <w:rsid w:val="00797418"/>
    <w:rsid w:val="007A0020"/>
    <w:rsid w:val="007A1330"/>
    <w:rsid w:val="007A35FB"/>
    <w:rsid w:val="007A364C"/>
    <w:rsid w:val="007A3B4A"/>
    <w:rsid w:val="007A456B"/>
    <w:rsid w:val="007A5499"/>
    <w:rsid w:val="007A618D"/>
    <w:rsid w:val="007A63BE"/>
    <w:rsid w:val="007A6754"/>
    <w:rsid w:val="007A6F09"/>
    <w:rsid w:val="007B052E"/>
    <w:rsid w:val="007B0FF7"/>
    <w:rsid w:val="007B13FC"/>
    <w:rsid w:val="007B1E6A"/>
    <w:rsid w:val="007B2127"/>
    <w:rsid w:val="007B2AF2"/>
    <w:rsid w:val="007B2C12"/>
    <w:rsid w:val="007B32EC"/>
    <w:rsid w:val="007B3C21"/>
    <w:rsid w:val="007B3E98"/>
    <w:rsid w:val="007B47E3"/>
    <w:rsid w:val="007B5A4E"/>
    <w:rsid w:val="007B60F9"/>
    <w:rsid w:val="007B6FD4"/>
    <w:rsid w:val="007B7B22"/>
    <w:rsid w:val="007C023A"/>
    <w:rsid w:val="007C1029"/>
    <w:rsid w:val="007C1CED"/>
    <w:rsid w:val="007C2189"/>
    <w:rsid w:val="007C3A45"/>
    <w:rsid w:val="007C57DC"/>
    <w:rsid w:val="007C5DB6"/>
    <w:rsid w:val="007C77EB"/>
    <w:rsid w:val="007C7AEE"/>
    <w:rsid w:val="007C7F1D"/>
    <w:rsid w:val="007D0B13"/>
    <w:rsid w:val="007D1D3E"/>
    <w:rsid w:val="007D2566"/>
    <w:rsid w:val="007D316D"/>
    <w:rsid w:val="007D450D"/>
    <w:rsid w:val="007D74D0"/>
    <w:rsid w:val="007E02A7"/>
    <w:rsid w:val="007E0B76"/>
    <w:rsid w:val="007E1474"/>
    <w:rsid w:val="007E19E1"/>
    <w:rsid w:val="007E2A56"/>
    <w:rsid w:val="007E3498"/>
    <w:rsid w:val="007E38DF"/>
    <w:rsid w:val="007E460D"/>
    <w:rsid w:val="007E49C2"/>
    <w:rsid w:val="007E4DCC"/>
    <w:rsid w:val="007E554A"/>
    <w:rsid w:val="007E57F9"/>
    <w:rsid w:val="007E5952"/>
    <w:rsid w:val="007E5982"/>
    <w:rsid w:val="007E6159"/>
    <w:rsid w:val="007E630E"/>
    <w:rsid w:val="007E7FEF"/>
    <w:rsid w:val="007F08C5"/>
    <w:rsid w:val="007F14CE"/>
    <w:rsid w:val="007F1668"/>
    <w:rsid w:val="007F1772"/>
    <w:rsid w:val="007F1C57"/>
    <w:rsid w:val="007F2298"/>
    <w:rsid w:val="007F269C"/>
    <w:rsid w:val="007F2C47"/>
    <w:rsid w:val="007F3E4A"/>
    <w:rsid w:val="007F57CF"/>
    <w:rsid w:val="007F5AA7"/>
    <w:rsid w:val="007F5B24"/>
    <w:rsid w:val="007F6A6A"/>
    <w:rsid w:val="007F72F8"/>
    <w:rsid w:val="007F7A13"/>
    <w:rsid w:val="008006B7"/>
    <w:rsid w:val="008007F2"/>
    <w:rsid w:val="00800B3C"/>
    <w:rsid w:val="00800B3D"/>
    <w:rsid w:val="00801894"/>
    <w:rsid w:val="0080273F"/>
    <w:rsid w:val="008028DD"/>
    <w:rsid w:val="00802AFC"/>
    <w:rsid w:val="00803A2E"/>
    <w:rsid w:val="00803ED8"/>
    <w:rsid w:val="008048F5"/>
    <w:rsid w:val="008052E6"/>
    <w:rsid w:val="00805361"/>
    <w:rsid w:val="008057BA"/>
    <w:rsid w:val="0080789E"/>
    <w:rsid w:val="008078C7"/>
    <w:rsid w:val="008108A4"/>
    <w:rsid w:val="00811CAA"/>
    <w:rsid w:val="00811F4D"/>
    <w:rsid w:val="008121BF"/>
    <w:rsid w:val="008126B5"/>
    <w:rsid w:val="00812746"/>
    <w:rsid w:val="008127E9"/>
    <w:rsid w:val="00812994"/>
    <w:rsid w:val="00813630"/>
    <w:rsid w:val="00813F26"/>
    <w:rsid w:val="00813FA4"/>
    <w:rsid w:val="008143E7"/>
    <w:rsid w:val="008149F5"/>
    <w:rsid w:val="0081519A"/>
    <w:rsid w:val="00815DCE"/>
    <w:rsid w:val="00816484"/>
    <w:rsid w:val="008171ED"/>
    <w:rsid w:val="008174C4"/>
    <w:rsid w:val="0082079E"/>
    <w:rsid w:val="00821166"/>
    <w:rsid w:val="00821E7C"/>
    <w:rsid w:val="00822655"/>
    <w:rsid w:val="00822967"/>
    <w:rsid w:val="008239CE"/>
    <w:rsid w:val="00823D3F"/>
    <w:rsid w:val="008248D2"/>
    <w:rsid w:val="008249F7"/>
    <w:rsid w:val="00824E49"/>
    <w:rsid w:val="008254FE"/>
    <w:rsid w:val="00825545"/>
    <w:rsid w:val="008271F5"/>
    <w:rsid w:val="008273DB"/>
    <w:rsid w:val="00830986"/>
    <w:rsid w:val="00831083"/>
    <w:rsid w:val="0083217A"/>
    <w:rsid w:val="00832EF9"/>
    <w:rsid w:val="008338E5"/>
    <w:rsid w:val="00833A49"/>
    <w:rsid w:val="00834DCC"/>
    <w:rsid w:val="008359C9"/>
    <w:rsid w:val="008360E4"/>
    <w:rsid w:val="00836E87"/>
    <w:rsid w:val="00837B82"/>
    <w:rsid w:val="00837ED8"/>
    <w:rsid w:val="0084050C"/>
    <w:rsid w:val="00841060"/>
    <w:rsid w:val="008421FD"/>
    <w:rsid w:val="00842676"/>
    <w:rsid w:val="0084303A"/>
    <w:rsid w:val="00844DF9"/>
    <w:rsid w:val="00845A48"/>
    <w:rsid w:val="0084640E"/>
    <w:rsid w:val="008467BD"/>
    <w:rsid w:val="0085128F"/>
    <w:rsid w:val="0085384F"/>
    <w:rsid w:val="00853872"/>
    <w:rsid w:val="00854D12"/>
    <w:rsid w:val="00856ACF"/>
    <w:rsid w:val="00857CA9"/>
    <w:rsid w:val="00857CAA"/>
    <w:rsid w:val="00860C3D"/>
    <w:rsid w:val="008610D3"/>
    <w:rsid w:val="008610F4"/>
    <w:rsid w:val="008614D4"/>
    <w:rsid w:val="00862860"/>
    <w:rsid w:val="008630F7"/>
    <w:rsid w:val="00863EB6"/>
    <w:rsid w:val="008642E1"/>
    <w:rsid w:val="00864413"/>
    <w:rsid w:val="008644F4"/>
    <w:rsid w:val="008647BA"/>
    <w:rsid w:val="00864999"/>
    <w:rsid w:val="00864AD4"/>
    <w:rsid w:val="00865790"/>
    <w:rsid w:val="0086647C"/>
    <w:rsid w:val="008670B8"/>
    <w:rsid w:val="00867234"/>
    <w:rsid w:val="00867572"/>
    <w:rsid w:val="008677F2"/>
    <w:rsid w:val="00867F6F"/>
    <w:rsid w:val="00870A37"/>
    <w:rsid w:val="00871003"/>
    <w:rsid w:val="00871256"/>
    <w:rsid w:val="0087265A"/>
    <w:rsid w:val="00873B03"/>
    <w:rsid w:val="00873B05"/>
    <w:rsid w:val="0087418A"/>
    <w:rsid w:val="00875DD4"/>
    <w:rsid w:val="00875FC1"/>
    <w:rsid w:val="00876174"/>
    <w:rsid w:val="00876FFB"/>
    <w:rsid w:val="008779F7"/>
    <w:rsid w:val="0088014B"/>
    <w:rsid w:val="00880241"/>
    <w:rsid w:val="0088274D"/>
    <w:rsid w:val="00882D89"/>
    <w:rsid w:val="00882F6F"/>
    <w:rsid w:val="00883DF0"/>
    <w:rsid w:val="00884154"/>
    <w:rsid w:val="0088522C"/>
    <w:rsid w:val="0088525F"/>
    <w:rsid w:val="008858F3"/>
    <w:rsid w:val="00885E77"/>
    <w:rsid w:val="008865F1"/>
    <w:rsid w:val="00886670"/>
    <w:rsid w:val="00886FE2"/>
    <w:rsid w:val="00887A8C"/>
    <w:rsid w:val="0089088C"/>
    <w:rsid w:val="00891632"/>
    <w:rsid w:val="008918AB"/>
    <w:rsid w:val="00892D17"/>
    <w:rsid w:val="0089370C"/>
    <w:rsid w:val="0089447D"/>
    <w:rsid w:val="00894BCE"/>
    <w:rsid w:val="00895E02"/>
    <w:rsid w:val="0089674B"/>
    <w:rsid w:val="008979AF"/>
    <w:rsid w:val="008A0698"/>
    <w:rsid w:val="008A0B8D"/>
    <w:rsid w:val="008A1983"/>
    <w:rsid w:val="008A1B5E"/>
    <w:rsid w:val="008A21A5"/>
    <w:rsid w:val="008A2653"/>
    <w:rsid w:val="008A2DA4"/>
    <w:rsid w:val="008A3A59"/>
    <w:rsid w:val="008A3A7B"/>
    <w:rsid w:val="008A3FA3"/>
    <w:rsid w:val="008A5DCE"/>
    <w:rsid w:val="008A6962"/>
    <w:rsid w:val="008A73EF"/>
    <w:rsid w:val="008B0092"/>
    <w:rsid w:val="008B00CC"/>
    <w:rsid w:val="008B1359"/>
    <w:rsid w:val="008B194A"/>
    <w:rsid w:val="008B287E"/>
    <w:rsid w:val="008B3BBA"/>
    <w:rsid w:val="008B3D2F"/>
    <w:rsid w:val="008B4525"/>
    <w:rsid w:val="008B456B"/>
    <w:rsid w:val="008B4992"/>
    <w:rsid w:val="008B57A2"/>
    <w:rsid w:val="008B5BA3"/>
    <w:rsid w:val="008B5F39"/>
    <w:rsid w:val="008B7CF6"/>
    <w:rsid w:val="008C0742"/>
    <w:rsid w:val="008C1764"/>
    <w:rsid w:val="008C17D7"/>
    <w:rsid w:val="008C26D1"/>
    <w:rsid w:val="008C296C"/>
    <w:rsid w:val="008C29B3"/>
    <w:rsid w:val="008C29EA"/>
    <w:rsid w:val="008C29FE"/>
    <w:rsid w:val="008C3672"/>
    <w:rsid w:val="008C3B15"/>
    <w:rsid w:val="008C474A"/>
    <w:rsid w:val="008C52A1"/>
    <w:rsid w:val="008C55F6"/>
    <w:rsid w:val="008C5724"/>
    <w:rsid w:val="008C718E"/>
    <w:rsid w:val="008C7259"/>
    <w:rsid w:val="008C7AE6"/>
    <w:rsid w:val="008D05EC"/>
    <w:rsid w:val="008D1A60"/>
    <w:rsid w:val="008D3415"/>
    <w:rsid w:val="008D399E"/>
    <w:rsid w:val="008D3E16"/>
    <w:rsid w:val="008D3F5A"/>
    <w:rsid w:val="008D480E"/>
    <w:rsid w:val="008D5348"/>
    <w:rsid w:val="008D5635"/>
    <w:rsid w:val="008D6741"/>
    <w:rsid w:val="008D78E5"/>
    <w:rsid w:val="008E0772"/>
    <w:rsid w:val="008E0E7A"/>
    <w:rsid w:val="008E143C"/>
    <w:rsid w:val="008E193F"/>
    <w:rsid w:val="008E1A99"/>
    <w:rsid w:val="008E3357"/>
    <w:rsid w:val="008E37B1"/>
    <w:rsid w:val="008E443A"/>
    <w:rsid w:val="008E44D6"/>
    <w:rsid w:val="008E460B"/>
    <w:rsid w:val="008E48F6"/>
    <w:rsid w:val="008E542D"/>
    <w:rsid w:val="008E5B96"/>
    <w:rsid w:val="008E7534"/>
    <w:rsid w:val="008E7FAE"/>
    <w:rsid w:val="008F0AB9"/>
    <w:rsid w:val="008F0B36"/>
    <w:rsid w:val="008F0B9D"/>
    <w:rsid w:val="008F0DEE"/>
    <w:rsid w:val="008F10B6"/>
    <w:rsid w:val="008F1AED"/>
    <w:rsid w:val="008F2760"/>
    <w:rsid w:val="008F3DB7"/>
    <w:rsid w:val="008F3EC4"/>
    <w:rsid w:val="008F3FBC"/>
    <w:rsid w:val="008F4452"/>
    <w:rsid w:val="008F524B"/>
    <w:rsid w:val="008F6134"/>
    <w:rsid w:val="008F69A7"/>
    <w:rsid w:val="008F6C15"/>
    <w:rsid w:val="008F6EBB"/>
    <w:rsid w:val="008F77C8"/>
    <w:rsid w:val="0090099C"/>
    <w:rsid w:val="00900BBD"/>
    <w:rsid w:val="009018D8"/>
    <w:rsid w:val="009019F3"/>
    <w:rsid w:val="00902099"/>
    <w:rsid w:val="00902564"/>
    <w:rsid w:val="00902B0C"/>
    <w:rsid w:val="00903CAF"/>
    <w:rsid w:val="00904278"/>
    <w:rsid w:val="009047A4"/>
    <w:rsid w:val="00904939"/>
    <w:rsid w:val="00905C76"/>
    <w:rsid w:val="0090669E"/>
    <w:rsid w:val="009071D4"/>
    <w:rsid w:val="00907986"/>
    <w:rsid w:val="009100FD"/>
    <w:rsid w:val="00910AD3"/>
    <w:rsid w:val="00910E1E"/>
    <w:rsid w:val="00912347"/>
    <w:rsid w:val="009129E8"/>
    <w:rsid w:val="00912A40"/>
    <w:rsid w:val="00912FD8"/>
    <w:rsid w:val="00912FFB"/>
    <w:rsid w:val="00913ADE"/>
    <w:rsid w:val="00914929"/>
    <w:rsid w:val="00914B0C"/>
    <w:rsid w:val="00915459"/>
    <w:rsid w:val="00916390"/>
    <w:rsid w:val="0091707F"/>
    <w:rsid w:val="00920004"/>
    <w:rsid w:val="009211A0"/>
    <w:rsid w:val="00921267"/>
    <w:rsid w:val="009226E6"/>
    <w:rsid w:val="00922FC9"/>
    <w:rsid w:val="0092393F"/>
    <w:rsid w:val="00926158"/>
    <w:rsid w:val="00926806"/>
    <w:rsid w:val="00926824"/>
    <w:rsid w:val="00926FFB"/>
    <w:rsid w:val="00930F43"/>
    <w:rsid w:val="00932481"/>
    <w:rsid w:val="00932F09"/>
    <w:rsid w:val="00934B9B"/>
    <w:rsid w:val="0093528E"/>
    <w:rsid w:val="00935755"/>
    <w:rsid w:val="00935DF5"/>
    <w:rsid w:val="00936225"/>
    <w:rsid w:val="00936A19"/>
    <w:rsid w:val="00936E24"/>
    <w:rsid w:val="009371A1"/>
    <w:rsid w:val="00937670"/>
    <w:rsid w:val="00937BAD"/>
    <w:rsid w:val="00937E92"/>
    <w:rsid w:val="0094027B"/>
    <w:rsid w:val="00941CE8"/>
    <w:rsid w:val="00942524"/>
    <w:rsid w:val="00942CEC"/>
    <w:rsid w:val="00943DB9"/>
    <w:rsid w:val="0094429B"/>
    <w:rsid w:val="009447DB"/>
    <w:rsid w:val="00944CA5"/>
    <w:rsid w:val="00945E2D"/>
    <w:rsid w:val="009465CC"/>
    <w:rsid w:val="00947D28"/>
    <w:rsid w:val="00947D5B"/>
    <w:rsid w:val="009500B8"/>
    <w:rsid w:val="00950916"/>
    <w:rsid w:val="00950CA5"/>
    <w:rsid w:val="0095148C"/>
    <w:rsid w:val="00951979"/>
    <w:rsid w:val="00952706"/>
    <w:rsid w:val="009528B9"/>
    <w:rsid w:val="00953410"/>
    <w:rsid w:val="0095485B"/>
    <w:rsid w:val="0095541B"/>
    <w:rsid w:val="00955446"/>
    <w:rsid w:val="00955BCE"/>
    <w:rsid w:val="009560A9"/>
    <w:rsid w:val="0095650C"/>
    <w:rsid w:val="00956E35"/>
    <w:rsid w:val="00957DD2"/>
    <w:rsid w:val="00960E03"/>
    <w:rsid w:val="00961B6C"/>
    <w:rsid w:val="00961D96"/>
    <w:rsid w:val="00961EDB"/>
    <w:rsid w:val="0096264D"/>
    <w:rsid w:val="00963613"/>
    <w:rsid w:val="00963806"/>
    <w:rsid w:val="00963FEC"/>
    <w:rsid w:val="0096501A"/>
    <w:rsid w:val="0096603B"/>
    <w:rsid w:val="00966222"/>
    <w:rsid w:val="00966277"/>
    <w:rsid w:val="00966EB6"/>
    <w:rsid w:val="00966F34"/>
    <w:rsid w:val="0096786E"/>
    <w:rsid w:val="00967B71"/>
    <w:rsid w:val="00970032"/>
    <w:rsid w:val="00970148"/>
    <w:rsid w:val="00971825"/>
    <w:rsid w:val="0097184E"/>
    <w:rsid w:val="009726A0"/>
    <w:rsid w:val="0097357D"/>
    <w:rsid w:val="00974B29"/>
    <w:rsid w:val="00974C13"/>
    <w:rsid w:val="0097745A"/>
    <w:rsid w:val="009803A3"/>
    <w:rsid w:val="009805D5"/>
    <w:rsid w:val="009806E2"/>
    <w:rsid w:val="00981CCD"/>
    <w:rsid w:val="00981E9D"/>
    <w:rsid w:val="00981F22"/>
    <w:rsid w:val="009822B4"/>
    <w:rsid w:val="00984726"/>
    <w:rsid w:val="00984D61"/>
    <w:rsid w:val="00984F73"/>
    <w:rsid w:val="009903C0"/>
    <w:rsid w:val="0099059C"/>
    <w:rsid w:val="009915B4"/>
    <w:rsid w:val="00991D41"/>
    <w:rsid w:val="009929EE"/>
    <w:rsid w:val="00992AD4"/>
    <w:rsid w:val="00992C5F"/>
    <w:rsid w:val="00993CBC"/>
    <w:rsid w:val="009947EE"/>
    <w:rsid w:val="00994CEB"/>
    <w:rsid w:val="0099541C"/>
    <w:rsid w:val="00995D7F"/>
    <w:rsid w:val="00996474"/>
    <w:rsid w:val="00996746"/>
    <w:rsid w:val="009A00E7"/>
    <w:rsid w:val="009A04B8"/>
    <w:rsid w:val="009A05AE"/>
    <w:rsid w:val="009A05BC"/>
    <w:rsid w:val="009A1617"/>
    <w:rsid w:val="009A1902"/>
    <w:rsid w:val="009A206E"/>
    <w:rsid w:val="009A30E8"/>
    <w:rsid w:val="009A33F2"/>
    <w:rsid w:val="009A37E9"/>
    <w:rsid w:val="009A3FD8"/>
    <w:rsid w:val="009A507E"/>
    <w:rsid w:val="009A58F6"/>
    <w:rsid w:val="009A68B9"/>
    <w:rsid w:val="009B05F5"/>
    <w:rsid w:val="009B1353"/>
    <w:rsid w:val="009B161B"/>
    <w:rsid w:val="009B191C"/>
    <w:rsid w:val="009B1FA9"/>
    <w:rsid w:val="009B4A86"/>
    <w:rsid w:val="009B542E"/>
    <w:rsid w:val="009B59E2"/>
    <w:rsid w:val="009B6224"/>
    <w:rsid w:val="009B7D91"/>
    <w:rsid w:val="009C0FDB"/>
    <w:rsid w:val="009C13F4"/>
    <w:rsid w:val="009C3360"/>
    <w:rsid w:val="009C3D4D"/>
    <w:rsid w:val="009C466D"/>
    <w:rsid w:val="009C57B1"/>
    <w:rsid w:val="009C617A"/>
    <w:rsid w:val="009C6B00"/>
    <w:rsid w:val="009C6C52"/>
    <w:rsid w:val="009C7C1C"/>
    <w:rsid w:val="009D0187"/>
    <w:rsid w:val="009D12A5"/>
    <w:rsid w:val="009D153D"/>
    <w:rsid w:val="009D1C44"/>
    <w:rsid w:val="009D3459"/>
    <w:rsid w:val="009D3989"/>
    <w:rsid w:val="009D40CD"/>
    <w:rsid w:val="009D4ECB"/>
    <w:rsid w:val="009D56CC"/>
    <w:rsid w:val="009D609A"/>
    <w:rsid w:val="009D666E"/>
    <w:rsid w:val="009D6B67"/>
    <w:rsid w:val="009D70CF"/>
    <w:rsid w:val="009D7ADB"/>
    <w:rsid w:val="009E0006"/>
    <w:rsid w:val="009E0D57"/>
    <w:rsid w:val="009E11F0"/>
    <w:rsid w:val="009E1776"/>
    <w:rsid w:val="009E1D5E"/>
    <w:rsid w:val="009E1F70"/>
    <w:rsid w:val="009E25E2"/>
    <w:rsid w:val="009E2999"/>
    <w:rsid w:val="009E2CE0"/>
    <w:rsid w:val="009E46CD"/>
    <w:rsid w:val="009E4C75"/>
    <w:rsid w:val="009E5143"/>
    <w:rsid w:val="009E5B9F"/>
    <w:rsid w:val="009E5D23"/>
    <w:rsid w:val="009E6973"/>
    <w:rsid w:val="009E73F8"/>
    <w:rsid w:val="009E762E"/>
    <w:rsid w:val="009F0891"/>
    <w:rsid w:val="009F0F33"/>
    <w:rsid w:val="009F1181"/>
    <w:rsid w:val="009F2020"/>
    <w:rsid w:val="009F27C8"/>
    <w:rsid w:val="009F2DA0"/>
    <w:rsid w:val="009F2F4F"/>
    <w:rsid w:val="009F3E99"/>
    <w:rsid w:val="009F467D"/>
    <w:rsid w:val="009F5ED7"/>
    <w:rsid w:val="009F6A6C"/>
    <w:rsid w:val="009F6ACE"/>
    <w:rsid w:val="009F721A"/>
    <w:rsid w:val="009F7C8A"/>
    <w:rsid w:val="00A00626"/>
    <w:rsid w:val="00A00D24"/>
    <w:rsid w:val="00A01FEF"/>
    <w:rsid w:val="00A039A2"/>
    <w:rsid w:val="00A04096"/>
    <w:rsid w:val="00A046BE"/>
    <w:rsid w:val="00A047B9"/>
    <w:rsid w:val="00A04A07"/>
    <w:rsid w:val="00A04E74"/>
    <w:rsid w:val="00A0512A"/>
    <w:rsid w:val="00A05C57"/>
    <w:rsid w:val="00A05F3B"/>
    <w:rsid w:val="00A064E8"/>
    <w:rsid w:val="00A06777"/>
    <w:rsid w:val="00A0705A"/>
    <w:rsid w:val="00A0711E"/>
    <w:rsid w:val="00A10667"/>
    <w:rsid w:val="00A10B42"/>
    <w:rsid w:val="00A11EE0"/>
    <w:rsid w:val="00A121DB"/>
    <w:rsid w:val="00A12B7E"/>
    <w:rsid w:val="00A131AE"/>
    <w:rsid w:val="00A13417"/>
    <w:rsid w:val="00A14A86"/>
    <w:rsid w:val="00A15DEE"/>
    <w:rsid w:val="00A15ED4"/>
    <w:rsid w:val="00A20076"/>
    <w:rsid w:val="00A200D9"/>
    <w:rsid w:val="00A22850"/>
    <w:rsid w:val="00A230CD"/>
    <w:rsid w:val="00A24597"/>
    <w:rsid w:val="00A247DA"/>
    <w:rsid w:val="00A2505F"/>
    <w:rsid w:val="00A25BF4"/>
    <w:rsid w:val="00A25E92"/>
    <w:rsid w:val="00A271A3"/>
    <w:rsid w:val="00A30005"/>
    <w:rsid w:val="00A308E9"/>
    <w:rsid w:val="00A31275"/>
    <w:rsid w:val="00A33474"/>
    <w:rsid w:val="00A33843"/>
    <w:rsid w:val="00A33C30"/>
    <w:rsid w:val="00A33F80"/>
    <w:rsid w:val="00A34532"/>
    <w:rsid w:val="00A34564"/>
    <w:rsid w:val="00A3589A"/>
    <w:rsid w:val="00A35FDC"/>
    <w:rsid w:val="00A369ED"/>
    <w:rsid w:val="00A36AA0"/>
    <w:rsid w:val="00A37C76"/>
    <w:rsid w:val="00A400BC"/>
    <w:rsid w:val="00A40401"/>
    <w:rsid w:val="00A41438"/>
    <w:rsid w:val="00A41E45"/>
    <w:rsid w:val="00A41E99"/>
    <w:rsid w:val="00A41FDD"/>
    <w:rsid w:val="00A42DF4"/>
    <w:rsid w:val="00A44088"/>
    <w:rsid w:val="00A44CDE"/>
    <w:rsid w:val="00A453BA"/>
    <w:rsid w:val="00A457E4"/>
    <w:rsid w:val="00A4592E"/>
    <w:rsid w:val="00A4733A"/>
    <w:rsid w:val="00A47BC0"/>
    <w:rsid w:val="00A50B17"/>
    <w:rsid w:val="00A51267"/>
    <w:rsid w:val="00A51E48"/>
    <w:rsid w:val="00A528FB"/>
    <w:rsid w:val="00A53396"/>
    <w:rsid w:val="00A536A5"/>
    <w:rsid w:val="00A54243"/>
    <w:rsid w:val="00A55723"/>
    <w:rsid w:val="00A563C9"/>
    <w:rsid w:val="00A57106"/>
    <w:rsid w:val="00A57360"/>
    <w:rsid w:val="00A57BCE"/>
    <w:rsid w:val="00A57C2C"/>
    <w:rsid w:val="00A57FEF"/>
    <w:rsid w:val="00A61F4C"/>
    <w:rsid w:val="00A64393"/>
    <w:rsid w:val="00A64695"/>
    <w:rsid w:val="00A64940"/>
    <w:rsid w:val="00A651C6"/>
    <w:rsid w:val="00A65B5E"/>
    <w:rsid w:val="00A65E11"/>
    <w:rsid w:val="00A66A0D"/>
    <w:rsid w:val="00A676B5"/>
    <w:rsid w:val="00A679AB"/>
    <w:rsid w:val="00A67BF8"/>
    <w:rsid w:val="00A71211"/>
    <w:rsid w:val="00A71272"/>
    <w:rsid w:val="00A713FF"/>
    <w:rsid w:val="00A71463"/>
    <w:rsid w:val="00A71E4C"/>
    <w:rsid w:val="00A72A5C"/>
    <w:rsid w:val="00A72B79"/>
    <w:rsid w:val="00A730B4"/>
    <w:rsid w:val="00A734A1"/>
    <w:rsid w:val="00A74945"/>
    <w:rsid w:val="00A74FE0"/>
    <w:rsid w:val="00A766A9"/>
    <w:rsid w:val="00A8024B"/>
    <w:rsid w:val="00A80C53"/>
    <w:rsid w:val="00A8126F"/>
    <w:rsid w:val="00A8148E"/>
    <w:rsid w:val="00A8200F"/>
    <w:rsid w:val="00A821A8"/>
    <w:rsid w:val="00A82BD8"/>
    <w:rsid w:val="00A84138"/>
    <w:rsid w:val="00A84CB1"/>
    <w:rsid w:val="00A8512E"/>
    <w:rsid w:val="00A8561D"/>
    <w:rsid w:val="00A856FC"/>
    <w:rsid w:val="00A857CC"/>
    <w:rsid w:val="00A86795"/>
    <w:rsid w:val="00A86CE7"/>
    <w:rsid w:val="00A86EBA"/>
    <w:rsid w:val="00A87328"/>
    <w:rsid w:val="00A930AA"/>
    <w:rsid w:val="00A942F1"/>
    <w:rsid w:val="00A9469C"/>
    <w:rsid w:val="00A94C39"/>
    <w:rsid w:val="00A97B42"/>
    <w:rsid w:val="00AA07F6"/>
    <w:rsid w:val="00AA168C"/>
    <w:rsid w:val="00AA19C9"/>
    <w:rsid w:val="00AA1CA1"/>
    <w:rsid w:val="00AA23E6"/>
    <w:rsid w:val="00AA2910"/>
    <w:rsid w:val="00AA2C2D"/>
    <w:rsid w:val="00AA31EB"/>
    <w:rsid w:val="00AA33B0"/>
    <w:rsid w:val="00AA4B8D"/>
    <w:rsid w:val="00AA4DFC"/>
    <w:rsid w:val="00AA4E1B"/>
    <w:rsid w:val="00AA5AB5"/>
    <w:rsid w:val="00AA7164"/>
    <w:rsid w:val="00AA798B"/>
    <w:rsid w:val="00AA7C37"/>
    <w:rsid w:val="00AB00B1"/>
    <w:rsid w:val="00AB0857"/>
    <w:rsid w:val="00AB0C47"/>
    <w:rsid w:val="00AB0FD9"/>
    <w:rsid w:val="00AB15A0"/>
    <w:rsid w:val="00AB15B0"/>
    <w:rsid w:val="00AB25A4"/>
    <w:rsid w:val="00AB33D9"/>
    <w:rsid w:val="00AB35A8"/>
    <w:rsid w:val="00AB40D0"/>
    <w:rsid w:val="00AB5B9F"/>
    <w:rsid w:val="00AB696E"/>
    <w:rsid w:val="00AB73D0"/>
    <w:rsid w:val="00AB7977"/>
    <w:rsid w:val="00AB7BE0"/>
    <w:rsid w:val="00AC0F51"/>
    <w:rsid w:val="00AC0F94"/>
    <w:rsid w:val="00AC1EB0"/>
    <w:rsid w:val="00AC2193"/>
    <w:rsid w:val="00AC2223"/>
    <w:rsid w:val="00AC2407"/>
    <w:rsid w:val="00AC285A"/>
    <w:rsid w:val="00AC2FF5"/>
    <w:rsid w:val="00AC53F3"/>
    <w:rsid w:val="00AC57E5"/>
    <w:rsid w:val="00AC5E73"/>
    <w:rsid w:val="00AC5E94"/>
    <w:rsid w:val="00AC6284"/>
    <w:rsid w:val="00AC66C4"/>
    <w:rsid w:val="00AC6842"/>
    <w:rsid w:val="00AC6C40"/>
    <w:rsid w:val="00AC714A"/>
    <w:rsid w:val="00AC78F8"/>
    <w:rsid w:val="00AD0E57"/>
    <w:rsid w:val="00AD17FD"/>
    <w:rsid w:val="00AD1CDC"/>
    <w:rsid w:val="00AD2735"/>
    <w:rsid w:val="00AD37D9"/>
    <w:rsid w:val="00AD3C66"/>
    <w:rsid w:val="00AD40B8"/>
    <w:rsid w:val="00AD4250"/>
    <w:rsid w:val="00AD4529"/>
    <w:rsid w:val="00AD6DB3"/>
    <w:rsid w:val="00AD7508"/>
    <w:rsid w:val="00AD7711"/>
    <w:rsid w:val="00AE00E3"/>
    <w:rsid w:val="00AE02D7"/>
    <w:rsid w:val="00AE0C99"/>
    <w:rsid w:val="00AE0EB0"/>
    <w:rsid w:val="00AE159C"/>
    <w:rsid w:val="00AE15F0"/>
    <w:rsid w:val="00AE1A58"/>
    <w:rsid w:val="00AE21F2"/>
    <w:rsid w:val="00AE24EE"/>
    <w:rsid w:val="00AE2D36"/>
    <w:rsid w:val="00AE3233"/>
    <w:rsid w:val="00AE38B9"/>
    <w:rsid w:val="00AE3C00"/>
    <w:rsid w:val="00AE3EA8"/>
    <w:rsid w:val="00AE426A"/>
    <w:rsid w:val="00AE4E4E"/>
    <w:rsid w:val="00AE50C7"/>
    <w:rsid w:val="00AE5292"/>
    <w:rsid w:val="00AE546A"/>
    <w:rsid w:val="00AE6FD6"/>
    <w:rsid w:val="00AE763A"/>
    <w:rsid w:val="00AF0A07"/>
    <w:rsid w:val="00AF0E2E"/>
    <w:rsid w:val="00AF1E39"/>
    <w:rsid w:val="00AF1EBE"/>
    <w:rsid w:val="00AF210A"/>
    <w:rsid w:val="00AF426A"/>
    <w:rsid w:val="00AF4500"/>
    <w:rsid w:val="00AF4A23"/>
    <w:rsid w:val="00AF4A29"/>
    <w:rsid w:val="00AF4AA6"/>
    <w:rsid w:val="00AF4BB9"/>
    <w:rsid w:val="00AF538E"/>
    <w:rsid w:val="00AF5421"/>
    <w:rsid w:val="00AF5FBC"/>
    <w:rsid w:val="00AF712E"/>
    <w:rsid w:val="00AF71F8"/>
    <w:rsid w:val="00AF77D9"/>
    <w:rsid w:val="00B00438"/>
    <w:rsid w:val="00B00F2E"/>
    <w:rsid w:val="00B01059"/>
    <w:rsid w:val="00B01850"/>
    <w:rsid w:val="00B020DF"/>
    <w:rsid w:val="00B0210F"/>
    <w:rsid w:val="00B035CB"/>
    <w:rsid w:val="00B0396F"/>
    <w:rsid w:val="00B04995"/>
    <w:rsid w:val="00B0560F"/>
    <w:rsid w:val="00B0593A"/>
    <w:rsid w:val="00B05BE3"/>
    <w:rsid w:val="00B06493"/>
    <w:rsid w:val="00B0696B"/>
    <w:rsid w:val="00B06DDC"/>
    <w:rsid w:val="00B071FC"/>
    <w:rsid w:val="00B075D4"/>
    <w:rsid w:val="00B1086B"/>
    <w:rsid w:val="00B116A6"/>
    <w:rsid w:val="00B1176C"/>
    <w:rsid w:val="00B1192F"/>
    <w:rsid w:val="00B11E44"/>
    <w:rsid w:val="00B1248D"/>
    <w:rsid w:val="00B14867"/>
    <w:rsid w:val="00B14DB4"/>
    <w:rsid w:val="00B163D0"/>
    <w:rsid w:val="00B1680C"/>
    <w:rsid w:val="00B16BAD"/>
    <w:rsid w:val="00B16DD4"/>
    <w:rsid w:val="00B17C66"/>
    <w:rsid w:val="00B20339"/>
    <w:rsid w:val="00B22BDA"/>
    <w:rsid w:val="00B234A7"/>
    <w:rsid w:val="00B23B67"/>
    <w:rsid w:val="00B246AA"/>
    <w:rsid w:val="00B24BC0"/>
    <w:rsid w:val="00B252B1"/>
    <w:rsid w:val="00B25E1A"/>
    <w:rsid w:val="00B26CF1"/>
    <w:rsid w:val="00B303D0"/>
    <w:rsid w:val="00B30DC2"/>
    <w:rsid w:val="00B31F25"/>
    <w:rsid w:val="00B34702"/>
    <w:rsid w:val="00B34B1B"/>
    <w:rsid w:val="00B35DD3"/>
    <w:rsid w:val="00B3648E"/>
    <w:rsid w:val="00B373D0"/>
    <w:rsid w:val="00B37604"/>
    <w:rsid w:val="00B40ABC"/>
    <w:rsid w:val="00B41394"/>
    <w:rsid w:val="00B41895"/>
    <w:rsid w:val="00B41CA8"/>
    <w:rsid w:val="00B42557"/>
    <w:rsid w:val="00B43780"/>
    <w:rsid w:val="00B437B9"/>
    <w:rsid w:val="00B4416C"/>
    <w:rsid w:val="00B4779C"/>
    <w:rsid w:val="00B47CF5"/>
    <w:rsid w:val="00B47E2F"/>
    <w:rsid w:val="00B50682"/>
    <w:rsid w:val="00B5099E"/>
    <w:rsid w:val="00B50F98"/>
    <w:rsid w:val="00B51152"/>
    <w:rsid w:val="00B5211B"/>
    <w:rsid w:val="00B52E69"/>
    <w:rsid w:val="00B5317E"/>
    <w:rsid w:val="00B532E9"/>
    <w:rsid w:val="00B53419"/>
    <w:rsid w:val="00B53A39"/>
    <w:rsid w:val="00B5469E"/>
    <w:rsid w:val="00B54D70"/>
    <w:rsid w:val="00B55CB4"/>
    <w:rsid w:val="00B564E8"/>
    <w:rsid w:val="00B57B4B"/>
    <w:rsid w:val="00B6072F"/>
    <w:rsid w:val="00B6095A"/>
    <w:rsid w:val="00B60AE4"/>
    <w:rsid w:val="00B60EF1"/>
    <w:rsid w:val="00B615A3"/>
    <w:rsid w:val="00B61831"/>
    <w:rsid w:val="00B61EB5"/>
    <w:rsid w:val="00B629CF"/>
    <w:rsid w:val="00B630D6"/>
    <w:rsid w:val="00B63355"/>
    <w:rsid w:val="00B6396D"/>
    <w:rsid w:val="00B64986"/>
    <w:rsid w:val="00B653EA"/>
    <w:rsid w:val="00B660CF"/>
    <w:rsid w:val="00B660F2"/>
    <w:rsid w:val="00B66672"/>
    <w:rsid w:val="00B67179"/>
    <w:rsid w:val="00B674CB"/>
    <w:rsid w:val="00B677CF"/>
    <w:rsid w:val="00B702AD"/>
    <w:rsid w:val="00B702EA"/>
    <w:rsid w:val="00B71321"/>
    <w:rsid w:val="00B7251A"/>
    <w:rsid w:val="00B73761"/>
    <w:rsid w:val="00B73AB4"/>
    <w:rsid w:val="00B73F9F"/>
    <w:rsid w:val="00B7417E"/>
    <w:rsid w:val="00B74253"/>
    <w:rsid w:val="00B74418"/>
    <w:rsid w:val="00B74518"/>
    <w:rsid w:val="00B7669F"/>
    <w:rsid w:val="00B7694C"/>
    <w:rsid w:val="00B76A09"/>
    <w:rsid w:val="00B76E43"/>
    <w:rsid w:val="00B77573"/>
    <w:rsid w:val="00B825C6"/>
    <w:rsid w:val="00B8304B"/>
    <w:rsid w:val="00B837EF"/>
    <w:rsid w:val="00B83EC0"/>
    <w:rsid w:val="00B847AA"/>
    <w:rsid w:val="00B859C4"/>
    <w:rsid w:val="00B85DF7"/>
    <w:rsid w:val="00B85E0D"/>
    <w:rsid w:val="00B8662F"/>
    <w:rsid w:val="00B86A9D"/>
    <w:rsid w:val="00B86D66"/>
    <w:rsid w:val="00B87204"/>
    <w:rsid w:val="00B87263"/>
    <w:rsid w:val="00B87D81"/>
    <w:rsid w:val="00B87F47"/>
    <w:rsid w:val="00B901B0"/>
    <w:rsid w:val="00B90545"/>
    <w:rsid w:val="00B93236"/>
    <w:rsid w:val="00B939D0"/>
    <w:rsid w:val="00B942F6"/>
    <w:rsid w:val="00B94478"/>
    <w:rsid w:val="00B94BCF"/>
    <w:rsid w:val="00B954D2"/>
    <w:rsid w:val="00B95E59"/>
    <w:rsid w:val="00B96ADD"/>
    <w:rsid w:val="00B96D2A"/>
    <w:rsid w:val="00B96E8D"/>
    <w:rsid w:val="00BA0A62"/>
    <w:rsid w:val="00BA12CC"/>
    <w:rsid w:val="00BA1391"/>
    <w:rsid w:val="00BA14D3"/>
    <w:rsid w:val="00BA1672"/>
    <w:rsid w:val="00BA1837"/>
    <w:rsid w:val="00BA185C"/>
    <w:rsid w:val="00BA1D25"/>
    <w:rsid w:val="00BA2BD9"/>
    <w:rsid w:val="00BA2E44"/>
    <w:rsid w:val="00BA3569"/>
    <w:rsid w:val="00BA4472"/>
    <w:rsid w:val="00BA4973"/>
    <w:rsid w:val="00BA49AD"/>
    <w:rsid w:val="00BA750F"/>
    <w:rsid w:val="00BB085F"/>
    <w:rsid w:val="00BB15BA"/>
    <w:rsid w:val="00BB1874"/>
    <w:rsid w:val="00BB18DE"/>
    <w:rsid w:val="00BB2559"/>
    <w:rsid w:val="00BB2FBD"/>
    <w:rsid w:val="00BB3EDE"/>
    <w:rsid w:val="00BB4066"/>
    <w:rsid w:val="00BB41E5"/>
    <w:rsid w:val="00BB5794"/>
    <w:rsid w:val="00BB5B14"/>
    <w:rsid w:val="00BB5C6E"/>
    <w:rsid w:val="00BB6411"/>
    <w:rsid w:val="00BB6526"/>
    <w:rsid w:val="00BB6FA0"/>
    <w:rsid w:val="00BB765E"/>
    <w:rsid w:val="00BB7A07"/>
    <w:rsid w:val="00BC03C4"/>
    <w:rsid w:val="00BC18C4"/>
    <w:rsid w:val="00BC1BDC"/>
    <w:rsid w:val="00BC214E"/>
    <w:rsid w:val="00BC22FA"/>
    <w:rsid w:val="00BC28FD"/>
    <w:rsid w:val="00BC3677"/>
    <w:rsid w:val="00BC373F"/>
    <w:rsid w:val="00BC4727"/>
    <w:rsid w:val="00BC4AED"/>
    <w:rsid w:val="00BC5365"/>
    <w:rsid w:val="00BC5964"/>
    <w:rsid w:val="00BC7AC2"/>
    <w:rsid w:val="00BC7CBC"/>
    <w:rsid w:val="00BD02D0"/>
    <w:rsid w:val="00BD0B90"/>
    <w:rsid w:val="00BD1584"/>
    <w:rsid w:val="00BD1A87"/>
    <w:rsid w:val="00BD1F06"/>
    <w:rsid w:val="00BD341B"/>
    <w:rsid w:val="00BD3620"/>
    <w:rsid w:val="00BD3C60"/>
    <w:rsid w:val="00BD4667"/>
    <w:rsid w:val="00BD5DCB"/>
    <w:rsid w:val="00BD624E"/>
    <w:rsid w:val="00BD6453"/>
    <w:rsid w:val="00BD6BB5"/>
    <w:rsid w:val="00BD7474"/>
    <w:rsid w:val="00BD7A6D"/>
    <w:rsid w:val="00BE0B02"/>
    <w:rsid w:val="00BE146B"/>
    <w:rsid w:val="00BE1664"/>
    <w:rsid w:val="00BE1E37"/>
    <w:rsid w:val="00BE2703"/>
    <w:rsid w:val="00BE2F99"/>
    <w:rsid w:val="00BE3986"/>
    <w:rsid w:val="00BE3E72"/>
    <w:rsid w:val="00BE41CC"/>
    <w:rsid w:val="00BE45A7"/>
    <w:rsid w:val="00BE512C"/>
    <w:rsid w:val="00BE67F8"/>
    <w:rsid w:val="00BE6D60"/>
    <w:rsid w:val="00BE73C4"/>
    <w:rsid w:val="00BE7496"/>
    <w:rsid w:val="00BF0B9E"/>
    <w:rsid w:val="00BF2077"/>
    <w:rsid w:val="00BF210E"/>
    <w:rsid w:val="00BF2763"/>
    <w:rsid w:val="00BF2AA7"/>
    <w:rsid w:val="00BF368F"/>
    <w:rsid w:val="00BF4267"/>
    <w:rsid w:val="00BF67A2"/>
    <w:rsid w:val="00BF698A"/>
    <w:rsid w:val="00BF75EC"/>
    <w:rsid w:val="00C00698"/>
    <w:rsid w:val="00C0071A"/>
    <w:rsid w:val="00C0078B"/>
    <w:rsid w:val="00C014AA"/>
    <w:rsid w:val="00C01BBA"/>
    <w:rsid w:val="00C01EF2"/>
    <w:rsid w:val="00C01F6E"/>
    <w:rsid w:val="00C028D7"/>
    <w:rsid w:val="00C02B18"/>
    <w:rsid w:val="00C02CE2"/>
    <w:rsid w:val="00C03B3C"/>
    <w:rsid w:val="00C0446D"/>
    <w:rsid w:val="00C04DFB"/>
    <w:rsid w:val="00C04FFB"/>
    <w:rsid w:val="00C05B17"/>
    <w:rsid w:val="00C06801"/>
    <w:rsid w:val="00C06E58"/>
    <w:rsid w:val="00C07162"/>
    <w:rsid w:val="00C07323"/>
    <w:rsid w:val="00C077BD"/>
    <w:rsid w:val="00C07960"/>
    <w:rsid w:val="00C10DB0"/>
    <w:rsid w:val="00C111B9"/>
    <w:rsid w:val="00C115B4"/>
    <w:rsid w:val="00C118F9"/>
    <w:rsid w:val="00C11E72"/>
    <w:rsid w:val="00C14992"/>
    <w:rsid w:val="00C1521E"/>
    <w:rsid w:val="00C157FA"/>
    <w:rsid w:val="00C15AE4"/>
    <w:rsid w:val="00C170EF"/>
    <w:rsid w:val="00C17474"/>
    <w:rsid w:val="00C17F11"/>
    <w:rsid w:val="00C20188"/>
    <w:rsid w:val="00C208B4"/>
    <w:rsid w:val="00C20C5B"/>
    <w:rsid w:val="00C21973"/>
    <w:rsid w:val="00C21B3D"/>
    <w:rsid w:val="00C22362"/>
    <w:rsid w:val="00C234EE"/>
    <w:rsid w:val="00C24A29"/>
    <w:rsid w:val="00C25ACD"/>
    <w:rsid w:val="00C27642"/>
    <w:rsid w:val="00C27D8E"/>
    <w:rsid w:val="00C27DF8"/>
    <w:rsid w:val="00C301DB"/>
    <w:rsid w:val="00C30B86"/>
    <w:rsid w:val="00C31CCD"/>
    <w:rsid w:val="00C31D4A"/>
    <w:rsid w:val="00C3208D"/>
    <w:rsid w:val="00C323D4"/>
    <w:rsid w:val="00C32FB9"/>
    <w:rsid w:val="00C33194"/>
    <w:rsid w:val="00C3402D"/>
    <w:rsid w:val="00C34700"/>
    <w:rsid w:val="00C34B8A"/>
    <w:rsid w:val="00C35513"/>
    <w:rsid w:val="00C35D4E"/>
    <w:rsid w:val="00C3656E"/>
    <w:rsid w:val="00C36596"/>
    <w:rsid w:val="00C367B2"/>
    <w:rsid w:val="00C367C6"/>
    <w:rsid w:val="00C3727C"/>
    <w:rsid w:val="00C37A73"/>
    <w:rsid w:val="00C37AC2"/>
    <w:rsid w:val="00C41691"/>
    <w:rsid w:val="00C4191E"/>
    <w:rsid w:val="00C41B2F"/>
    <w:rsid w:val="00C423EB"/>
    <w:rsid w:val="00C428DD"/>
    <w:rsid w:val="00C4293C"/>
    <w:rsid w:val="00C433AE"/>
    <w:rsid w:val="00C43B93"/>
    <w:rsid w:val="00C44127"/>
    <w:rsid w:val="00C445E2"/>
    <w:rsid w:val="00C445F7"/>
    <w:rsid w:val="00C44B2F"/>
    <w:rsid w:val="00C45216"/>
    <w:rsid w:val="00C453AE"/>
    <w:rsid w:val="00C46EC7"/>
    <w:rsid w:val="00C472D2"/>
    <w:rsid w:val="00C47514"/>
    <w:rsid w:val="00C50A1F"/>
    <w:rsid w:val="00C51604"/>
    <w:rsid w:val="00C52241"/>
    <w:rsid w:val="00C52247"/>
    <w:rsid w:val="00C5311C"/>
    <w:rsid w:val="00C532D9"/>
    <w:rsid w:val="00C53FA2"/>
    <w:rsid w:val="00C54199"/>
    <w:rsid w:val="00C54254"/>
    <w:rsid w:val="00C558E6"/>
    <w:rsid w:val="00C56261"/>
    <w:rsid w:val="00C56D11"/>
    <w:rsid w:val="00C575AD"/>
    <w:rsid w:val="00C6019C"/>
    <w:rsid w:val="00C605B9"/>
    <w:rsid w:val="00C60F2D"/>
    <w:rsid w:val="00C6121B"/>
    <w:rsid w:val="00C62657"/>
    <w:rsid w:val="00C6266B"/>
    <w:rsid w:val="00C62C06"/>
    <w:rsid w:val="00C630F1"/>
    <w:rsid w:val="00C631F3"/>
    <w:rsid w:val="00C63874"/>
    <w:rsid w:val="00C638B0"/>
    <w:rsid w:val="00C6399D"/>
    <w:rsid w:val="00C643F9"/>
    <w:rsid w:val="00C64ABA"/>
    <w:rsid w:val="00C64FFA"/>
    <w:rsid w:val="00C65548"/>
    <w:rsid w:val="00C66596"/>
    <w:rsid w:val="00C667DE"/>
    <w:rsid w:val="00C66A06"/>
    <w:rsid w:val="00C66EAF"/>
    <w:rsid w:val="00C67810"/>
    <w:rsid w:val="00C70179"/>
    <w:rsid w:val="00C708AD"/>
    <w:rsid w:val="00C70C48"/>
    <w:rsid w:val="00C71AD7"/>
    <w:rsid w:val="00C72305"/>
    <w:rsid w:val="00C72EBF"/>
    <w:rsid w:val="00C73658"/>
    <w:rsid w:val="00C7477D"/>
    <w:rsid w:val="00C74D92"/>
    <w:rsid w:val="00C754AB"/>
    <w:rsid w:val="00C75B36"/>
    <w:rsid w:val="00C75DF2"/>
    <w:rsid w:val="00C75F01"/>
    <w:rsid w:val="00C76372"/>
    <w:rsid w:val="00C766C0"/>
    <w:rsid w:val="00C76BFA"/>
    <w:rsid w:val="00C8004A"/>
    <w:rsid w:val="00C808E3"/>
    <w:rsid w:val="00C81066"/>
    <w:rsid w:val="00C81393"/>
    <w:rsid w:val="00C818A6"/>
    <w:rsid w:val="00C818C4"/>
    <w:rsid w:val="00C82825"/>
    <w:rsid w:val="00C82C9C"/>
    <w:rsid w:val="00C82F39"/>
    <w:rsid w:val="00C83608"/>
    <w:rsid w:val="00C84159"/>
    <w:rsid w:val="00C84398"/>
    <w:rsid w:val="00C84847"/>
    <w:rsid w:val="00C856B0"/>
    <w:rsid w:val="00C864F5"/>
    <w:rsid w:val="00C87115"/>
    <w:rsid w:val="00C87A4A"/>
    <w:rsid w:val="00C91040"/>
    <w:rsid w:val="00C91899"/>
    <w:rsid w:val="00C92FDC"/>
    <w:rsid w:val="00C93962"/>
    <w:rsid w:val="00C93970"/>
    <w:rsid w:val="00C941CD"/>
    <w:rsid w:val="00C954CE"/>
    <w:rsid w:val="00C9685A"/>
    <w:rsid w:val="00C977D8"/>
    <w:rsid w:val="00CA0702"/>
    <w:rsid w:val="00CA1763"/>
    <w:rsid w:val="00CA18E7"/>
    <w:rsid w:val="00CA1EAF"/>
    <w:rsid w:val="00CA1FDF"/>
    <w:rsid w:val="00CA268F"/>
    <w:rsid w:val="00CA32DD"/>
    <w:rsid w:val="00CA373A"/>
    <w:rsid w:val="00CA3CA2"/>
    <w:rsid w:val="00CA3EFC"/>
    <w:rsid w:val="00CA3F22"/>
    <w:rsid w:val="00CA437B"/>
    <w:rsid w:val="00CA6024"/>
    <w:rsid w:val="00CA72D3"/>
    <w:rsid w:val="00CA751F"/>
    <w:rsid w:val="00CB193A"/>
    <w:rsid w:val="00CB36BC"/>
    <w:rsid w:val="00CB3D0E"/>
    <w:rsid w:val="00CB42E0"/>
    <w:rsid w:val="00CB4B12"/>
    <w:rsid w:val="00CB4BD4"/>
    <w:rsid w:val="00CB5DFA"/>
    <w:rsid w:val="00CB6BBC"/>
    <w:rsid w:val="00CB7830"/>
    <w:rsid w:val="00CB7CCA"/>
    <w:rsid w:val="00CB7ED9"/>
    <w:rsid w:val="00CC003D"/>
    <w:rsid w:val="00CC0AF2"/>
    <w:rsid w:val="00CC2682"/>
    <w:rsid w:val="00CC2A22"/>
    <w:rsid w:val="00CC2AB3"/>
    <w:rsid w:val="00CC36CE"/>
    <w:rsid w:val="00CC3D86"/>
    <w:rsid w:val="00CC4720"/>
    <w:rsid w:val="00CC48A7"/>
    <w:rsid w:val="00CC5068"/>
    <w:rsid w:val="00CC6691"/>
    <w:rsid w:val="00CC6800"/>
    <w:rsid w:val="00CC6986"/>
    <w:rsid w:val="00CC6ED9"/>
    <w:rsid w:val="00CC6EDB"/>
    <w:rsid w:val="00CC73B3"/>
    <w:rsid w:val="00CC73F1"/>
    <w:rsid w:val="00CC784E"/>
    <w:rsid w:val="00CC7FD6"/>
    <w:rsid w:val="00CD0ED9"/>
    <w:rsid w:val="00CD16BE"/>
    <w:rsid w:val="00CD357A"/>
    <w:rsid w:val="00CD357E"/>
    <w:rsid w:val="00CD4199"/>
    <w:rsid w:val="00CD4C67"/>
    <w:rsid w:val="00CD4FBE"/>
    <w:rsid w:val="00CD51D6"/>
    <w:rsid w:val="00CD6285"/>
    <w:rsid w:val="00CD67A4"/>
    <w:rsid w:val="00CE070A"/>
    <w:rsid w:val="00CE0D0A"/>
    <w:rsid w:val="00CE0DEA"/>
    <w:rsid w:val="00CE12D6"/>
    <w:rsid w:val="00CE26E5"/>
    <w:rsid w:val="00CE2814"/>
    <w:rsid w:val="00CE298B"/>
    <w:rsid w:val="00CE3946"/>
    <w:rsid w:val="00CE4629"/>
    <w:rsid w:val="00CE51F5"/>
    <w:rsid w:val="00CE5A7E"/>
    <w:rsid w:val="00CE5E93"/>
    <w:rsid w:val="00CE65C5"/>
    <w:rsid w:val="00CE7311"/>
    <w:rsid w:val="00CE78B6"/>
    <w:rsid w:val="00CE7B4C"/>
    <w:rsid w:val="00CF16B5"/>
    <w:rsid w:val="00CF1A47"/>
    <w:rsid w:val="00CF258E"/>
    <w:rsid w:val="00CF37C2"/>
    <w:rsid w:val="00CF3C54"/>
    <w:rsid w:val="00CF5368"/>
    <w:rsid w:val="00CF5E4B"/>
    <w:rsid w:val="00CF6ACD"/>
    <w:rsid w:val="00CF6B83"/>
    <w:rsid w:val="00CF6FEF"/>
    <w:rsid w:val="00CF772F"/>
    <w:rsid w:val="00D00CBD"/>
    <w:rsid w:val="00D00EDB"/>
    <w:rsid w:val="00D0118A"/>
    <w:rsid w:val="00D02246"/>
    <w:rsid w:val="00D029E6"/>
    <w:rsid w:val="00D036BC"/>
    <w:rsid w:val="00D036F5"/>
    <w:rsid w:val="00D038D2"/>
    <w:rsid w:val="00D03EB8"/>
    <w:rsid w:val="00D0437C"/>
    <w:rsid w:val="00D04A2B"/>
    <w:rsid w:val="00D04C04"/>
    <w:rsid w:val="00D05B7A"/>
    <w:rsid w:val="00D05FD0"/>
    <w:rsid w:val="00D063C8"/>
    <w:rsid w:val="00D073B0"/>
    <w:rsid w:val="00D075B6"/>
    <w:rsid w:val="00D07E7B"/>
    <w:rsid w:val="00D106BA"/>
    <w:rsid w:val="00D10CAB"/>
    <w:rsid w:val="00D10EBF"/>
    <w:rsid w:val="00D10F1D"/>
    <w:rsid w:val="00D12B9D"/>
    <w:rsid w:val="00D13DD6"/>
    <w:rsid w:val="00D13FF1"/>
    <w:rsid w:val="00D14155"/>
    <w:rsid w:val="00D1491A"/>
    <w:rsid w:val="00D162F1"/>
    <w:rsid w:val="00D17AF4"/>
    <w:rsid w:val="00D20B67"/>
    <w:rsid w:val="00D21765"/>
    <w:rsid w:val="00D21A5C"/>
    <w:rsid w:val="00D21AE1"/>
    <w:rsid w:val="00D21FC0"/>
    <w:rsid w:val="00D22486"/>
    <w:rsid w:val="00D23044"/>
    <w:rsid w:val="00D230EB"/>
    <w:rsid w:val="00D23327"/>
    <w:rsid w:val="00D23EF6"/>
    <w:rsid w:val="00D2435D"/>
    <w:rsid w:val="00D243FA"/>
    <w:rsid w:val="00D247BE"/>
    <w:rsid w:val="00D24A54"/>
    <w:rsid w:val="00D253D2"/>
    <w:rsid w:val="00D26A03"/>
    <w:rsid w:val="00D26BCC"/>
    <w:rsid w:val="00D27277"/>
    <w:rsid w:val="00D273AA"/>
    <w:rsid w:val="00D27AC9"/>
    <w:rsid w:val="00D30138"/>
    <w:rsid w:val="00D3072A"/>
    <w:rsid w:val="00D30B4C"/>
    <w:rsid w:val="00D3185D"/>
    <w:rsid w:val="00D32004"/>
    <w:rsid w:val="00D328D4"/>
    <w:rsid w:val="00D33001"/>
    <w:rsid w:val="00D33EEB"/>
    <w:rsid w:val="00D3469E"/>
    <w:rsid w:val="00D348EE"/>
    <w:rsid w:val="00D35FD0"/>
    <w:rsid w:val="00D36C11"/>
    <w:rsid w:val="00D37E59"/>
    <w:rsid w:val="00D4000A"/>
    <w:rsid w:val="00D40363"/>
    <w:rsid w:val="00D40404"/>
    <w:rsid w:val="00D4094B"/>
    <w:rsid w:val="00D40FC4"/>
    <w:rsid w:val="00D42628"/>
    <w:rsid w:val="00D4288E"/>
    <w:rsid w:val="00D42F0C"/>
    <w:rsid w:val="00D434DE"/>
    <w:rsid w:val="00D43998"/>
    <w:rsid w:val="00D442D2"/>
    <w:rsid w:val="00D44559"/>
    <w:rsid w:val="00D45E08"/>
    <w:rsid w:val="00D46497"/>
    <w:rsid w:val="00D46E3B"/>
    <w:rsid w:val="00D509F4"/>
    <w:rsid w:val="00D50A19"/>
    <w:rsid w:val="00D50EFB"/>
    <w:rsid w:val="00D51DF8"/>
    <w:rsid w:val="00D52291"/>
    <w:rsid w:val="00D529D6"/>
    <w:rsid w:val="00D53449"/>
    <w:rsid w:val="00D534EE"/>
    <w:rsid w:val="00D54106"/>
    <w:rsid w:val="00D544CF"/>
    <w:rsid w:val="00D54DE5"/>
    <w:rsid w:val="00D55096"/>
    <w:rsid w:val="00D557AB"/>
    <w:rsid w:val="00D560C4"/>
    <w:rsid w:val="00D575B2"/>
    <w:rsid w:val="00D5765F"/>
    <w:rsid w:val="00D5790D"/>
    <w:rsid w:val="00D57C12"/>
    <w:rsid w:val="00D57D73"/>
    <w:rsid w:val="00D57F58"/>
    <w:rsid w:val="00D61470"/>
    <w:rsid w:val="00D61685"/>
    <w:rsid w:val="00D617CB"/>
    <w:rsid w:val="00D6201B"/>
    <w:rsid w:val="00D63089"/>
    <w:rsid w:val="00D656CA"/>
    <w:rsid w:val="00D65D10"/>
    <w:rsid w:val="00D65E0D"/>
    <w:rsid w:val="00D67345"/>
    <w:rsid w:val="00D675F5"/>
    <w:rsid w:val="00D705FD"/>
    <w:rsid w:val="00D71345"/>
    <w:rsid w:val="00D71606"/>
    <w:rsid w:val="00D720D5"/>
    <w:rsid w:val="00D72BC4"/>
    <w:rsid w:val="00D72BF8"/>
    <w:rsid w:val="00D746B1"/>
    <w:rsid w:val="00D75082"/>
    <w:rsid w:val="00D7587E"/>
    <w:rsid w:val="00D75986"/>
    <w:rsid w:val="00D75DF3"/>
    <w:rsid w:val="00D75EA6"/>
    <w:rsid w:val="00D75F7E"/>
    <w:rsid w:val="00D762F2"/>
    <w:rsid w:val="00D77136"/>
    <w:rsid w:val="00D773FD"/>
    <w:rsid w:val="00D77EFF"/>
    <w:rsid w:val="00D80355"/>
    <w:rsid w:val="00D80615"/>
    <w:rsid w:val="00D80C60"/>
    <w:rsid w:val="00D80E2C"/>
    <w:rsid w:val="00D810B3"/>
    <w:rsid w:val="00D825A3"/>
    <w:rsid w:val="00D82A4D"/>
    <w:rsid w:val="00D82AF0"/>
    <w:rsid w:val="00D82E87"/>
    <w:rsid w:val="00D833BC"/>
    <w:rsid w:val="00D849CD"/>
    <w:rsid w:val="00D86620"/>
    <w:rsid w:val="00D87647"/>
    <w:rsid w:val="00D91A60"/>
    <w:rsid w:val="00D92ACD"/>
    <w:rsid w:val="00D92DA0"/>
    <w:rsid w:val="00D937A1"/>
    <w:rsid w:val="00D937FD"/>
    <w:rsid w:val="00D94030"/>
    <w:rsid w:val="00D9417A"/>
    <w:rsid w:val="00D942E1"/>
    <w:rsid w:val="00D96500"/>
    <w:rsid w:val="00D96907"/>
    <w:rsid w:val="00D96E09"/>
    <w:rsid w:val="00D971A1"/>
    <w:rsid w:val="00DA3C2F"/>
    <w:rsid w:val="00DA4D79"/>
    <w:rsid w:val="00DA5068"/>
    <w:rsid w:val="00DA560A"/>
    <w:rsid w:val="00DA607D"/>
    <w:rsid w:val="00DA6897"/>
    <w:rsid w:val="00DA6AA8"/>
    <w:rsid w:val="00DA6E22"/>
    <w:rsid w:val="00DA770C"/>
    <w:rsid w:val="00DA7C4E"/>
    <w:rsid w:val="00DA7DFA"/>
    <w:rsid w:val="00DB08FA"/>
    <w:rsid w:val="00DB1925"/>
    <w:rsid w:val="00DB1A82"/>
    <w:rsid w:val="00DB1B1B"/>
    <w:rsid w:val="00DB1B6A"/>
    <w:rsid w:val="00DB1C74"/>
    <w:rsid w:val="00DB2876"/>
    <w:rsid w:val="00DB2B6F"/>
    <w:rsid w:val="00DB2D3E"/>
    <w:rsid w:val="00DB2EB7"/>
    <w:rsid w:val="00DB320D"/>
    <w:rsid w:val="00DB33FE"/>
    <w:rsid w:val="00DB3437"/>
    <w:rsid w:val="00DB3E4F"/>
    <w:rsid w:val="00DB3ED3"/>
    <w:rsid w:val="00DB4567"/>
    <w:rsid w:val="00DB4763"/>
    <w:rsid w:val="00DB4DCA"/>
    <w:rsid w:val="00DB5C67"/>
    <w:rsid w:val="00DB6DED"/>
    <w:rsid w:val="00DC0DB6"/>
    <w:rsid w:val="00DC109B"/>
    <w:rsid w:val="00DC1641"/>
    <w:rsid w:val="00DC28B1"/>
    <w:rsid w:val="00DC2CF8"/>
    <w:rsid w:val="00DC36D4"/>
    <w:rsid w:val="00DC3F4B"/>
    <w:rsid w:val="00DC46F5"/>
    <w:rsid w:val="00DC4945"/>
    <w:rsid w:val="00DC4EEF"/>
    <w:rsid w:val="00DC5DDD"/>
    <w:rsid w:val="00DC6045"/>
    <w:rsid w:val="00DC6911"/>
    <w:rsid w:val="00DC69B1"/>
    <w:rsid w:val="00DD0C0C"/>
    <w:rsid w:val="00DD143A"/>
    <w:rsid w:val="00DD1F71"/>
    <w:rsid w:val="00DD2F9C"/>
    <w:rsid w:val="00DD379C"/>
    <w:rsid w:val="00DD3FE2"/>
    <w:rsid w:val="00DD5F42"/>
    <w:rsid w:val="00DD6766"/>
    <w:rsid w:val="00DD75B3"/>
    <w:rsid w:val="00DE0078"/>
    <w:rsid w:val="00DE0C61"/>
    <w:rsid w:val="00DE0E26"/>
    <w:rsid w:val="00DE1B2E"/>
    <w:rsid w:val="00DE247F"/>
    <w:rsid w:val="00DE2CCA"/>
    <w:rsid w:val="00DE3CED"/>
    <w:rsid w:val="00DE4037"/>
    <w:rsid w:val="00DE7DD6"/>
    <w:rsid w:val="00DF04CD"/>
    <w:rsid w:val="00DF1A2A"/>
    <w:rsid w:val="00DF290F"/>
    <w:rsid w:val="00DF3AEE"/>
    <w:rsid w:val="00DF4677"/>
    <w:rsid w:val="00DF5D57"/>
    <w:rsid w:val="00DF6337"/>
    <w:rsid w:val="00DF77F5"/>
    <w:rsid w:val="00E006AC"/>
    <w:rsid w:val="00E008CB"/>
    <w:rsid w:val="00E00A47"/>
    <w:rsid w:val="00E022DD"/>
    <w:rsid w:val="00E028F1"/>
    <w:rsid w:val="00E03C00"/>
    <w:rsid w:val="00E04513"/>
    <w:rsid w:val="00E04562"/>
    <w:rsid w:val="00E05378"/>
    <w:rsid w:val="00E0630A"/>
    <w:rsid w:val="00E06342"/>
    <w:rsid w:val="00E069EE"/>
    <w:rsid w:val="00E06B28"/>
    <w:rsid w:val="00E06CDA"/>
    <w:rsid w:val="00E07FE4"/>
    <w:rsid w:val="00E10EF0"/>
    <w:rsid w:val="00E11A4E"/>
    <w:rsid w:val="00E1223D"/>
    <w:rsid w:val="00E12A20"/>
    <w:rsid w:val="00E12A93"/>
    <w:rsid w:val="00E12E1B"/>
    <w:rsid w:val="00E13DA0"/>
    <w:rsid w:val="00E13DAB"/>
    <w:rsid w:val="00E1472D"/>
    <w:rsid w:val="00E14C52"/>
    <w:rsid w:val="00E14D43"/>
    <w:rsid w:val="00E15EB3"/>
    <w:rsid w:val="00E1602F"/>
    <w:rsid w:val="00E17141"/>
    <w:rsid w:val="00E173D1"/>
    <w:rsid w:val="00E20483"/>
    <w:rsid w:val="00E20A99"/>
    <w:rsid w:val="00E20B7C"/>
    <w:rsid w:val="00E21A00"/>
    <w:rsid w:val="00E21B42"/>
    <w:rsid w:val="00E2246F"/>
    <w:rsid w:val="00E22E3B"/>
    <w:rsid w:val="00E23119"/>
    <w:rsid w:val="00E231F4"/>
    <w:rsid w:val="00E248D1"/>
    <w:rsid w:val="00E24AAE"/>
    <w:rsid w:val="00E24F1E"/>
    <w:rsid w:val="00E2563A"/>
    <w:rsid w:val="00E25943"/>
    <w:rsid w:val="00E26229"/>
    <w:rsid w:val="00E269D8"/>
    <w:rsid w:val="00E27606"/>
    <w:rsid w:val="00E27705"/>
    <w:rsid w:val="00E27773"/>
    <w:rsid w:val="00E27D72"/>
    <w:rsid w:val="00E30795"/>
    <w:rsid w:val="00E309DC"/>
    <w:rsid w:val="00E30C93"/>
    <w:rsid w:val="00E31529"/>
    <w:rsid w:val="00E31788"/>
    <w:rsid w:val="00E34ECF"/>
    <w:rsid w:val="00E35FD0"/>
    <w:rsid w:val="00E36D51"/>
    <w:rsid w:val="00E37934"/>
    <w:rsid w:val="00E4057B"/>
    <w:rsid w:val="00E413E3"/>
    <w:rsid w:val="00E4359D"/>
    <w:rsid w:val="00E441FF"/>
    <w:rsid w:val="00E4447E"/>
    <w:rsid w:val="00E4504C"/>
    <w:rsid w:val="00E45271"/>
    <w:rsid w:val="00E4637F"/>
    <w:rsid w:val="00E46E7D"/>
    <w:rsid w:val="00E501F1"/>
    <w:rsid w:val="00E503C9"/>
    <w:rsid w:val="00E50A19"/>
    <w:rsid w:val="00E50F92"/>
    <w:rsid w:val="00E51AB5"/>
    <w:rsid w:val="00E51B6E"/>
    <w:rsid w:val="00E51C70"/>
    <w:rsid w:val="00E5255E"/>
    <w:rsid w:val="00E53BA7"/>
    <w:rsid w:val="00E5403A"/>
    <w:rsid w:val="00E545A4"/>
    <w:rsid w:val="00E54C24"/>
    <w:rsid w:val="00E5528F"/>
    <w:rsid w:val="00E553AC"/>
    <w:rsid w:val="00E56926"/>
    <w:rsid w:val="00E56B8A"/>
    <w:rsid w:val="00E603A0"/>
    <w:rsid w:val="00E60463"/>
    <w:rsid w:val="00E60515"/>
    <w:rsid w:val="00E61312"/>
    <w:rsid w:val="00E61346"/>
    <w:rsid w:val="00E61AB9"/>
    <w:rsid w:val="00E6250A"/>
    <w:rsid w:val="00E62AFB"/>
    <w:rsid w:val="00E63200"/>
    <w:rsid w:val="00E64056"/>
    <w:rsid w:val="00E641B9"/>
    <w:rsid w:val="00E64702"/>
    <w:rsid w:val="00E659BC"/>
    <w:rsid w:val="00E65ADC"/>
    <w:rsid w:val="00E65FAA"/>
    <w:rsid w:val="00E66631"/>
    <w:rsid w:val="00E670F7"/>
    <w:rsid w:val="00E70CEC"/>
    <w:rsid w:val="00E70DDE"/>
    <w:rsid w:val="00E70E84"/>
    <w:rsid w:val="00E71112"/>
    <w:rsid w:val="00E724E1"/>
    <w:rsid w:val="00E72924"/>
    <w:rsid w:val="00E72991"/>
    <w:rsid w:val="00E72D48"/>
    <w:rsid w:val="00E73E84"/>
    <w:rsid w:val="00E75203"/>
    <w:rsid w:val="00E7520D"/>
    <w:rsid w:val="00E753ED"/>
    <w:rsid w:val="00E75550"/>
    <w:rsid w:val="00E76079"/>
    <w:rsid w:val="00E77840"/>
    <w:rsid w:val="00E77D05"/>
    <w:rsid w:val="00E77F4E"/>
    <w:rsid w:val="00E8056B"/>
    <w:rsid w:val="00E80839"/>
    <w:rsid w:val="00E809C0"/>
    <w:rsid w:val="00E81137"/>
    <w:rsid w:val="00E814CB"/>
    <w:rsid w:val="00E82A19"/>
    <w:rsid w:val="00E830F2"/>
    <w:rsid w:val="00E83536"/>
    <w:rsid w:val="00E83928"/>
    <w:rsid w:val="00E8421A"/>
    <w:rsid w:val="00E84262"/>
    <w:rsid w:val="00E84786"/>
    <w:rsid w:val="00E84A94"/>
    <w:rsid w:val="00E84D2C"/>
    <w:rsid w:val="00E85195"/>
    <w:rsid w:val="00E868DC"/>
    <w:rsid w:val="00E86FA9"/>
    <w:rsid w:val="00E87188"/>
    <w:rsid w:val="00E8733E"/>
    <w:rsid w:val="00E8752F"/>
    <w:rsid w:val="00E87600"/>
    <w:rsid w:val="00E87E8F"/>
    <w:rsid w:val="00E90773"/>
    <w:rsid w:val="00E90782"/>
    <w:rsid w:val="00E90812"/>
    <w:rsid w:val="00E90970"/>
    <w:rsid w:val="00E90B4A"/>
    <w:rsid w:val="00E91C93"/>
    <w:rsid w:val="00E93C55"/>
    <w:rsid w:val="00E93D93"/>
    <w:rsid w:val="00E94196"/>
    <w:rsid w:val="00E94B9B"/>
    <w:rsid w:val="00E959CA"/>
    <w:rsid w:val="00E95C11"/>
    <w:rsid w:val="00E9736C"/>
    <w:rsid w:val="00E97B9D"/>
    <w:rsid w:val="00E97DB6"/>
    <w:rsid w:val="00EA013B"/>
    <w:rsid w:val="00EA0304"/>
    <w:rsid w:val="00EA0945"/>
    <w:rsid w:val="00EA0A74"/>
    <w:rsid w:val="00EA230B"/>
    <w:rsid w:val="00EA2476"/>
    <w:rsid w:val="00EA24C9"/>
    <w:rsid w:val="00EA2F46"/>
    <w:rsid w:val="00EA3365"/>
    <w:rsid w:val="00EA3458"/>
    <w:rsid w:val="00EA34BC"/>
    <w:rsid w:val="00EA364E"/>
    <w:rsid w:val="00EA3E42"/>
    <w:rsid w:val="00EA3FCB"/>
    <w:rsid w:val="00EA423A"/>
    <w:rsid w:val="00EA611D"/>
    <w:rsid w:val="00EB0A62"/>
    <w:rsid w:val="00EB0B76"/>
    <w:rsid w:val="00EB0CEB"/>
    <w:rsid w:val="00EB0EB2"/>
    <w:rsid w:val="00EB143E"/>
    <w:rsid w:val="00EB1F74"/>
    <w:rsid w:val="00EB568E"/>
    <w:rsid w:val="00EB5DD8"/>
    <w:rsid w:val="00EB6BAB"/>
    <w:rsid w:val="00EB723A"/>
    <w:rsid w:val="00EC0E44"/>
    <w:rsid w:val="00EC11A6"/>
    <w:rsid w:val="00EC17BD"/>
    <w:rsid w:val="00EC1C8A"/>
    <w:rsid w:val="00EC23F6"/>
    <w:rsid w:val="00EC24E4"/>
    <w:rsid w:val="00EC2BD2"/>
    <w:rsid w:val="00EC36A9"/>
    <w:rsid w:val="00EC3FF0"/>
    <w:rsid w:val="00EC4D6D"/>
    <w:rsid w:val="00EC5BE0"/>
    <w:rsid w:val="00EC6540"/>
    <w:rsid w:val="00EC69C8"/>
    <w:rsid w:val="00ED0CA8"/>
    <w:rsid w:val="00ED1720"/>
    <w:rsid w:val="00ED1EB3"/>
    <w:rsid w:val="00ED33C8"/>
    <w:rsid w:val="00ED3DCB"/>
    <w:rsid w:val="00ED3FD8"/>
    <w:rsid w:val="00ED4400"/>
    <w:rsid w:val="00ED5832"/>
    <w:rsid w:val="00EE00A9"/>
    <w:rsid w:val="00EE053A"/>
    <w:rsid w:val="00EE09A1"/>
    <w:rsid w:val="00EE1034"/>
    <w:rsid w:val="00EE18AD"/>
    <w:rsid w:val="00EE1FC0"/>
    <w:rsid w:val="00EE30F6"/>
    <w:rsid w:val="00EE3C12"/>
    <w:rsid w:val="00EE502A"/>
    <w:rsid w:val="00EE5398"/>
    <w:rsid w:val="00EE61AB"/>
    <w:rsid w:val="00EE647B"/>
    <w:rsid w:val="00EE72F1"/>
    <w:rsid w:val="00EE7843"/>
    <w:rsid w:val="00EF00FA"/>
    <w:rsid w:val="00EF0974"/>
    <w:rsid w:val="00EF1292"/>
    <w:rsid w:val="00EF16AE"/>
    <w:rsid w:val="00EF1CC9"/>
    <w:rsid w:val="00EF2BA6"/>
    <w:rsid w:val="00EF2F93"/>
    <w:rsid w:val="00EF3B28"/>
    <w:rsid w:val="00EF3E70"/>
    <w:rsid w:val="00EF3FFA"/>
    <w:rsid w:val="00EF4054"/>
    <w:rsid w:val="00EF4123"/>
    <w:rsid w:val="00EF436F"/>
    <w:rsid w:val="00EF4472"/>
    <w:rsid w:val="00EF47CD"/>
    <w:rsid w:val="00EF4DAE"/>
    <w:rsid w:val="00EF520D"/>
    <w:rsid w:val="00EF54C9"/>
    <w:rsid w:val="00EF6F05"/>
    <w:rsid w:val="00EF76E2"/>
    <w:rsid w:val="00EF78EF"/>
    <w:rsid w:val="00F008FA"/>
    <w:rsid w:val="00F0151D"/>
    <w:rsid w:val="00F01A15"/>
    <w:rsid w:val="00F02215"/>
    <w:rsid w:val="00F02821"/>
    <w:rsid w:val="00F02850"/>
    <w:rsid w:val="00F029E6"/>
    <w:rsid w:val="00F0379F"/>
    <w:rsid w:val="00F04462"/>
    <w:rsid w:val="00F05163"/>
    <w:rsid w:val="00F0555F"/>
    <w:rsid w:val="00F06DD4"/>
    <w:rsid w:val="00F07157"/>
    <w:rsid w:val="00F073EC"/>
    <w:rsid w:val="00F101FE"/>
    <w:rsid w:val="00F11B76"/>
    <w:rsid w:val="00F11D2F"/>
    <w:rsid w:val="00F131B0"/>
    <w:rsid w:val="00F13721"/>
    <w:rsid w:val="00F13B99"/>
    <w:rsid w:val="00F1486F"/>
    <w:rsid w:val="00F14AAF"/>
    <w:rsid w:val="00F16D07"/>
    <w:rsid w:val="00F16D3F"/>
    <w:rsid w:val="00F16D97"/>
    <w:rsid w:val="00F16F87"/>
    <w:rsid w:val="00F17ADC"/>
    <w:rsid w:val="00F22876"/>
    <w:rsid w:val="00F2297C"/>
    <w:rsid w:val="00F22EE4"/>
    <w:rsid w:val="00F2352E"/>
    <w:rsid w:val="00F2446E"/>
    <w:rsid w:val="00F24A47"/>
    <w:rsid w:val="00F251BA"/>
    <w:rsid w:val="00F26B74"/>
    <w:rsid w:val="00F277F2"/>
    <w:rsid w:val="00F27B8E"/>
    <w:rsid w:val="00F30671"/>
    <w:rsid w:val="00F3116A"/>
    <w:rsid w:val="00F31DF3"/>
    <w:rsid w:val="00F33139"/>
    <w:rsid w:val="00F340F5"/>
    <w:rsid w:val="00F34832"/>
    <w:rsid w:val="00F34C2C"/>
    <w:rsid w:val="00F357FA"/>
    <w:rsid w:val="00F35915"/>
    <w:rsid w:val="00F35A7A"/>
    <w:rsid w:val="00F35A8D"/>
    <w:rsid w:val="00F35D66"/>
    <w:rsid w:val="00F35F97"/>
    <w:rsid w:val="00F3633A"/>
    <w:rsid w:val="00F366EA"/>
    <w:rsid w:val="00F36854"/>
    <w:rsid w:val="00F36DF5"/>
    <w:rsid w:val="00F40618"/>
    <w:rsid w:val="00F418DA"/>
    <w:rsid w:val="00F41A97"/>
    <w:rsid w:val="00F41EA7"/>
    <w:rsid w:val="00F41F86"/>
    <w:rsid w:val="00F42309"/>
    <w:rsid w:val="00F4261E"/>
    <w:rsid w:val="00F426CB"/>
    <w:rsid w:val="00F4309E"/>
    <w:rsid w:val="00F4362D"/>
    <w:rsid w:val="00F45107"/>
    <w:rsid w:val="00F45198"/>
    <w:rsid w:val="00F45237"/>
    <w:rsid w:val="00F46C4D"/>
    <w:rsid w:val="00F47404"/>
    <w:rsid w:val="00F47DDD"/>
    <w:rsid w:val="00F50256"/>
    <w:rsid w:val="00F50268"/>
    <w:rsid w:val="00F50FCD"/>
    <w:rsid w:val="00F5167D"/>
    <w:rsid w:val="00F517D2"/>
    <w:rsid w:val="00F51B28"/>
    <w:rsid w:val="00F51BEF"/>
    <w:rsid w:val="00F51FE8"/>
    <w:rsid w:val="00F52F51"/>
    <w:rsid w:val="00F53C8A"/>
    <w:rsid w:val="00F544CD"/>
    <w:rsid w:val="00F54583"/>
    <w:rsid w:val="00F546E3"/>
    <w:rsid w:val="00F54BA4"/>
    <w:rsid w:val="00F56CE1"/>
    <w:rsid w:val="00F57236"/>
    <w:rsid w:val="00F57271"/>
    <w:rsid w:val="00F574B7"/>
    <w:rsid w:val="00F57AA7"/>
    <w:rsid w:val="00F623FA"/>
    <w:rsid w:val="00F627AA"/>
    <w:rsid w:val="00F65157"/>
    <w:rsid w:val="00F65F7C"/>
    <w:rsid w:val="00F7076C"/>
    <w:rsid w:val="00F711A2"/>
    <w:rsid w:val="00F71486"/>
    <w:rsid w:val="00F71BBD"/>
    <w:rsid w:val="00F72E2F"/>
    <w:rsid w:val="00F72EF7"/>
    <w:rsid w:val="00F732D2"/>
    <w:rsid w:val="00F74270"/>
    <w:rsid w:val="00F74585"/>
    <w:rsid w:val="00F745D4"/>
    <w:rsid w:val="00F74DE0"/>
    <w:rsid w:val="00F74F70"/>
    <w:rsid w:val="00F7546C"/>
    <w:rsid w:val="00F754DD"/>
    <w:rsid w:val="00F754E8"/>
    <w:rsid w:val="00F759DE"/>
    <w:rsid w:val="00F76EA8"/>
    <w:rsid w:val="00F76F88"/>
    <w:rsid w:val="00F77DE9"/>
    <w:rsid w:val="00F80099"/>
    <w:rsid w:val="00F808D7"/>
    <w:rsid w:val="00F80E26"/>
    <w:rsid w:val="00F81544"/>
    <w:rsid w:val="00F817FE"/>
    <w:rsid w:val="00F81B57"/>
    <w:rsid w:val="00F821C7"/>
    <w:rsid w:val="00F82420"/>
    <w:rsid w:val="00F8272A"/>
    <w:rsid w:val="00F82CD1"/>
    <w:rsid w:val="00F8332A"/>
    <w:rsid w:val="00F83965"/>
    <w:rsid w:val="00F83C4A"/>
    <w:rsid w:val="00F8423A"/>
    <w:rsid w:val="00F846E7"/>
    <w:rsid w:val="00F84E5F"/>
    <w:rsid w:val="00F85270"/>
    <w:rsid w:val="00F85444"/>
    <w:rsid w:val="00F85D42"/>
    <w:rsid w:val="00F86E1A"/>
    <w:rsid w:val="00F873A2"/>
    <w:rsid w:val="00F8751B"/>
    <w:rsid w:val="00F90062"/>
    <w:rsid w:val="00F90AB1"/>
    <w:rsid w:val="00F91384"/>
    <w:rsid w:val="00F91E02"/>
    <w:rsid w:val="00F92B0E"/>
    <w:rsid w:val="00F93824"/>
    <w:rsid w:val="00F94902"/>
    <w:rsid w:val="00F94E2F"/>
    <w:rsid w:val="00F9509E"/>
    <w:rsid w:val="00F95CAA"/>
    <w:rsid w:val="00F96087"/>
    <w:rsid w:val="00F96243"/>
    <w:rsid w:val="00F962A5"/>
    <w:rsid w:val="00F96829"/>
    <w:rsid w:val="00F9699E"/>
    <w:rsid w:val="00F9787D"/>
    <w:rsid w:val="00F978FE"/>
    <w:rsid w:val="00F97BBB"/>
    <w:rsid w:val="00FA0D59"/>
    <w:rsid w:val="00FA2195"/>
    <w:rsid w:val="00FA3DC8"/>
    <w:rsid w:val="00FA4792"/>
    <w:rsid w:val="00FA4EA9"/>
    <w:rsid w:val="00FA5679"/>
    <w:rsid w:val="00FA77C1"/>
    <w:rsid w:val="00FB08A4"/>
    <w:rsid w:val="00FB09A4"/>
    <w:rsid w:val="00FB0F07"/>
    <w:rsid w:val="00FB154D"/>
    <w:rsid w:val="00FB2369"/>
    <w:rsid w:val="00FB243D"/>
    <w:rsid w:val="00FB3765"/>
    <w:rsid w:val="00FB376F"/>
    <w:rsid w:val="00FB3B2B"/>
    <w:rsid w:val="00FB3FEF"/>
    <w:rsid w:val="00FB434C"/>
    <w:rsid w:val="00FB43F5"/>
    <w:rsid w:val="00FB5289"/>
    <w:rsid w:val="00FB5E8F"/>
    <w:rsid w:val="00FB743A"/>
    <w:rsid w:val="00FB744E"/>
    <w:rsid w:val="00FB74BD"/>
    <w:rsid w:val="00FB750C"/>
    <w:rsid w:val="00FB7F2B"/>
    <w:rsid w:val="00FC12C8"/>
    <w:rsid w:val="00FC1C95"/>
    <w:rsid w:val="00FC397E"/>
    <w:rsid w:val="00FC55F2"/>
    <w:rsid w:val="00FC61FA"/>
    <w:rsid w:val="00FC6C65"/>
    <w:rsid w:val="00FC6F7F"/>
    <w:rsid w:val="00FC73A2"/>
    <w:rsid w:val="00FD00D1"/>
    <w:rsid w:val="00FD070A"/>
    <w:rsid w:val="00FD1DC2"/>
    <w:rsid w:val="00FD27B5"/>
    <w:rsid w:val="00FD2C5A"/>
    <w:rsid w:val="00FD32BD"/>
    <w:rsid w:val="00FD500B"/>
    <w:rsid w:val="00FD50F1"/>
    <w:rsid w:val="00FD5153"/>
    <w:rsid w:val="00FD7761"/>
    <w:rsid w:val="00FE008C"/>
    <w:rsid w:val="00FE00D1"/>
    <w:rsid w:val="00FE00E7"/>
    <w:rsid w:val="00FE049F"/>
    <w:rsid w:val="00FE10D4"/>
    <w:rsid w:val="00FE19F2"/>
    <w:rsid w:val="00FE270F"/>
    <w:rsid w:val="00FE4010"/>
    <w:rsid w:val="00FE406A"/>
    <w:rsid w:val="00FE415B"/>
    <w:rsid w:val="00FE468D"/>
    <w:rsid w:val="00FE48E4"/>
    <w:rsid w:val="00FE4EE6"/>
    <w:rsid w:val="00FE5328"/>
    <w:rsid w:val="00FE63B5"/>
    <w:rsid w:val="00FE6B10"/>
    <w:rsid w:val="00FE7E75"/>
    <w:rsid w:val="00FE7F78"/>
    <w:rsid w:val="00FF079F"/>
    <w:rsid w:val="00FF1658"/>
    <w:rsid w:val="00FF1934"/>
    <w:rsid w:val="00FF1E6B"/>
    <w:rsid w:val="00FF3151"/>
    <w:rsid w:val="00FF3C53"/>
    <w:rsid w:val="00FF3F1E"/>
    <w:rsid w:val="00FF40AE"/>
    <w:rsid w:val="00FF442D"/>
    <w:rsid w:val="00FF51F2"/>
    <w:rsid w:val="00FF5D90"/>
    <w:rsid w:val="00FF6BDD"/>
    <w:rsid w:val="00FF7B05"/>
    <w:rsid w:val="00FF7F6F"/>
    <w:rsid w:val="01390BCC"/>
    <w:rsid w:val="0177366C"/>
    <w:rsid w:val="01773ED9"/>
    <w:rsid w:val="018F2EE2"/>
    <w:rsid w:val="019B3634"/>
    <w:rsid w:val="01C13DA7"/>
    <w:rsid w:val="01E563D4"/>
    <w:rsid w:val="01E8475F"/>
    <w:rsid w:val="01EC20E2"/>
    <w:rsid w:val="020512B5"/>
    <w:rsid w:val="021041E6"/>
    <w:rsid w:val="02262708"/>
    <w:rsid w:val="024C2B81"/>
    <w:rsid w:val="02780071"/>
    <w:rsid w:val="0297204E"/>
    <w:rsid w:val="02BC16C7"/>
    <w:rsid w:val="02BD0E7B"/>
    <w:rsid w:val="02C83C1F"/>
    <w:rsid w:val="02D41F55"/>
    <w:rsid w:val="02ED1C6E"/>
    <w:rsid w:val="02F97675"/>
    <w:rsid w:val="03035F14"/>
    <w:rsid w:val="030C2F61"/>
    <w:rsid w:val="037110C3"/>
    <w:rsid w:val="037201AF"/>
    <w:rsid w:val="03771769"/>
    <w:rsid w:val="03771E7F"/>
    <w:rsid w:val="037B0246"/>
    <w:rsid w:val="03B66504"/>
    <w:rsid w:val="03BE3F04"/>
    <w:rsid w:val="03C44FD4"/>
    <w:rsid w:val="03CE7CF1"/>
    <w:rsid w:val="03D91E73"/>
    <w:rsid w:val="03F97271"/>
    <w:rsid w:val="04160F0B"/>
    <w:rsid w:val="041E020C"/>
    <w:rsid w:val="042A0B87"/>
    <w:rsid w:val="04653BF5"/>
    <w:rsid w:val="047D5273"/>
    <w:rsid w:val="04815783"/>
    <w:rsid w:val="0487167C"/>
    <w:rsid w:val="04AC7938"/>
    <w:rsid w:val="04BB7F4A"/>
    <w:rsid w:val="04C86784"/>
    <w:rsid w:val="05633FF7"/>
    <w:rsid w:val="0599432F"/>
    <w:rsid w:val="05DD0DC2"/>
    <w:rsid w:val="05E91971"/>
    <w:rsid w:val="05FA6BDF"/>
    <w:rsid w:val="05FB7297"/>
    <w:rsid w:val="060976E7"/>
    <w:rsid w:val="06320500"/>
    <w:rsid w:val="066162CC"/>
    <w:rsid w:val="069D2ABC"/>
    <w:rsid w:val="06B52849"/>
    <w:rsid w:val="071B2025"/>
    <w:rsid w:val="07205638"/>
    <w:rsid w:val="07801501"/>
    <w:rsid w:val="07AB1048"/>
    <w:rsid w:val="07B27A2E"/>
    <w:rsid w:val="07BE62CF"/>
    <w:rsid w:val="07CB64AB"/>
    <w:rsid w:val="07E21384"/>
    <w:rsid w:val="080A6764"/>
    <w:rsid w:val="082B5124"/>
    <w:rsid w:val="082C13D9"/>
    <w:rsid w:val="08626C5A"/>
    <w:rsid w:val="088E04ED"/>
    <w:rsid w:val="08BB6F71"/>
    <w:rsid w:val="08D40CBE"/>
    <w:rsid w:val="091003CA"/>
    <w:rsid w:val="092447EC"/>
    <w:rsid w:val="093E6F77"/>
    <w:rsid w:val="09407AFA"/>
    <w:rsid w:val="0949563C"/>
    <w:rsid w:val="097E3F67"/>
    <w:rsid w:val="09F30B38"/>
    <w:rsid w:val="09FB0A94"/>
    <w:rsid w:val="09FD1E5E"/>
    <w:rsid w:val="0A156EF1"/>
    <w:rsid w:val="0A300C8C"/>
    <w:rsid w:val="0A4C6AD3"/>
    <w:rsid w:val="0A5D7C9D"/>
    <w:rsid w:val="0A670558"/>
    <w:rsid w:val="0A720708"/>
    <w:rsid w:val="0A951E77"/>
    <w:rsid w:val="0A9A6B7F"/>
    <w:rsid w:val="0AAE3E6E"/>
    <w:rsid w:val="0AC548EC"/>
    <w:rsid w:val="0B283EA6"/>
    <w:rsid w:val="0B6E1E26"/>
    <w:rsid w:val="0BAA10DF"/>
    <w:rsid w:val="0BAF40B8"/>
    <w:rsid w:val="0C1537F7"/>
    <w:rsid w:val="0C2C37FB"/>
    <w:rsid w:val="0C3E353A"/>
    <w:rsid w:val="0C4F3F31"/>
    <w:rsid w:val="0CB06EE6"/>
    <w:rsid w:val="0CF44850"/>
    <w:rsid w:val="0D123708"/>
    <w:rsid w:val="0D167322"/>
    <w:rsid w:val="0D3070B8"/>
    <w:rsid w:val="0D4912D9"/>
    <w:rsid w:val="0D6B0247"/>
    <w:rsid w:val="0DE13B1F"/>
    <w:rsid w:val="0DE74BA1"/>
    <w:rsid w:val="0E0C5F1C"/>
    <w:rsid w:val="0E122AE7"/>
    <w:rsid w:val="0E2A3B4F"/>
    <w:rsid w:val="0E502FC7"/>
    <w:rsid w:val="0E774EDA"/>
    <w:rsid w:val="0E7A2FC8"/>
    <w:rsid w:val="0E7E2286"/>
    <w:rsid w:val="0E880F3C"/>
    <w:rsid w:val="0EDB32C2"/>
    <w:rsid w:val="0F0B2AE2"/>
    <w:rsid w:val="0F205C72"/>
    <w:rsid w:val="0F825E34"/>
    <w:rsid w:val="0F85002B"/>
    <w:rsid w:val="0F9E2D14"/>
    <w:rsid w:val="0FA94931"/>
    <w:rsid w:val="0FAC011D"/>
    <w:rsid w:val="0FC71A98"/>
    <w:rsid w:val="0FEC2C08"/>
    <w:rsid w:val="102C3500"/>
    <w:rsid w:val="106F63B8"/>
    <w:rsid w:val="1087314D"/>
    <w:rsid w:val="108F25B6"/>
    <w:rsid w:val="10993885"/>
    <w:rsid w:val="10A124A6"/>
    <w:rsid w:val="10A6525C"/>
    <w:rsid w:val="10B244F7"/>
    <w:rsid w:val="10DA143E"/>
    <w:rsid w:val="10DC433A"/>
    <w:rsid w:val="10E96908"/>
    <w:rsid w:val="11267D7D"/>
    <w:rsid w:val="112B33F8"/>
    <w:rsid w:val="1187134A"/>
    <w:rsid w:val="11CB465D"/>
    <w:rsid w:val="11D91066"/>
    <w:rsid w:val="11DD55A3"/>
    <w:rsid w:val="123C4C6A"/>
    <w:rsid w:val="124331DE"/>
    <w:rsid w:val="12A77256"/>
    <w:rsid w:val="12B502CE"/>
    <w:rsid w:val="12DD2A3F"/>
    <w:rsid w:val="12F92BFB"/>
    <w:rsid w:val="13267B83"/>
    <w:rsid w:val="135A1288"/>
    <w:rsid w:val="13883D03"/>
    <w:rsid w:val="138E08A4"/>
    <w:rsid w:val="13AE0722"/>
    <w:rsid w:val="1485477B"/>
    <w:rsid w:val="14997EA7"/>
    <w:rsid w:val="14EC2E3E"/>
    <w:rsid w:val="15195A81"/>
    <w:rsid w:val="151A1FC1"/>
    <w:rsid w:val="152A4FA3"/>
    <w:rsid w:val="15455675"/>
    <w:rsid w:val="1563086A"/>
    <w:rsid w:val="157340CA"/>
    <w:rsid w:val="157718C1"/>
    <w:rsid w:val="15DD3DC4"/>
    <w:rsid w:val="15E84B86"/>
    <w:rsid w:val="15E87201"/>
    <w:rsid w:val="15F030AD"/>
    <w:rsid w:val="15FF1F8C"/>
    <w:rsid w:val="16184DFC"/>
    <w:rsid w:val="163732CD"/>
    <w:rsid w:val="16B97B3E"/>
    <w:rsid w:val="16FE7A74"/>
    <w:rsid w:val="170128D3"/>
    <w:rsid w:val="17032A5C"/>
    <w:rsid w:val="17710C68"/>
    <w:rsid w:val="18466626"/>
    <w:rsid w:val="1846767D"/>
    <w:rsid w:val="18573BCD"/>
    <w:rsid w:val="18637823"/>
    <w:rsid w:val="187A1D9E"/>
    <w:rsid w:val="188E6510"/>
    <w:rsid w:val="18982224"/>
    <w:rsid w:val="18AF7569"/>
    <w:rsid w:val="18B2237B"/>
    <w:rsid w:val="18D13410"/>
    <w:rsid w:val="18D7662F"/>
    <w:rsid w:val="18DF706A"/>
    <w:rsid w:val="18F45F0D"/>
    <w:rsid w:val="18FA33F6"/>
    <w:rsid w:val="190620FC"/>
    <w:rsid w:val="19103C45"/>
    <w:rsid w:val="194F0C63"/>
    <w:rsid w:val="1960657D"/>
    <w:rsid w:val="19941CBB"/>
    <w:rsid w:val="19B11C34"/>
    <w:rsid w:val="19B82A0F"/>
    <w:rsid w:val="19C835DB"/>
    <w:rsid w:val="19DC7FBE"/>
    <w:rsid w:val="19DD4A1B"/>
    <w:rsid w:val="19EA1D8E"/>
    <w:rsid w:val="19F44305"/>
    <w:rsid w:val="19F7064F"/>
    <w:rsid w:val="19FF7EC4"/>
    <w:rsid w:val="1A1C48E7"/>
    <w:rsid w:val="1A2521DD"/>
    <w:rsid w:val="1A2C0FB5"/>
    <w:rsid w:val="1A534D61"/>
    <w:rsid w:val="1A617A38"/>
    <w:rsid w:val="1ADB1EBF"/>
    <w:rsid w:val="1AF31C36"/>
    <w:rsid w:val="1AF476AD"/>
    <w:rsid w:val="1B0244E5"/>
    <w:rsid w:val="1B102383"/>
    <w:rsid w:val="1B222A0A"/>
    <w:rsid w:val="1B4B4B89"/>
    <w:rsid w:val="1B544B28"/>
    <w:rsid w:val="1B6D5705"/>
    <w:rsid w:val="1B901A10"/>
    <w:rsid w:val="1B98664F"/>
    <w:rsid w:val="1BDB1684"/>
    <w:rsid w:val="1BF965BD"/>
    <w:rsid w:val="1C0302FC"/>
    <w:rsid w:val="1C161DDD"/>
    <w:rsid w:val="1CAF6255"/>
    <w:rsid w:val="1CB1306B"/>
    <w:rsid w:val="1CE41EDC"/>
    <w:rsid w:val="1D162533"/>
    <w:rsid w:val="1D1722B1"/>
    <w:rsid w:val="1D444728"/>
    <w:rsid w:val="1D53709D"/>
    <w:rsid w:val="1D7B79D3"/>
    <w:rsid w:val="1D8C7CC6"/>
    <w:rsid w:val="1D9E41B6"/>
    <w:rsid w:val="1DB63878"/>
    <w:rsid w:val="1DB754FF"/>
    <w:rsid w:val="1DC767A9"/>
    <w:rsid w:val="1DDC4969"/>
    <w:rsid w:val="1E0153F8"/>
    <w:rsid w:val="1E2C58E8"/>
    <w:rsid w:val="1E346C03"/>
    <w:rsid w:val="1E6C3130"/>
    <w:rsid w:val="1E6F0833"/>
    <w:rsid w:val="1E7B7505"/>
    <w:rsid w:val="1E9C279D"/>
    <w:rsid w:val="1EE7283A"/>
    <w:rsid w:val="1EEB7D10"/>
    <w:rsid w:val="1EFA71A0"/>
    <w:rsid w:val="1F30765A"/>
    <w:rsid w:val="1F686DF4"/>
    <w:rsid w:val="1F7D1043"/>
    <w:rsid w:val="1F8C0A3B"/>
    <w:rsid w:val="1F8D6EB2"/>
    <w:rsid w:val="1FAC753E"/>
    <w:rsid w:val="1FF02946"/>
    <w:rsid w:val="200E0A62"/>
    <w:rsid w:val="20537E1E"/>
    <w:rsid w:val="20547378"/>
    <w:rsid w:val="209162DC"/>
    <w:rsid w:val="2095388F"/>
    <w:rsid w:val="20A0436C"/>
    <w:rsid w:val="20CA7EFE"/>
    <w:rsid w:val="20F01268"/>
    <w:rsid w:val="21101501"/>
    <w:rsid w:val="214D40AF"/>
    <w:rsid w:val="2154612D"/>
    <w:rsid w:val="21583CBD"/>
    <w:rsid w:val="21605915"/>
    <w:rsid w:val="217A1CED"/>
    <w:rsid w:val="21870A95"/>
    <w:rsid w:val="219B0F11"/>
    <w:rsid w:val="21AC66F5"/>
    <w:rsid w:val="21B64E39"/>
    <w:rsid w:val="21E01F75"/>
    <w:rsid w:val="221A1481"/>
    <w:rsid w:val="2268710B"/>
    <w:rsid w:val="227437CC"/>
    <w:rsid w:val="22EA3023"/>
    <w:rsid w:val="22F55E2B"/>
    <w:rsid w:val="22FE3F34"/>
    <w:rsid w:val="2312270F"/>
    <w:rsid w:val="23886779"/>
    <w:rsid w:val="23A820BE"/>
    <w:rsid w:val="23B46593"/>
    <w:rsid w:val="23D9206E"/>
    <w:rsid w:val="23E91185"/>
    <w:rsid w:val="23FE0BB4"/>
    <w:rsid w:val="243A46B7"/>
    <w:rsid w:val="243C33E3"/>
    <w:rsid w:val="248230A6"/>
    <w:rsid w:val="24A11586"/>
    <w:rsid w:val="24C96055"/>
    <w:rsid w:val="24CE5C6C"/>
    <w:rsid w:val="24E90D2F"/>
    <w:rsid w:val="24EC71E7"/>
    <w:rsid w:val="24F627AC"/>
    <w:rsid w:val="250A26FB"/>
    <w:rsid w:val="251D41E7"/>
    <w:rsid w:val="2532219B"/>
    <w:rsid w:val="253A0D01"/>
    <w:rsid w:val="25423C43"/>
    <w:rsid w:val="255B2F57"/>
    <w:rsid w:val="255C2942"/>
    <w:rsid w:val="25687E91"/>
    <w:rsid w:val="25860BBA"/>
    <w:rsid w:val="25E132DA"/>
    <w:rsid w:val="25EB3068"/>
    <w:rsid w:val="26092131"/>
    <w:rsid w:val="261D2D5B"/>
    <w:rsid w:val="264643DC"/>
    <w:rsid w:val="26523B3D"/>
    <w:rsid w:val="26537DE0"/>
    <w:rsid w:val="26553FFF"/>
    <w:rsid w:val="267D4CC7"/>
    <w:rsid w:val="26A60202"/>
    <w:rsid w:val="26B53104"/>
    <w:rsid w:val="26B56E44"/>
    <w:rsid w:val="26DA1B4A"/>
    <w:rsid w:val="26E64D9A"/>
    <w:rsid w:val="270033CA"/>
    <w:rsid w:val="27282D2C"/>
    <w:rsid w:val="27286E69"/>
    <w:rsid w:val="27357701"/>
    <w:rsid w:val="274F4698"/>
    <w:rsid w:val="2751016E"/>
    <w:rsid w:val="275F3B4D"/>
    <w:rsid w:val="27C52A7F"/>
    <w:rsid w:val="27D52B4D"/>
    <w:rsid w:val="27D9708A"/>
    <w:rsid w:val="27F609E8"/>
    <w:rsid w:val="286D4C33"/>
    <w:rsid w:val="28A54C15"/>
    <w:rsid w:val="28CD74CA"/>
    <w:rsid w:val="28D1367A"/>
    <w:rsid w:val="28ED24D4"/>
    <w:rsid w:val="28FE3486"/>
    <w:rsid w:val="29227315"/>
    <w:rsid w:val="293935AF"/>
    <w:rsid w:val="29670A22"/>
    <w:rsid w:val="296F6419"/>
    <w:rsid w:val="29B13146"/>
    <w:rsid w:val="2A0D6239"/>
    <w:rsid w:val="2A0F0460"/>
    <w:rsid w:val="2A1C0F07"/>
    <w:rsid w:val="2A385FDA"/>
    <w:rsid w:val="2A4A1EE9"/>
    <w:rsid w:val="2A607A61"/>
    <w:rsid w:val="2A7A74A1"/>
    <w:rsid w:val="2AC21256"/>
    <w:rsid w:val="2ACE35E1"/>
    <w:rsid w:val="2AFE6EE9"/>
    <w:rsid w:val="2B290A18"/>
    <w:rsid w:val="2B3A09C2"/>
    <w:rsid w:val="2B3B7413"/>
    <w:rsid w:val="2B57369B"/>
    <w:rsid w:val="2B5D3585"/>
    <w:rsid w:val="2B685109"/>
    <w:rsid w:val="2B69283A"/>
    <w:rsid w:val="2B6F150A"/>
    <w:rsid w:val="2B7733E2"/>
    <w:rsid w:val="2B817A17"/>
    <w:rsid w:val="2B8A1196"/>
    <w:rsid w:val="2B8F5467"/>
    <w:rsid w:val="2B9047B7"/>
    <w:rsid w:val="2BAA2542"/>
    <w:rsid w:val="2BAE323B"/>
    <w:rsid w:val="2BBB2D76"/>
    <w:rsid w:val="2BC76C50"/>
    <w:rsid w:val="2BD61607"/>
    <w:rsid w:val="2BF11668"/>
    <w:rsid w:val="2C5454F0"/>
    <w:rsid w:val="2C6170A5"/>
    <w:rsid w:val="2C711F8A"/>
    <w:rsid w:val="2CC6728E"/>
    <w:rsid w:val="2D214A86"/>
    <w:rsid w:val="2D260D0C"/>
    <w:rsid w:val="2D534CF6"/>
    <w:rsid w:val="2D574004"/>
    <w:rsid w:val="2D7B23E8"/>
    <w:rsid w:val="2D885155"/>
    <w:rsid w:val="2DA608F6"/>
    <w:rsid w:val="2DAE4BCF"/>
    <w:rsid w:val="2DDF0947"/>
    <w:rsid w:val="2DFF6B75"/>
    <w:rsid w:val="2E241F01"/>
    <w:rsid w:val="2E7A444E"/>
    <w:rsid w:val="2E8530BE"/>
    <w:rsid w:val="2E9215C0"/>
    <w:rsid w:val="2E944540"/>
    <w:rsid w:val="2EE8677C"/>
    <w:rsid w:val="2EED6B95"/>
    <w:rsid w:val="2F366D10"/>
    <w:rsid w:val="2F4018BE"/>
    <w:rsid w:val="2F4B2025"/>
    <w:rsid w:val="2F9037FD"/>
    <w:rsid w:val="2F971030"/>
    <w:rsid w:val="2FB938CC"/>
    <w:rsid w:val="2FBE1408"/>
    <w:rsid w:val="2FE3015E"/>
    <w:rsid w:val="2FEE2450"/>
    <w:rsid w:val="2FF800C8"/>
    <w:rsid w:val="30226B4B"/>
    <w:rsid w:val="306F78B6"/>
    <w:rsid w:val="30701703"/>
    <w:rsid w:val="30837F5B"/>
    <w:rsid w:val="30BE0F65"/>
    <w:rsid w:val="30E501DC"/>
    <w:rsid w:val="3124726D"/>
    <w:rsid w:val="31516B21"/>
    <w:rsid w:val="31546A99"/>
    <w:rsid w:val="3183538C"/>
    <w:rsid w:val="318F4369"/>
    <w:rsid w:val="31967ABE"/>
    <w:rsid w:val="3199690D"/>
    <w:rsid w:val="31D71662"/>
    <w:rsid w:val="31DB3455"/>
    <w:rsid w:val="325E2ED4"/>
    <w:rsid w:val="32676A97"/>
    <w:rsid w:val="32A001FB"/>
    <w:rsid w:val="32AD6C9D"/>
    <w:rsid w:val="32B55928"/>
    <w:rsid w:val="33062754"/>
    <w:rsid w:val="336F5A8B"/>
    <w:rsid w:val="339E298D"/>
    <w:rsid w:val="33AA1077"/>
    <w:rsid w:val="33E36EBA"/>
    <w:rsid w:val="33FB7DDF"/>
    <w:rsid w:val="33FD4091"/>
    <w:rsid w:val="340F73E6"/>
    <w:rsid w:val="34264FE9"/>
    <w:rsid w:val="342D1C9F"/>
    <w:rsid w:val="344A7002"/>
    <w:rsid w:val="345A7A7C"/>
    <w:rsid w:val="34816A66"/>
    <w:rsid w:val="3491429F"/>
    <w:rsid w:val="34A36815"/>
    <w:rsid w:val="34E0311E"/>
    <w:rsid w:val="34F55208"/>
    <w:rsid w:val="3529097C"/>
    <w:rsid w:val="352F39CF"/>
    <w:rsid w:val="356D6ABA"/>
    <w:rsid w:val="357716E7"/>
    <w:rsid w:val="3586585E"/>
    <w:rsid w:val="35912240"/>
    <w:rsid w:val="359871BA"/>
    <w:rsid w:val="35AD62A7"/>
    <w:rsid w:val="35DE2F5E"/>
    <w:rsid w:val="35E0644C"/>
    <w:rsid w:val="35FC14BD"/>
    <w:rsid w:val="3616178C"/>
    <w:rsid w:val="361E7DB5"/>
    <w:rsid w:val="36304EC1"/>
    <w:rsid w:val="363A6317"/>
    <w:rsid w:val="365F439F"/>
    <w:rsid w:val="36633A37"/>
    <w:rsid w:val="367479D5"/>
    <w:rsid w:val="36BB5BB8"/>
    <w:rsid w:val="36E50145"/>
    <w:rsid w:val="36E83F1F"/>
    <w:rsid w:val="36E903C3"/>
    <w:rsid w:val="370004A0"/>
    <w:rsid w:val="37007DD7"/>
    <w:rsid w:val="3710470B"/>
    <w:rsid w:val="371858CD"/>
    <w:rsid w:val="3747333B"/>
    <w:rsid w:val="378E5399"/>
    <w:rsid w:val="37DF7A10"/>
    <w:rsid w:val="37E443AC"/>
    <w:rsid w:val="37EB77D4"/>
    <w:rsid w:val="38440BCC"/>
    <w:rsid w:val="3851592F"/>
    <w:rsid w:val="38743992"/>
    <w:rsid w:val="38C369F1"/>
    <w:rsid w:val="38D13A7E"/>
    <w:rsid w:val="38E25D83"/>
    <w:rsid w:val="39044BB7"/>
    <w:rsid w:val="391F5588"/>
    <w:rsid w:val="393A33A6"/>
    <w:rsid w:val="397F500E"/>
    <w:rsid w:val="3A687850"/>
    <w:rsid w:val="3AAD424C"/>
    <w:rsid w:val="3AD46C94"/>
    <w:rsid w:val="3AF43874"/>
    <w:rsid w:val="3B283E36"/>
    <w:rsid w:val="3B317667"/>
    <w:rsid w:val="3B4200A1"/>
    <w:rsid w:val="3B8D6426"/>
    <w:rsid w:val="3BB25929"/>
    <w:rsid w:val="3BB424BB"/>
    <w:rsid w:val="3BD634B4"/>
    <w:rsid w:val="3BDB05F6"/>
    <w:rsid w:val="3BF202B6"/>
    <w:rsid w:val="3C147866"/>
    <w:rsid w:val="3C3E4B8E"/>
    <w:rsid w:val="3C420BEB"/>
    <w:rsid w:val="3C50071D"/>
    <w:rsid w:val="3CC547ED"/>
    <w:rsid w:val="3CE04016"/>
    <w:rsid w:val="3CFB4FDE"/>
    <w:rsid w:val="3CFC2D60"/>
    <w:rsid w:val="3D3D2A10"/>
    <w:rsid w:val="3D58710B"/>
    <w:rsid w:val="3D7C0282"/>
    <w:rsid w:val="3D7E0738"/>
    <w:rsid w:val="3D9A0E8C"/>
    <w:rsid w:val="3DD32C78"/>
    <w:rsid w:val="3DFA4A91"/>
    <w:rsid w:val="3E304B29"/>
    <w:rsid w:val="3E454509"/>
    <w:rsid w:val="3E5325C6"/>
    <w:rsid w:val="3E914EBE"/>
    <w:rsid w:val="3EA67AD5"/>
    <w:rsid w:val="3EB32F2C"/>
    <w:rsid w:val="3EBB61D5"/>
    <w:rsid w:val="3EE31B9B"/>
    <w:rsid w:val="3F43088C"/>
    <w:rsid w:val="3F505879"/>
    <w:rsid w:val="3F7C339C"/>
    <w:rsid w:val="3FA330D9"/>
    <w:rsid w:val="3FCE4926"/>
    <w:rsid w:val="3FDD2A8F"/>
    <w:rsid w:val="3FFB4CC3"/>
    <w:rsid w:val="401F30A7"/>
    <w:rsid w:val="402027ED"/>
    <w:rsid w:val="40980764"/>
    <w:rsid w:val="40AD2461"/>
    <w:rsid w:val="40D93256"/>
    <w:rsid w:val="40EB4D37"/>
    <w:rsid w:val="410C28BC"/>
    <w:rsid w:val="41640A9E"/>
    <w:rsid w:val="41AF5E76"/>
    <w:rsid w:val="41B8363D"/>
    <w:rsid w:val="41D256ED"/>
    <w:rsid w:val="420309F2"/>
    <w:rsid w:val="4258445C"/>
    <w:rsid w:val="4283791D"/>
    <w:rsid w:val="42871914"/>
    <w:rsid w:val="429C69C4"/>
    <w:rsid w:val="42A30D61"/>
    <w:rsid w:val="42BB58BA"/>
    <w:rsid w:val="43157C6E"/>
    <w:rsid w:val="433C7ACC"/>
    <w:rsid w:val="434846C3"/>
    <w:rsid w:val="434D1CD9"/>
    <w:rsid w:val="435B2185"/>
    <w:rsid w:val="43881D5C"/>
    <w:rsid w:val="43AA281D"/>
    <w:rsid w:val="43C024AB"/>
    <w:rsid w:val="43CC4842"/>
    <w:rsid w:val="43DD4E0B"/>
    <w:rsid w:val="43FF1225"/>
    <w:rsid w:val="44060F86"/>
    <w:rsid w:val="44110F59"/>
    <w:rsid w:val="444A4FF2"/>
    <w:rsid w:val="44700650"/>
    <w:rsid w:val="447E61BB"/>
    <w:rsid w:val="44C51503"/>
    <w:rsid w:val="44DE3754"/>
    <w:rsid w:val="44FF5912"/>
    <w:rsid w:val="45264590"/>
    <w:rsid w:val="45442CF0"/>
    <w:rsid w:val="455A0A95"/>
    <w:rsid w:val="45625783"/>
    <w:rsid w:val="458E2156"/>
    <w:rsid w:val="45AE1AF1"/>
    <w:rsid w:val="45D070C9"/>
    <w:rsid w:val="45E701C3"/>
    <w:rsid w:val="461A4E33"/>
    <w:rsid w:val="464C19A5"/>
    <w:rsid w:val="464F1F64"/>
    <w:rsid w:val="464F7B16"/>
    <w:rsid w:val="46641814"/>
    <w:rsid w:val="46777349"/>
    <w:rsid w:val="467915B2"/>
    <w:rsid w:val="46BC33FE"/>
    <w:rsid w:val="46C40504"/>
    <w:rsid w:val="46E75A9D"/>
    <w:rsid w:val="46FF2A7C"/>
    <w:rsid w:val="47152B0E"/>
    <w:rsid w:val="47195712"/>
    <w:rsid w:val="473D7238"/>
    <w:rsid w:val="479E030F"/>
    <w:rsid w:val="479F4FEA"/>
    <w:rsid w:val="47A520E4"/>
    <w:rsid w:val="47DC20AC"/>
    <w:rsid w:val="47F83F24"/>
    <w:rsid w:val="48223734"/>
    <w:rsid w:val="487E0202"/>
    <w:rsid w:val="488A578C"/>
    <w:rsid w:val="48A227E5"/>
    <w:rsid w:val="48A65F7A"/>
    <w:rsid w:val="48AF350A"/>
    <w:rsid w:val="48BB48FD"/>
    <w:rsid w:val="48CA6678"/>
    <w:rsid w:val="48DC668F"/>
    <w:rsid w:val="49565DB6"/>
    <w:rsid w:val="495C4918"/>
    <w:rsid w:val="496140CE"/>
    <w:rsid w:val="49B7182B"/>
    <w:rsid w:val="49C425C9"/>
    <w:rsid w:val="49D1188D"/>
    <w:rsid w:val="49E02A80"/>
    <w:rsid w:val="49F7674B"/>
    <w:rsid w:val="49FA732F"/>
    <w:rsid w:val="4A0E29D3"/>
    <w:rsid w:val="4A125DBB"/>
    <w:rsid w:val="4A2C22C5"/>
    <w:rsid w:val="4A321197"/>
    <w:rsid w:val="4A643A5E"/>
    <w:rsid w:val="4AAA68CA"/>
    <w:rsid w:val="4AC52021"/>
    <w:rsid w:val="4ACF1226"/>
    <w:rsid w:val="4AD74508"/>
    <w:rsid w:val="4AE81E3E"/>
    <w:rsid w:val="4B093660"/>
    <w:rsid w:val="4B1B136B"/>
    <w:rsid w:val="4B3B1E75"/>
    <w:rsid w:val="4B5A370F"/>
    <w:rsid w:val="4B6E4EE3"/>
    <w:rsid w:val="4B6F14BF"/>
    <w:rsid w:val="4B8D27CA"/>
    <w:rsid w:val="4B900007"/>
    <w:rsid w:val="4BB01057"/>
    <w:rsid w:val="4BBE3774"/>
    <w:rsid w:val="4BD242C7"/>
    <w:rsid w:val="4BE81CC3"/>
    <w:rsid w:val="4BFA0898"/>
    <w:rsid w:val="4C0F44A7"/>
    <w:rsid w:val="4C167110"/>
    <w:rsid w:val="4C6C1422"/>
    <w:rsid w:val="4CA02CB7"/>
    <w:rsid w:val="4CAC181F"/>
    <w:rsid w:val="4CC40AB2"/>
    <w:rsid w:val="4CF237DA"/>
    <w:rsid w:val="4CF25F83"/>
    <w:rsid w:val="4CFE6137"/>
    <w:rsid w:val="4D13769B"/>
    <w:rsid w:val="4D2F41FE"/>
    <w:rsid w:val="4D381350"/>
    <w:rsid w:val="4D3C19BE"/>
    <w:rsid w:val="4D5C2C01"/>
    <w:rsid w:val="4D693833"/>
    <w:rsid w:val="4D921FE5"/>
    <w:rsid w:val="4DA76F10"/>
    <w:rsid w:val="4DFF171A"/>
    <w:rsid w:val="4E0833CC"/>
    <w:rsid w:val="4E0B4C6B"/>
    <w:rsid w:val="4E105A28"/>
    <w:rsid w:val="4E48071F"/>
    <w:rsid w:val="4E482373"/>
    <w:rsid w:val="4E7E543D"/>
    <w:rsid w:val="4EAE6A46"/>
    <w:rsid w:val="4EAF1A9A"/>
    <w:rsid w:val="4EE74F6E"/>
    <w:rsid w:val="4F0B7DD0"/>
    <w:rsid w:val="4F163EA4"/>
    <w:rsid w:val="4F382BBB"/>
    <w:rsid w:val="4F486B49"/>
    <w:rsid w:val="4F751630"/>
    <w:rsid w:val="4F847543"/>
    <w:rsid w:val="4F905428"/>
    <w:rsid w:val="4FAE58AE"/>
    <w:rsid w:val="4FB57E74"/>
    <w:rsid w:val="500B3467"/>
    <w:rsid w:val="5014356D"/>
    <w:rsid w:val="502F6BAC"/>
    <w:rsid w:val="503255B5"/>
    <w:rsid w:val="5038161B"/>
    <w:rsid w:val="504023D9"/>
    <w:rsid w:val="50E13A61"/>
    <w:rsid w:val="510548D2"/>
    <w:rsid w:val="511436CA"/>
    <w:rsid w:val="51195175"/>
    <w:rsid w:val="51385D77"/>
    <w:rsid w:val="51761FDE"/>
    <w:rsid w:val="51861AB2"/>
    <w:rsid w:val="51A06FFE"/>
    <w:rsid w:val="51C37D5D"/>
    <w:rsid w:val="51D3277A"/>
    <w:rsid w:val="51E83EF2"/>
    <w:rsid w:val="521B6489"/>
    <w:rsid w:val="522A541F"/>
    <w:rsid w:val="52484C73"/>
    <w:rsid w:val="527728CF"/>
    <w:rsid w:val="529E60AD"/>
    <w:rsid w:val="52D81847"/>
    <w:rsid w:val="52DB10B0"/>
    <w:rsid w:val="52DC0874"/>
    <w:rsid w:val="5343574F"/>
    <w:rsid w:val="534E2E10"/>
    <w:rsid w:val="53580CC8"/>
    <w:rsid w:val="5371731E"/>
    <w:rsid w:val="537446F6"/>
    <w:rsid w:val="5379042E"/>
    <w:rsid w:val="53907354"/>
    <w:rsid w:val="53A03DC0"/>
    <w:rsid w:val="53A31665"/>
    <w:rsid w:val="53A72D40"/>
    <w:rsid w:val="53B05828"/>
    <w:rsid w:val="53D27C50"/>
    <w:rsid w:val="54094078"/>
    <w:rsid w:val="549E22A9"/>
    <w:rsid w:val="54A84FC1"/>
    <w:rsid w:val="54F9581D"/>
    <w:rsid w:val="55090897"/>
    <w:rsid w:val="55900438"/>
    <w:rsid w:val="55B20901"/>
    <w:rsid w:val="55B63C1A"/>
    <w:rsid w:val="55DD292C"/>
    <w:rsid w:val="560059E7"/>
    <w:rsid w:val="562B438D"/>
    <w:rsid w:val="568941E7"/>
    <w:rsid w:val="56D55FDC"/>
    <w:rsid w:val="57447204"/>
    <w:rsid w:val="574865E8"/>
    <w:rsid w:val="57723ACC"/>
    <w:rsid w:val="57984414"/>
    <w:rsid w:val="579A2ADD"/>
    <w:rsid w:val="57A34279"/>
    <w:rsid w:val="57B4559D"/>
    <w:rsid w:val="57E05524"/>
    <w:rsid w:val="580F7502"/>
    <w:rsid w:val="583E3F5E"/>
    <w:rsid w:val="587358E6"/>
    <w:rsid w:val="58753AA1"/>
    <w:rsid w:val="58910F35"/>
    <w:rsid w:val="58AD0DF8"/>
    <w:rsid w:val="58AD729D"/>
    <w:rsid w:val="58AE22CA"/>
    <w:rsid w:val="58AF45B1"/>
    <w:rsid w:val="58D90A64"/>
    <w:rsid w:val="58FE78A6"/>
    <w:rsid w:val="594F1EAF"/>
    <w:rsid w:val="59623CAD"/>
    <w:rsid w:val="59DB3743"/>
    <w:rsid w:val="59DC042D"/>
    <w:rsid w:val="59DC1303"/>
    <w:rsid w:val="59E545C2"/>
    <w:rsid w:val="59E632C8"/>
    <w:rsid w:val="5A054509"/>
    <w:rsid w:val="5A2F1CE1"/>
    <w:rsid w:val="5A2F1D33"/>
    <w:rsid w:val="5A5B2AD6"/>
    <w:rsid w:val="5A6D35B8"/>
    <w:rsid w:val="5A744F38"/>
    <w:rsid w:val="5A805D50"/>
    <w:rsid w:val="5A8921D0"/>
    <w:rsid w:val="5ACD73E4"/>
    <w:rsid w:val="5B0E5AEA"/>
    <w:rsid w:val="5B266C40"/>
    <w:rsid w:val="5B311684"/>
    <w:rsid w:val="5B4D008A"/>
    <w:rsid w:val="5B6E131D"/>
    <w:rsid w:val="5B80138A"/>
    <w:rsid w:val="5BB83413"/>
    <w:rsid w:val="5BC329F6"/>
    <w:rsid w:val="5BE54B4C"/>
    <w:rsid w:val="5BF44F90"/>
    <w:rsid w:val="5C005758"/>
    <w:rsid w:val="5C2D3FFE"/>
    <w:rsid w:val="5C5B0B6B"/>
    <w:rsid w:val="5C6C0A56"/>
    <w:rsid w:val="5C6C1C3F"/>
    <w:rsid w:val="5C9A72A8"/>
    <w:rsid w:val="5CBF734C"/>
    <w:rsid w:val="5D2B6954"/>
    <w:rsid w:val="5D313C08"/>
    <w:rsid w:val="5D4D4958"/>
    <w:rsid w:val="5D687A07"/>
    <w:rsid w:val="5D844F65"/>
    <w:rsid w:val="5DEC610D"/>
    <w:rsid w:val="5DEE7C26"/>
    <w:rsid w:val="5DF57C15"/>
    <w:rsid w:val="5E4A43A8"/>
    <w:rsid w:val="5E6A0E7B"/>
    <w:rsid w:val="5E776ABF"/>
    <w:rsid w:val="5EC03389"/>
    <w:rsid w:val="5EE832F7"/>
    <w:rsid w:val="5EEB5B56"/>
    <w:rsid w:val="5EFA0B0F"/>
    <w:rsid w:val="5F36788E"/>
    <w:rsid w:val="5F382C29"/>
    <w:rsid w:val="5F3B6A32"/>
    <w:rsid w:val="5F5F0972"/>
    <w:rsid w:val="5F81024E"/>
    <w:rsid w:val="5F864B6C"/>
    <w:rsid w:val="5F87304F"/>
    <w:rsid w:val="5F8D4A8E"/>
    <w:rsid w:val="5FD82511"/>
    <w:rsid w:val="5FED0683"/>
    <w:rsid w:val="600550AF"/>
    <w:rsid w:val="600E58D7"/>
    <w:rsid w:val="60222736"/>
    <w:rsid w:val="60995032"/>
    <w:rsid w:val="60A864D7"/>
    <w:rsid w:val="60C0639C"/>
    <w:rsid w:val="60F503B6"/>
    <w:rsid w:val="6100369C"/>
    <w:rsid w:val="611B6B1B"/>
    <w:rsid w:val="612B495E"/>
    <w:rsid w:val="612E3567"/>
    <w:rsid w:val="61313947"/>
    <w:rsid w:val="61363955"/>
    <w:rsid w:val="61412A26"/>
    <w:rsid w:val="615C1A88"/>
    <w:rsid w:val="619D5782"/>
    <w:rsid w:val="61DD0538"/>
    <w:rsid w:val="620D2908"/>
    <w:rsid w:val="621D4AA8"/>
    <w:rsid w:val="625A7AEE"/>
    <w:rsid w:val="62B14A28"/>
    <w:rsid w:val="62B74E9F"/>
    <w:rsid w:val="631B6240"/>
    <w:rsid w:val="632111F7"/>
    <w:rsid w:val="635E75B6"/>
    <w:rsid w:val="63610695"/>
    <w:rsid w:val="63610798"/>
    <w:rsid w:val="63730E90"/>
    <w:rsid w:val="639A2821"/>
    <w:rsid w:val="63A57A72"/>
    <w:rsid w:val="63AB3CC0"/>
    <w:rsid w:val="63D062E3"/>
    <w:rsid w:val="63F57AF7"/>
    <w:rsid w:val="640C51E8"/>
    <w:rsid w:val="64285FE8"/>
    <w:rsid w:val="644959AA"/>
    <w:rsid w:val="64510116"/>
    <w:rsid w:val="646C0584"/>
    <w:rsid w:val="6477452E"/>
    <w:rsid w:val="649B5B66"/>
    <w:rsid w:val="64AA1664"/>
    <w:rsid w:val="64AE6ADE"/>
    <w:rsid w:val="64D51AEC"/>
    <w:rsid w:val="64D667B3"/>
    <w:rsid w:val="652E477D"/>
    <w:rsid w:val="65386495"/>
    <w:rsid w:val="655003E0"/>
    <w:rsid w:val="65743ACC"/>
    <w:rsid w:val="65960E66"/>
    <w:rsid w:val="65A84C38"/>
    <w:rsid w:val="65B31A18"/>
    <w:rsid w:val="65D11E9E"/>
    <w:rsid w:val="65E971F7"/>
    <w:rsid w:val="65FD3A9E"/>
    <w:rsid w:val="661B5D34"/>
    <w:rsid w:val="661D55C3"/>
    <w:rsid w:val="661F70AE"/>
    <w:rsid w:val="66256C86"/>
    <w:rsid w:val="664061B8"/>
    <w:rsid w:val="6646288C"/>
    <w:rsid w:val="66521231"/>
    <w:rsid w:val="66652D12"/>
    <w:rsid w:val="66744292"/>
    <w:rsid w:val="66826A6F"/>
    <w:rsid w:val="668A7384"/>
    <w:rsid w:val="668D4A40"/>
    <w:rsid w:val="66903D83"/>
    <w:rsid w:val="66CB1165"/>
    <w:rsid w:val="66F61BAB"/>
    <w:rsid w:val="6714707A"/>
    <w:rsid w:val="673B3B76"/>
    <w:rsid w:val="677668F5"/>
    <w:rsid w:val="67912D7E"/>
    <w:rsid w:val="67B830A1"/>
    <w:rsid w:val="67C3130F"/>
    <w:rsid w:val="67CD5013"/>
    <w:rsid w:val="67E91721"/>
    <w:rsid w:val="682D0A8C"/>
    <w:rsid w:val="68370201"/>
    <w:rsid w:val="684305CC"/>
    <w:rsid w:val="687A05CB"/>
    <w:rsid w:val="68B910F3"/>
    <w:rsid w:val="68C40B26"/>
    <w:rsid w:val="68C748AC"/>
    <w:rsid w:val="68E343C2"/>
    <w:rsid w:val="68F476CB"/>
    <w:rsid w:val="68FB1A5A"/>
    <w:rsid w:val="69121244"/>
    <w:rsid w:val="691D32BA"/>
    <w:rsid w:val="692D1AE1"/>
    <w:rsid w:val="6944024A"/>
    <w:rsid w:val="6950391D"/>
    <w:rsid w:val="69616F9B"/>
    <w:rsid w:val="69A77937"/>
    <w:rsid w:val="69DF47C8"/>
    <w:rsid w:val="69E94057"/>
    <w:rsid w:val="6A1067B7"/>
    <w:rsid w:val="6A1D1B56"/>
    <w:rsid w:val="6A2641DF"/>
    <w:rsid w:val="6A59579F"/>
    <w:rsid w:val="6A631D5D"/>
    <w:rsid w:val="6A660130"/>
    <w:rsid w:val="6A7D0A9A"/>
    <w:rsid w:val="6AC00C88"/>
    <w:rsid w:val="6AC86D5F"/>
    <w:rsid w:val="6B366129"/>
    <w:rsid w:val="6B4237DA"/>
    <w:rsid w:val="6B56537B"/>
    <w:rsid w:val="6BB42F67"/>
    <w:rsid w:val="6BF95087"/>
    <w:rsid w:val="6C0C1E82"/>
    <w:rsid w:val="6C2C0F26"/>
    <w:rsid w:val="6C315445"/>
    <w:rsid w:val="6C3311BD"/>
    <w:rsid w:val="6C7E1B0C"/>
    <w:rsid w:val="6C9F57C9"/>
    <w:rsid w:val="6CA664D9"/>
    <w:rsid w:val="6CDE13B3"/>
    <w:rsid w:val="6CEF15F9"/>
    <w:rsid w:val="6CFF6285"/>
    <w:rsid w:val="6D024C06"/>
    <w:rsid w:val="6D17288C"/>
    <w:rsid w:val="6D326272"/>
    <w:rsid w:val="6D3B12FE"/>
    <w:rsid w:val="6D6C1AE1"/>
    <w:rsid w:val="6DC463A3"/>
    <w:rsid w:val="6E0125FA"/>
    <w:rsid w:val="6E1B0B51"/>
    <w:rsid w:val="6E21395F"/>
    <w:rsid w:val="6E6C07D2"/>
    <w:rsid w:val="6E6C37FB"/>
    <w:rsid w:val="6E7837FF"/>
    <w:rsid w:val="6E934195"/>
    <w:rsid w:val="6EA12D56"/>
    <w:rsid w:val="6EAB14DE"/>
    <w:rsid w:val="6EAB17B5"/>
    <w:rsid w:val="6EB37E70"/>
    <w:rsid w:val="6EBC2AF4"/>
    <w:rsid w:val="6EE45D51"/>
    <w:rsid w:val="6EF35E67"/>
    <w:rsid w:val="6F1C23DC"/>
    <w:rsid w:val="6F32473E"/>
    <w:rsid w:val="6F372A9D"/>
    <w:rsid w:val="6F3F341C"/>
    <w:rsid w:val="6F4C5D21"/>
    <w:rsid w:val="6F4D355C"/>
    <w:rsid w:val="6F6C1A04"/>
    <w:rsid w:val="6F7707A1"/>
    <w:rsid w:val="6F810491"/>
    <w:rsid w:val="6F90531F"/>
    <w:rsid w:val="6FB5206C"/>
    <w:rsid w:val="6FC23B21"/>
    <w:rsid w:val="6FE52322"/>
    <w:rsid w:val="6FEB18C0"/>
    <w:rsid w:val="703A0E68"/>
    <w:rsid w:val="7088120F"/>
    <w:rsid w:val="70917B8C"/>
    <w:rsid w:val="70A24AC9"/>
    <w:rsid w:val="70BB0F08"/>
    <w:rsid w:val="70D7610F"/>
    <w:rsid w:val="70F85A4F"/>
    <w:rsid w:val="70FF1FB5"/>
    <w:rsid w:val="71042290"/>
    <w:rsid w:val="711306DB"/>
    <w:rsid w:val="712652A7"/>
    <w:rsid w:val="7137441B"/>
    <w:rsid w:val="713B1A7D"/>
    <w:rsid w:val="716A5681"/>
    <w:rsid w:val="718D4F8B"/>
    <w:rsid w:val="719571EA"/>
    <w:rsid w:val="71AA1F21"/>
    <w:rsid w:val="71BA3DA9"/>
    <w:rsid w:val="71D21478"/>
    <w:rsid w:val="71D2376E"/>
    <w:rsid w:val="722A61BE"/>
    <w:rsid w:val="722E78E0"/>
    <w:rsid w:val="72F11592"/>
    <w:rsid w:val="72FD42D3"/>
    <w:rsid w:val="73224C96"/>
    <w:rsid w:val="735759D8"/>
    <w:rsid w:val="738C7915"/>
    <w:rsid w:val="73972979"/>
    <w:rsid w:val="73A70396"/>
    <w:rsid w:val="73AF7AD0"/>
    <w:rsid w:val="73B46F4E"/>
    <w:rsid w:val="73C82B32"/>
    <w:rsid w:val="740172A6"/>
    <w:rsid w:val="740C056A"/>
    <w:rsid w:val="74233B8D"/>
    <w:rsid w:val="74390D0E"/>
    <w:rsid w:val="746D3D4F"/>
    <w:rsid w:val="746E36DA"/>
    <w:rsid w:val="747814CB"/>
    <w:rsid w:val="748B153D"/>
    <w:rsid w:val="749869A9"/>
    <w:rsid w:val="74C01A5C"/>
    <w:rsid w:val="74F27CDD"/>
    <w:rsid w:val="757A1C0A"/>
    <w:rsid w:val="75882C9A"/>
    <w:rsid w:val="7590142E"/>
    <w:rsid w:val="75AF3862"/>
    <w:rsid w:val="762629FB"/>
    <w:rsid w:val="762B1157"/>
    <w:rsid w:val="763B6EB5"/>
    <w:rsid w:val="764E2556"/>
    <w:rsid w:val="76703A87"/>
    <w:rsid w:val="768371E5"/>
    <w:rsid w:val="76CE6B2D"/>
    <w:rsid w:val="76D01F34"/>
    <w:rsid w:val="76F16E91"/>
    <w:rsid w:val="76F36118"/>
    <w:rsid w:val="770025E3"/>
    <w:rsid w:val="77226BF5"/>
    <w:rsid w:val="773D41CF"/>
    <w:rsid w:val="775664FE"/>
    <w:rsid w:val="77B061F8"/>
    <w:rsid w:val="77E167DF"/>
    <w:rsid w:val="780B0EDF"/>
    <w:rsid w:val="780E6699"/>
    <w:rsid w:val="781B5927"/>
    <w:rsid w:val="782E2CF8"/>
    <w:rsid w:val="784A620C"/>
    <w:rsid w:val="78615304"/>
    <w:rsid w:val="786B10BA"/>
    <w:rsid w:val="787B63C5"/>
    <w:rsid w:val="787D3D21"/>
    <w:rsid w:val="789B6A68"/>
    <w:rsid w:val="78E57CE3"/>
    <w:rsid w:val="78FE0568"/>
    <w:rsid w:val="7903308D"/>
    <w:rsid w:val="79233F53"/>
    <w:rsid w:val="792D4D29"/>
    <w:rsid w:val="79910034"/>
    <w:rsid w:val="79A15AC2"/>
    <w:rsid w:val="79BF22E2"/>
    <w:rsid w:val="79C83793"/>
    <w:rsid w:val="79D67B11"/>
    <w:rsid w:val="79E461EC"/>
    <w:rsid w:val="79F43B6A"/>
    <w:rsid w:val="7A091447"/>
    <w:rsid w:val="7A3310AE"/>
    <w:rsid w:val="7A523156"/>
    <w:rsid w:val="7A605B78"/>
    <w:rsid w:val="7A680BCB"/>
    <w:rsid w:val="7A902A2C"/>
    <w:rsid w:val="7AD613AF"/>
    <w:rsid w:val="7B137599"/>
    <w:rsid w:val="7B246547"/>
    <w:rsid w:val="7B2B6B28"/>
    <w:rsid w:val="7B3D1ACD"/>
    <w:rsid w:val="7B4D36A4"/>
    <w:rsid w:val="7B5B2BBB"/>
    <w:rsid w:val="7B6C0DC2"/>
    <w:rsid w:val="7BAE6AB2"/>
    <w:rsid w:val="7BD8393D"/>
    <w:rsid w:val="7BEF0026"/>
    <w:rsid w:val="7BF87D2D"/>
    <w:rsid w:val="7C2E3B30"/>
    <w:rsid w:val="7C2F7FDE"/>
    <w:rsid w:val="7C4739C6"/>
    <w:rsid w:val="7C517C20"/>
    <w:rsid w:val="7C914409"/>
    <w:rsid w:val="7CAF4890"/>
    <w:rsid w:val="7CB70A77"/>
    <w:rsid w:val="7CD5683A"/>
    <w:rsid w:val="7CE04A49"/>
    <w:rsid w:val="7CE461A4"/>
    <w:rsid w:val="7D513857"/>
    <w:rsid w:val="7D5B41F7"/>
    <w:rsid w:val="7D6006DF"/>
    <w:rsid w:val="7DCD1975"/>
    <w:rsid w:val="7E4E5E2B"/>
    <w:rsid w:val="7E81400A"/>
    <w:rsid w:val="7ECB38F3"/>
    <w:rsid w:val="7F037115"/>
    <w:rsid w:val="7F1C3D32"/>
    <w:rsid w:val="7F2E23E3"/>
    <w:rsid w:val="7F8A1203"/>
    <w:rsid w:val="7FAB690E"/>
    <w:rsid w:val="7FD015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678F9A0"/>
  <w15:docId w15:val="{0FF923C0-9481-4D24-AC09-DBCEDA0F06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iPriority="0"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unhideWhenUsed="1" w:qFormat="1"/>
    <w:lsdException w:name="page number" w:uiPriority="0" w:qFormat="1"/>
    <w:lsdException w:name="endnote reference"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kern w:val="2"/>
      <w:sz w:val="21"/>
      <w:szCs w:val="24"/>
    </w:rPr>
  </w:style>
  <w:style w:type="paragraph" w:styleId="Heading1">
    <w:name w:val="heading 1"/>
    <w:basedOn w:val="Normal"/>
    <w:next w:val="Normal"/>
    <w:link w:val="Heading1Char"/>
    <w:qFormat/>
    <w:pPr>
      <w:keepNext/>
      <w:keepLines/>
      <w:spacing w:beforeLines="100" w:afterLines="100" w:line="0" w:lineRule="atLeast"/>
      <w:outlineLvl w:val="0"/>
    </w:pPr>
    <w:rPr>
      <w:b/>
      <w:bCs/>
      <w:szCs w:val="44"/>
    </w:rPr>
  </w:style>
  <w:style w:type="paragraph" w:styleId="Heading2">
    <w:name w:val="heading 2"/>
    <w:basedOn w:val="Normal"/>
    <w:next w:val="Normal"/>
    <w:link w:val="Heading2Char"/>
    <w:qFormat/>
    <w:pPr>
      <w:keepNext/>
      <w:keepLines/>
      <w:spacing w:beforeLines="100" w:afterLines="100" w:line="0" w:lineRule="atLeast"/>
      <w:outlineLvl w:val="1"/>
    </w:pPr>
    <w:rPr>
      <w:rFonts w:eastAsia="黑体"/>
      <w:b/>
      <w:bCs/>
      <w:szCs w:val="32"/>
    </w:rPr>
  </w:style>
  <w:style w:type="paragraph" w:styleId="Heading3">
    <w:name w:val="heading 3"/>
    <w:next w:val="BodyTextFirstIndent"/>
    <w:qFormat/>
    <w:pPr>
      <w:keepLines/>
      <w:tabs>
        <w:tab w:val="left" w:pos="648"/>
        <w:tab w:val="left" w:pos="696"/>
      </w:tabs>
      <w:adjustRightInd w:val="0"/>
      <w:snapToGrid w:val="0"/>
      <w:spacing w:line="340" w:lineRule="atLeast"/>
      <w:ind w:left="-24"/>
      <w:jc w:val="both"/>
      <w:outlineLvl w:val="2"/>
    </w:pPr>
    <w:rPr>
      <w:sz w:val="21"/>
    </w:rPr>
  </w:style>
  <w:style w:type="paragraph" w:styleId="Heading4">
    <w:name w:val="heading 4"/>
    <w:basedOn w:val="Normal"/>
    <w:next w:val="Normal"/>
    <w:uiPriority w:val="9"/>
    <w:semiHidden/>
    <w:unhideWhenUsed/>
    <w:qFormat/>
    <w:pPr>
      <w:spacing w:beforeAutospacing="1" w:afterAutospacing="1"/>
      <w:jc w:val="left"/>
      <w:outlineLvl w:val="3"/>
    </w:pPr>
    <w:rPr>
      <w:rFonts w:ascii="宋体" w:hAnsi="宋体" w:hint="eastAsia"/>
      <w:b/>
      <w:bCs/>
      <w:kern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FirstIndent">
    <w:name w:val="Body Text First Indent"/>
    <w:basedOn w:val="Normal"/>
    <w:qFormat/>
    <w:pPr>
      <w:adjustRightInd w:val="0"/>
      <w:snapToGrid w:val="0"/>
      <w:spacing w:line="330" w:lineRule="atLeast"/>
      <w:ind w:firstLineChars="200" w:firstLine="200"/>
    </w:pPr>
    <w:rPr>
      <w:rFonts w:hint="eastAsia"/>
      <w:snapToGrid w:val="0"/>
      <w:szCs w:val="21"/>
    </w:rPr>
  </w:style>
  <w:style w:type="paragraph" w:styleId="NormalIndent">
    <w:name w:val="Normal Indent"/>
    <w:basedOn w:val="Normal"/>
    <w:qFormat/>
    <w:pPr>
      <w:snapToGrid w:val="0"/>
      <w:spacing w:line="245" w:lineRule="auto"/>
      <w:ind w:firstLineChars="200" w:firstLine="420"/>
    </w:pPr>
    <w:rPr>
      <w:rFonts w:eastAsia="方正书宋简体"/>
      <w:spacing w:val="4"/>
      <w:sz w:val="20"/>
      <w:szCs w:val="20"/>
    </w:rPr>
  </w:style>
  <w:style w:type="paragraph" w:styleId="Caption">
    <w:name w:val="caption"/>
    <w:basedOn w:val="Normal"/>
    <w:next w:val="Normal"/>
    <w:uiPriority w:val="35"/>
    <w:qFormat/>
    <w:pPr>
      <w:jc w:val="center"/>
    </w:pPr>
    <w:rPr>
      <w:rFonts w:eastAsia="黑体"/>
      <w:szCs w:val="20"/>
    </w:rPr>
  </w:style>
  <w:style w:type="paragraph" w:styleId="DocumentMap">
    <w:name w:val="Document Map"/>
    <w:basedOn w:val="Normal"/>
    <w:link w:val="DocumentMapChar"/>
    <w:uiPriority w:val="99"/>
    <w:unhideWhenUsed/>
    <w:qFormat/>
    <w:rPr>
      <w:rFonts w:ascii="宋体" w:hAnsi="Calibri"/>
      <w:sz w:val="18"/>
      <w:szCs w:val="18"/>
    </w:rPr>
  </w:style>
  <w:style w:type="paragraph" w:styleId="CommentText">
    <w:name w:val="annotation text"/>
    <w:basedOn w:val="Normal"/>
    <w:link w:val="CommentTextChar"/>
    <w:uiPriority w:val="99"/>
    <w:unhideWhenUsed/>
    <w:qFormat/>
    <w:pPr>
      <w:jc w:val="left"/>
    </w:pPr>
    <w:rPr>
      <w:rFonts w:ascii="Calibri" w:hAnsi="Calibri"/>
      <w:szCs w:val="22"/>
    </w:rPr>
  </w:style>
  <w:style w:type="paragraph" w:styleId="BodyText">
    <w:name w:val="Body Text"/>
    <w:basedOn w:val="Normal"/>
    <w:link w:val="BodyTextChar"/>
    <w:uiPriority w:val="99"/>
    <w:unhideWhenUsed/>
    <w:qFormat/>
    <w:pPr>
      <w:spacing w:after="120"/>
    </w:pPr>
    <w:rPr>
      <w:rFonts w:ascii="Calibri" w:hAnsi="Calibri"/>
      <w:szCs w:val="22"/>
    </w:rPr>
  </w:style>
  <w:style w:type="paragraph" w:styleId="BodyTextIndent">
    <w:name w:val="Body Text Indent"/>
    <w:basedOn w:val="Normal"/>
    <w:link w:val="BodyTextIndentChar"/>
    <w:qFormat/>
    <w:pPr>
      <w:spacing w:after="120"/>
      <w:ind w:leftChars="200" w:left="420"/>
    </w:pPr>
    <w:rPr>
      <w:kern w:val="0"/>
      <w:sz w:val="20"/>
    </w:rPr>
  </w:style>
  <w:style w:type="paragraph" w:styleId="PlainText">
    <w:name w:val="Plain Text"/>
    <w:basedOn w:val="Normal"/>
    <w:link w:val="PlainTextChar"/>
    <w:qFormat/>
    <w:rPr>
      <w:rFonts w:ascii="宋体" w:hAnsi="Courier New"/>
      <w:kern w:val="0"/>
      <w:sz w:val="20"/>
      <w:szCs w:val="20"/>
    </w:rPr>
  </w:style>
  <w:style w:type="paragraph" w:styleId="BodyTextIndent2">
    <w:name w:val="Body Text Indent 2"/>
    <w:basedOn w:val="Normal"/>
    <w:link w:val="BodyTextIndent2Char"/>
    <w:uiPriority w:val="99"/>
    <w:unhideWhenUsed/>
    <w:qFormat/>
    <w:pPr>
      <w:spacing w:after="120" w:line="480" w:lineRule="auto"/>
      <w:ind w:leftChars="200" w:left="420"/>
    </w:pPr>
    <w:rPr>
      <w:rFonts w:ascii="Calibri" w:hAnsi="Calibri"/>
      <w:szCs w:val="22"/>
    </w:rPr>
  </w:style>
  <w:style w:type="paragraph" w:styleId="EndnoteText">
    <w:name w:val="endnote text"/>
    <w:basedOn w:val="Normal"/>
    <w:link w:val="EndnoteTextChar"/>
    <w:uiPriority w:val="99"/>
    <w:unhideWhenUsed/>
    <w:qFormat/>
    <w:pPr>
      <w:snapToGrid w:val="0"/>
      <w:jc w:val="left"/>
    </w:pPr>
    <w:rPr>
      <w:rFonts w:ascii="Calibri" w:hAnsi="Calibri"/>
      <w:szCs w:val="22"/>
    </w:rPr>
  </w:style>
  <w:style w:type="paragraph" w:styleId="BalloonText">
    <w:name w:val="Balloon Text"/>
    <w:basedOn w:val="Normal"/>
    <w:link w:val="BalloonTextChar"/>
    <w:uiPriority w:val="99"/>
    <w:unhideWhenUsed/>
    <w:qFormat/>
    <w:rPr>
      <w:rFonts w:ascii="Calibri" w:hAnsi="Calibri"/>
      <w:sz w:val="18"/>
      <w:szCs w:val="18"/>
    </w:rPr>
  </w:style>
  <w:style w:type="paragraph" w:styleId="Footer">
    <w:name w:val="footer"/>
    <w:basedOn w:val="Normal"/>
    <w:link w:val="FooterChar"/>
    <w:uiPriority w:val="99"/>
    <w:unhideWhenUsed/>
    <w:qFormat/>
    <w:pPr>
      <w:tabs>
        <w:tab w:val="center" w:pos="4153"/>
        <w:tab w:val="right" w:pos="8306"/>
      </w:tabs>
      <w:snapToGrid w:val="0"/>
      <w:jc w:val="left"/>
    </w:pPr>
    <w:rPr>
      <w:rFonts w:ascii="Calibri" w:hAnsi="Calibri"/>
      <w:kern w:val="0"/>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jc w:val="center"/>
    </w:pPr>
    <w:rPr>
      <w:rFonts w:ascii="Calibri" w:hAnsi="Calibri"/>
      <w:kern w:val="0"/>
      <w:sz w:val="18"/>
      <w:szCs w:val="18"/>
    </w:rPr>
  </w:style>
  <w:style w:type="paragraph" w:styleId="TableofFigures">
    <w:name w:val="table of figures"/>
    <w:basedOn w:val="Normal"/>
    <w:next w:val="Normal"/>
    <w:semiHidden/>
    <w:qFormat/>
    <w:pPr>
      <w:tabs>
        <w:tab w:val="left" w:pos="425"/>
      </w:tabs>
      <w:snapToGrid w:val="0"/>
      <w:spacing w:line="230" w:lineRule="exact"/>
      <w:ind w:left="425" w:hanging="136"/>
    </w:pPr>
    <w:rPr>
      <w:rFonts w:eastAsia="方正书宋简体"/>
      <w:spacing w:val="4"/>
      <w:sz w:val="15"/>
      <w:szCs w:val="20"/>
    </w:rPr>
  </w:style>
  <w:style w:type="paragraph" w:styleId="HTMLPreformatted">
    <w:name w:val="HTML Preformatted"/>
    <w:basedOn w:val="Normal"/>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rPr>
  </w:style>
  <w:style w:type="paragraph" w:styleId="NormalWeb">
    <w:name w:val="Normal (Web)"/>
    <w:basedOn w:val="Normal"/>
    <w:uiPriority w:val="99"/>
    <w:unhideWhenUsed/>
    <w:qFormat/>
    <w:pPr>
      <w:widowControl/>
      <w:spacing w:before="100" w:beforeAutospacing="1" w:after="100" w:afterAutospacing="1"/>
      <w:jc w:val="left"/>
    </w:pPr>
    <w:rPr>
      <w:rFonts w:ascii="宋体" w:hAnsi="宋体" w:cs="宋体"/>
      <w:kern w:val="0"/>
      <w:sz w:val="24"/>
    </w:rPr>
  </w:style>
  <w:style w:type="paragraph" w:styleId="Title">
    <w:name w:val="Title"/>
    <w:basedOn w:val="Normal"/>
    <w:next w:val="Normal"/>
    <w:link w:val="TitleChar"/>
    <w:uiPriority w:val="10"/>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59"/>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1">
    <w:name w:val="Table Simple 1"/>
    <w:basedOn w:val="TableNormal"/>
    <w:qFormat/>
    <w:pPr>
      <w:widowControl w:val="0"/>
      <w:jc w:val="both"/>
    </w:pPr>
    <w:tblPr>
      <w:tblBorders>
        <w:top w:val="single" w:sz="12" w:space="0" w:color="008000"/>
        <w:bottom w:val="single" w:sz="12" w:space="0" w:color="008000"/>
      </w:tblBorders>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character" w:styleId="Strong">
    <w:name w:val="Strong"/>
    <w:basedOn w:val="DefaultParagraphFont"/>
    <w:uiPriority w:val="22"/>
    <w:qFormat/>
    <w:rPr>
      <w:b/>
    </w:rPr>
  </w:style>
  <w:style w:type="character" w:styleId="EndnoteReference">
    <w:name w:val="endnote reference"/>
    <w:uiPriority w:val="99"/>
    <w:unhideWhenUsed/>
    <w:qFormat/>
    <w:rPr>
      <w:vertAlign w:val="superscript"/>
    </w:rPr>
  </w:style>
  <w:style w:type="character" w:styleId="PageNumber">
    <w:name w:val="page number"/>
    <w:qFormat/>
  </w:style>
  <w:style w:type="character" w:styleId="FollowedHyperlink">
    <w:name w:val="FollowedHyperlink"/>
    <w:basedOn w:val="DefaultParagraphFont"/>
    <w:uiPriority w:val="99"/>
    <w:semiHidden/>
    <w:unhideWhenUsed/>
    <w:qFormat/>
    <w:rPr>
      <w:color w:val="800080"/>
      <w:u w:val="single"/>
    </w:rPr>
  </w:style>
  <w:style w:type="character" w:styleId="Emphasis">
    <w:name w:val="Emphasis"/>
    <w:basedOn w:val="DefaultParagraphFont"/>
    <w:uiPriority w:val="20"/>
    <w:qFormat/>
    <w:rPr>
      <w:i/>
    </w:rPr>
  </w:style>
  <w:style w:type="character" w:styleId="LineNumber">
    <w:name w:val="line number"/>
    <w:uiPriority w:val="99"/>
    <w:unhideWhenUsed/>
    <w:qFormat/>
  </w:style>
  <w:style w:type="character" w:styleId="Hyperlink">
    <w:name w:val="Hyperlink"/>
    <w:uiPriority w:val="99"/>
    <w:unhideWhenUsed/>
    <w:qFormat/>
    <w:rPr>
      <w:color w:val="0000FF"/>
      <w:u w:val="single"/>
    </w:rPr>
  </w:style>
  <w:style w:type="character" w:styleId="HTMLCode">
    <w:name w:val="HTML Code"/>
    <w:basedOn w:val="DefaultParagraphFont"/>
    <w:uiPriority w:val="99"/>
    <w:semiHidden/>
    <w:unhideWhenUsed/>
    <w:qFormat/>
    <w:rPr>
      <w:rFonts w:ascii="Courier New" w:hAnsi="Courier New"/>
      <w:sz w:val="20"/>
    </w:rPr>
  </w:style>
  <w:style w:type="character" w:styleId="CommentReference">
    <w:name w:val="annotation reference"/>
    <w:uiPriority w:val="99"/>
    <w:unhideWhenUsed/>
    <w:qFormat/>
    <w:rPr>
      <w:sz w:val="21"/>
      <w:szCs w:val="21"/>
    </w:rPr>
  </w:style>
  <w:style w:type="character" w:customStyle="1" w:styleId="Heading1Char">
    <w:name w:val="Heading 1 Char"/>
    <w:link w:val="Heading1"/>
    <w:qFormat/>
    <w:rPr>
      <w:rFonts w:ascii="Times New Roman" w:hAnsi="Times New Roman"/>
      <w:b/>
      <w:bCs/>
      <w:szCs w:val="44"/>
      <w:lang w:val="en-US" w:eastAsia="zh-CN" w:bidi="ar-SA"/>
    </w:rPr>
  </w:style>
  <w:style w:type="character" w:customStyle="1" w:styleId="Heading2Char">
    <w:name w:val="Heading 2 Char"/>
    <w:link w:val="Heading2"/>
    <w:qFormat/>
    <w:rPr>
      <w:rFonts w:ascii="Times New Roman" w:eastAsia="黑体" w:hAnsi="Times New Roman"/>
      <w:b/>
      <w:bCs/>
      <w:szCs w:val="32"/>
      <w:lang w:val="en-US" w:eastAsia="zh-CN" w:bidi="ar-SA"/>
    </w:rPr>
  </w:style>
  <w:style w:type="character" w:customStyle="1" w:styleId="DocumentMapChar">
    <w:name w:val="Document Map Char"/>
    <w:link w:val="DocumentMap"/>
    <w:uiPriority w:val="99"/>
    <w:qFormat/>
    <w:rPr>
      <w:rFonts w:ascii="宋体"/>
      <w:kern w:val="2"/>
      <w:sz w:val="18"/>
      <w:szCs w:val="18"/>
    </w:rPr>
  </w:style>
  <w:style w:type="character" w:customStyle="1" w:styleId="CommentTextChar">
    <w:name w:val="Comment Text Char"/>
    <w:link w:val="CommentText"/>
    <w:uiPriority w:val="99"/>
    <w:qFormat/>
    <w:rPr>
      <w:kern w:val="2"/>
      <w:sz w:val="21"/>
      <w:szCs w:val="22"/>
    </w:rPr>
  </w:style>
  <w:style w:type="character" w:customStyle="1" w:styleId="BodyTextChar">
    <w:name w:val="Body Text Char"/>
    <w:link w:val="BodyText"/>
    <w:uiPriority w:val="99"/>
    <w:semiHidden/>
    <w:qFormat/>
    <w:rPr>
      <w:kern w:val="2"/>
      <w:sz w:val="21"/>
      <w:szCs w:val="22"/>
    </w:rPr>
  </w:style>
  <w:style w:type="character" w:customStyle="1" w:styleId="BodyTextIndentChar">
    <w:name w:val="Body Text Indent Char"/>
    <w:link w:val="BodyTextIndent"/>
    <w:qFormat/>
    <w:rPr>
      <w:rFonts w:ascii="Times New Roman" w:hAnsi="Times New Roman"/>
      <w:szCs w:val="24"/>
    </w:rPr>
  </w:style>
  <w:style w:type="character" w:customStyle="1" w:styleId="PlainTextChar">
    <w:name w:val="Plain Text Char"/>
    <w:link w:val="PlainText"/>
    <w:qFormat/>
    <w:rPr>
      <w:rFonts w:ascii="宋体" w:hAnsi="Courier New"/>
    </w:rPr>
  </w:style>
  <w:style w:type="character" w:customStyle="1" w:styleId="BodyTextIndent2Char">
    <w:name w:val="Body Text Indent 2 Char"/>
    <w:link w:val="BodyTextIndent2"/>
    <w:uiPriority w:val="99"/>
    <w:qFormat/>
    <w:rPr>
      <w:kern w:val="2"/>
      <w:sz w:val="21"/>
      <w:szCs w:val="22"/>
    </w:rPr>
  </w:style>
  <w:style w:type="character" w:customStyle="1" w:styleId="EndnoteTextChar">
    <w:name w:val="Endnote Text Char"/>
    <w:link w:val="EndnoteText"/>
    <w:uiPriority w:val="99"/>
    <w:qFormat/>
    <w:rPr>
      <w:kern w:val="2"/>
      <w:sz w:val="21"/>
      <w:szCs w:val="22"/>
    </w:rPr>
  </w:style>
  <w:style w:type="character" w:customStyle="1" w:styleId="BalloonTextChar">
    <w:name w:val="Balloon Text Char"/>
    <w:link w:val="BalloonText"/>
    <w:uiPriority w:val="99"/>
    <w:qFormat/>
    <w:rPr>
      <w:kern w:val="2"/>
      <w:sz w:val="18"/>
      <w:szCs w:val="18"/>
    </w:rPr>
  </w:style>
  <w:style w:type="character" w:customStyle="1" w:styleId="FooterChar">
    <w:name w:val="Footer Char"/>
    <w:link w:val="Footer"/>
    <w:uiPriority w:val="99"/>
    <w:qFormat/>
    <w:rPr>
      <w:sz w:val="18"/>
      <w:szCs w:val="18"/>
    </w:rPr>
  </w:style>
  <w:style w:type="character" w:customStyle="1" w:styleId="HeaderChar">
    <w:name w:val="Header Char"/>
    <w:link w:val="Header"/>
    <w:uiPriority w:val="99"/>
    <w:qFormat/>
    <w:rPr>
      <w:sz w:val="18"/>
      <w:szCs w:val="18"/>
    </w:rPr>
  </w:style>
  <w:style w:type="character" w:customStyle="1" w:styleId="TitleChar">
    <w:name w:val="Title Char"/>
    <w:link w:val="Title"/>
    <w:uiPriority w:val="10"/>
    <w:qFormat/>
    <w:rPr>
      <w:rFonts w:ascii="Cambria" w:hAnsi="Cambria" w:cs="Times New Roman"/>
      <w:b/>
      <w:bCs/>
      <w:kern w:val="2"/>
      <w:sz w:val="32"/>
      <w:szCs w:val="32"/>
    </w:rPr>
  </w:style>
  <w:style w:type="character" w:customStyle="1" w:styleId="CommentSubjectChar">
    <w:name w:val="Comment Subject Char"/>
    <w:link w:val="CommentSubject"/>
    <w:uiPriority w:val="99"/>
    <w:semiHidden/>
    <w:qFormat/>
    <w:rPr>
      <w:b/>
      <w:bCs/>
      <w:kern w:val="2"/>
      <w:sz w:val="21"/>
      <w:szCs w:val="22"/>
    </w:rPr>
  </w:style>
  <w:style w:type="character" w:customStyle="1" w:styleId="AChar">
    <w:name w:val="A作者 Char"/>
    <w:link w:val="A0"/>
    <w:qFormat/>
    <w:rPr>
      <w:rFonts w:ascii="黑体" w:eastAsia="黑体" w:hAnsi="Times New Roman"/>
      <w:color w:val="000000"/>
      <w:kern w:val="2"/>
      <w:sz w:val="24"/>
      <w:szCs w:val="24"/>
    </w:rPr>
  </w:style>
  <w:style w:type="paragraph" w:customStyle="1" w:styleId="A0">
    <w:name w:val="A作者"/>
    <w:basedOn w:val="Normal"/>
    <w:link w:val="AChar"/>
    <w:qFormat/>
    <w:pPr>
      <w:spacing w:after="100" w:afterAutospacing="1" w:line="360" w:lineRule="auto"/>
      <w:jc w:val="center"/>
    </w:pPr>
    <w:rPr>
      <w:rFonts w:ascii="黑体" w:eastAsia="黑体"/>
      <w:color w:val="000000"/>
      <w:sz w:val="24"/>
    </w:rPr>
  </w:style>
  <w:style w:type="character" w:customStyle="1" w:styleId="2Char1">
    <w:name w:val="正文文本缩进 2 Char1"/>
    <w:uiPriority w:val="99"/>
    <w:semiHidden/>
    <w:qFormat/>
    <w:rPr>
      <w:rFonts w:ascii="Times New Roman" w:hAnsi="Times New Roman"/>
      <w:kern w:val="2"/>
      <w:sz w:val="21"/>
      <w:szCs w:val="24"/>
    </w:rPr>
  </w:style>
  <w:style w:type="character" w:customStyle="1" w:styleId="Char1">
    <w:name w:val="正文文本缩进 Char1"/>
    <w:uiPriority w:val="99"/>
    <w:semiHidden/>
    <w:qFormat/>
    <w:rPr>
      <w:rFonts w:ascii="Times New Roman" w:hAnsi="Times New Roman"/>
      <w:kern w:val="2"/>
      <w:sz w:val="21"/>
      <w:szCs w:val="24"/>
    </w:rPr>
  </w:style>
  <w:style w:type="character" w:customStyle="1" w:styleId="Char10">
    <w:name w:val="文档结构图 Char1"/>
    <w:uiPriority w:val="99"/>
    <w:semiHidden/>
    <w:qFormat/>
    <w:rPr>
      <w:rFonts w:ascii="宋体" w:hAnsi="Times New Roman"/>
      <w:kern w:val="2"/>
      <w:sz w:val="18"/>
      <w:szCs w:val="18"/>
    </w:rPr>
  </w:style>
  <w:style w:type="character" w:customStyle="1" w:styleId="Char11">
    <w:name w:val="纯文本 Char1"/>
    <w:uiPriority w:val="99"/>
    <w:semiHidden/>
    <w:qFormat/>
    <w:rPr>
      <w:rFonts w:ascii="宋体" w:eastAsia="宋体" w:hAnsi="Courier New" w:cs="Courier New"/>
      <w:szCs w:val="21"/>
    </w:rPr>
  </w:style>
  <w:style w:type="character" w:styleId="PlaceholderText">
    <w:name w:val="Placeholder Text"/>
    <w:uiPriority w:val="99"/>
    <w:semiHidden/>
    <w:qFormat/>
    <w:rPr>
      <w:color w:val="808080"/>
    </w:rPr>
  </w:style>
  <w:style w:type="character" w:customStyle="1" w:styleId="apple-converted-space">
    <w:name w:val="apple-converted-space"/>
    <w:qFormat/>
  </w:style>
  <w:style w:type="character" w:customStyle="1" w:styleId="4Char">
    <w:name w:val="样式 样式4 + 五号 Char"/>
    <w:qFormat/>
    <w:rPr>
      <w:rFonts w:eastAsia="方正书宋简体"/>
      <w:spacing w:val="2"/>
      <w:kern w:val="2"/>
      <w:sz w:val="21"/>
      <w:lang w:val="en-US" w:eastAsia="zh-CN" w:bidi="ar-SA"/>
    </w:rPr>
  </w:style>
  <w:style w:type="character" w:customStyle="1" w:styleId="Char12">
    <w:name w:val="批注文字 Char1"/>
    <w:uiPriority w:val="99"/>
    <w:semiHidden/>
    <w:qFormat/>
  </w:style>
  <w:style w:type="character" w:customStyle="1" w:styleId="high-light-bg">
    <w:name w:val="high-light-bg"/>
    <w:qFormat/>
  </w:style>
  <w:style w:type="paragraph" w:customStyle="1" w:styleId="8">
    <w:name w:val="标题8"/>
    <w:basedOn w:val="Normal"/>
    <w:qFormat/>
    <w:pPr>
      <w:snapToGrid w:val="0"/>
      <w:spacing w:after="40" w:line="300" w:lineRule="exact"/>
      <w:jc w:val="center"/>
      <w:outlineLvl w:val="7"/>
    </w:pPr>
    <w:rPr>
      <w:rFonts w:eastAsia="方正书宋简体"/>
      <w:color w:val="000000"/>
      <w:spacing w:val="2"/>
      <w:sz w:val="20"/>
      <w:szCs w:val="20"/>
    </w:rPr>
  </w:style>
  <w:style w:type="paragraph" w:styleId="ListParagraph">
    <w:name w:val="List Paragraph"/>
    <w:basedOn w:val="Normal"/>
    <w:uiPriority w:val="34"/>
    <w:qFormat/>
    <w:pPr>
      <w:ind w:firstLineChars="200" w:firstLine="420"/>
    </w:pPr>
  </w:style>
  <w:style w:type="paragraph" w:customStyle="1" w:styleId="05Abstract">
    <w:name w:val="05文章的Abstract"/>
    <w:next w:val="Normal"/>
    <w:qFormat/>
    <w:pPr>
      <w:topLinePunct/>
      <w:spacing w:line="0" w:lineRule="atLeast"/>
      <w:ind w:firstLineChars="200" w:firstLine="361"/>
      <w:jc w:val="both"/>
    </w:pPr>
    <w:rPr>
      <w:b/>
      <w:sz w:val="18"/>
      <w:szCs w:val="18"/>
    </w:rPr>
  </w:style>
  <w:style w:type="paragraph" w:customStyle="1" w:styleId="5">
    <w:name w:val="标题5"/>
    <w:basedOn w:val="Normal"/>
    <w:qFormat/>
    <w:pPr>
      <w:snapToGrid w:val="0"/>
      <w:spacing w:before="50" w:after="50" w:line="245" w:lineRule="auto"/>
      <w:jc w:val="left"/>
      <w:outlineLvl w:val="4"/>
    </w:pPr>
    <w:rPr>
      <w:rFonts w:eastAsia="方正小标宋简体"/>
      <w:spacing w:val="4"/>
      <w:sz w:val="20"/>
      <w:szCs w:val="20"/>
    </w:rPr>
  </w:style>
  <w:style w:type="paragraph" w:customStyle="1" w:styleId="03affiliation">
    <w:name w:val="03文章的affiliation"/>
    <w:next w:val="Normal"/>
    <w:qFormat/>
    <w:pPr>
      <w:spacing w:line="0" w:lineRule="atLeast"/>
      <w:jc w:val="center"/>
    </w:pPr>
  </w:style>
  <w:style w:type="paragraph" w:customStyle="1" w:styleId="A1">
    <w:name w:val="A一级标题"/>
    <w:basedOn w:val="Normal"/>
    <w:qFormat/>
    <w:pPr>
      <w:spacing w:line="360" w:lineRule="auto"/>
      <w:jc w:val="left"/>
      <w:outlineLvl w:val="0"/>
    </w:pPr>
    <w:rPr>
      <w:rFonts w:eastAsia="黑体"/>
      <w:color w:val="000000"/>
      <w:sz w:val="28"/>
      <w:szCs w:val="28"/>
    </w:rPr>
  </w:style>
  <w:style w:type="paragraph" w:customStyle="1" w:styleId="a2">
    <w:name w:val="图表标题"/>
    <w:qFormat/>
    <w:pPr>
      <w:widowControl w:val="0"/>
      <w:adjustRightInd w:val="0"/>
      <w:snapToGrid w:val="0"/>
      <w:spacing w:before="120" w:after="120"/>
      <w:jc w:val="center"/>
    </w:pPr>
    <w:rPr>
      <w:rFonts w:ascii="Arial" w:eastAsia="黑体" w:hAnsi="Arial"/>
      <w:sz w:val="18"/>
    </w:rPr>
  </w:style>
  <w:style w:type="paragraph" w:customStyle="1" w:styleId="A3">
    <w:name w:val="A二级标题"/>
    <w:basedOn w:val="A1"/>
    <w:qFormat/>
    <w:pPr>
      <w:outlineLvl w:val="1"/>
    </w:pPr>
    <w:rPr>
      <w:sz w:val="24"/>
      <w:szCs w:val="24"/>
    </w:rPr>
  </w:style>
  <w:style w:type="paragraph" w:customStyle="1" w:styleId="A4">
    <w:name w:val="A正文"/>
    <w:basedOn w:val="Normal"/>
    <w:link w:val="A5"/>
    <w:qFormat/>
    <w:pPr>
      <w:adjustRightInd w:val="0"/>
      <w:snapToGrid w:val="0"/>
      <w:spacing w:line="360" w:lineRule="auto"/>
      <w:ind w:firstLineChars="200" w:firstLine="200"/>
    </w:pPr>
    <w:rPr>
      <w:color w:val="000000"/>
      <w:sz w:val="24"/>
    </w:rPr>
  </w:style>
  <w:style w:type="character" w:customStyle="1" w:styleId="A5">
    <w:name w:val="A正文 字符"/>
    <w:link w:val="A4"/>
    <w:qFormat/>
    <w:rPr>
      <w:rFonts w:ascii="Times New Roman" w:hAnsi="Times New Roman"/>
      <w:color w:val="000000"/>
      <w:kern w:val="2"/>
      <w:sz w:val="24"/>
      <w:szCs w:val="24"/>
    </w:rPr>
  </w:style>
  <w:style w:type="paragraph" w:customStyle="1" w:styleId="-11">
    <w:name w:val="彩色列表 - 强调文字颜色 11"/>
    <w:basedOn w:val="Normal"/>
    <w:uiPriority w:val="34"/>
    <w:qFormat/>
    <w:pPr>
      <w:ind w:firstLineChars="200" w:firstLine="420"/>
    </w:pPr>
  </w:style>
  <w:style w:type="paragraph" w:customStyle="1" w:styleId="a6">
    <w:name w:val="作者简介"/>
    <w:basedOn w:val="Normal"/>
    <w:qFormat/>
    <w:pPr>
      <w:adjustRightInd w:val="0"/>
      <w:snapToGrid w:val="0"/>
      <w:spacing w:line="300" w:lineRule="atLeast"/>
    </w:pPr>
    <w:rPr>
      <w:rFonts w:eastAsia="华文楷体"/>
      <w:bCs/>
      <w:snapToGrid w:val="0"/>
      <w:kern w:val="0"/>
      <w:sz w:val="15"/>
      <w:szCs w:val="20"/>
    </w:rPr>
  </w:style>
  <w:style w:type="paragraph" w:customStyle="1" w:styleId="09references">
    <w:name w:val="09文章的references"/>
    <w:next w:val="Normal"/>
    <w:qFormat/>
    <w:pPr>
      <w:spacing w:beforeLines="100" w:afterLines="100" w:line="0" w:lineRule="atLeast"/>
    </w:pPr>
    <w:rPr>
      <w:b/>
    </w:rPr>
  </w:style>
  <w:style w:type="paragraph" w:customStyle="1" w:styleId="a7">
    <w:name w:val="文章编号"/>
    <w:basedOn w:val="Normal"/>
    <w:next w:val="Title"/>
    <w:qFormat/>
    <w:pPr>
      <w:adjustRightInd w:val="0"/>
      <w:snapToGrid w:val="0"/>
      <w:textAlignment w:val="baseline"/>
    </w:pPr>
    <w:rPr>
      <w:rFonts w:eastAsia="方正黑体_GBK"/>
      <w:snapToGrid w:val="0"/>
      <w:sz w:val="18"/>
      <w:szCs w:val="21"/>
    </w:rPr>
  </w:style>
  <w:style w:type="paragraph" w:customStyle="1" w:styleId="02author">
    <w:name w:val="02文章的author"/>
    <w:next w:val="Normal"/>
    <w:qFormat/>
    <w:pPr>
      <w:spacing w:afterLines="100" w:line="0" w:lineRule="atLeast"/>
      <w:jc w:val="center"/>
    </w:pPr>
    <w:rPr>
      <w:b/>
      <w:caps/>
    </w:rPr>
  </w:style>
  <w:style w:type="paragraph" w:customStyle="1" w:styleId="3">
    <w:name w:val="样式3"/>
    <w:basedOn w:val="Normal"/>
    <w:qFormat/>
    <w:pPr>
      <w:snapToGrid w:val="0"/>
      <w:spacing w:before="120" w:line="245" w:lineRule="auto"/>
    </w:pPr>
    <w:rPr>
      <w:rFonts w:eastAsia="仿宋_GB2312"/>
      <w:spacing w:val="4"/>
      <w:sz w:val="18"/>
      <w:szCs w:val="20"/>
    </w:rPr>
  </w:style>
  <w:style w:type="paragraph" w:customStyle="1" w:styleId="A">
    <w:name w:val="A参考文献"/>
    <w:basedOn w:val="BodyText"/>
    <w:qFormat/>
    <w:pPr>
      <w:numPr>
        <w:numId w:val="1"/>
      </w:numPr>
      <w:spacing w:after="0"/>
    </w:pPr>
    <w:rPr>
      <w:rFonts w:ascii="Times New Roman" w:hAnsi="Times New Roman"/>
      <w:color w:val="000000"/>
      <w:szCs w:val="18"/>
    </w:rPr>
  </w:style>
  <w:style w:type="paragraph" w:customStyle="1" w:styleId="A8">
    <w:name w:val="A三级标题"/>
    <w:basedOn w:val="A3"/>
    <w:next w:val="A4"/>
    <w:qFormat/>
    <w:rPr>
      <w:sz w:val="21"/>
      <w:szCs w:val="21"/>
    </w:rPr>
  </w:style>
  <w:style w:type="paragraph" w:customStyle="1" w:styleId="a9">
    <w:name w:val="论文正文"/>
    <w:qFormat/>
    <w:pPr>
      <w:tabs>
        <w:tab w:val="left" w:pos="168"/>
      </w:tabs>
      <w:spacing w:line="360" w:lineRule="auto"/>
      <w:ind w:firstLineChars="200" w:firstLine="504"/>
    </w:pPr>
    <w:rPr>
      <w:rFonts w:ascii="宋体" w:hAnsi="宋体"/>
      <w:spacing w:val="6"/>
      <w:kern w:val="2"/>
      <w:sz w:val="24"/>
      <w:szCs w:val="24"/>
    </w:rPr>
  </w:style>
  <w:style w:type="paragraph" w:customStyle="1" w:styleId="6">
    <w:name w:val="标题6"/>
    <w:basedOn w:val="Normal"/>
    <w:qFormat/>
    <w:pPr>
      <w:snapToGrid w:val="0"/>
      <w:spacing w:before="160" w:after="40" w:line="245" w:lineRule="auto"/>
      <w:jc w:val="center"/>
      <w:outlineLvl w:val="5"/>
    </w:pPr>
    <w:rPr>
      <w:rFonts w:eastAsia="方正小标宋简体"/>
      <w:spacing w:val="4"/>
      <w:sz w:val="20"/>
      <w:szCs w:val="20"/>
    </w:rPr>
  </w:style>
  <w:style w:type="paragraph" w:customStyle="1" w:styleId="10references">
    <w:name w:val="10文章的references正文"/>
    <w:next w:val="Normal"/>
    <w:qFormat/>
    <w:pPr>
      <w:spacing w:line="0" w:lineRule="atLeast"/>
      <w:jc w:val="both"/>
    </w:pPr>
  </w:style>
  <w:style w:type="paragraph" w:customStyle="1" w:styleId="Reference">
    <w:name w:val="Reference"/>
    <w:basedOn w:val="Normal"/>
    <w:qFormat/>
    <w:pPr>
      <w:keepNext/>
      <w:widowControl/>
      <w:ind w:left="540" w:hanging="540"/>
      <w:jc w:val="left"/>
    </w:pPr>
    <w:rPr>
      <w:kern w:val="0"/>
      <w:sz w:val="20"/>
      <w:szCs w:val="20"/>
      <w:lang w:val="fr-FR" w:eastAsia="fr-FR"/>
    </w:rPr>
  </w:style>
  <w:style w:type="paragraph" w:customStyle="1" w:styleId="4">
    <w:name w:val="标题4"/>
    <w:basedOn w:val="Normal"/>
    <w:qFormat/>
    <w:pPr>
      <w:snapToGrid w:val="0"/>
      <w:spacing w:before="60" w:after="40" w:line="245" w:lineRule="auto"/>
      <w:jc w:val="left"/>
      <w:outlineLvl w:val="3"/>
    </w:pPr>
    <w:rPr>
      <w:rFonts w:eastAsia="方正小标宋简体"/>
      <w:spacing w:val="4"/>
      <w:sz w:val="24"/>
      <w:szCs w:val="20"/>
    </w:rPr>
  </w:style>
  <w:style w:type="paragraph" w:customStyle="1" w:styleId="7">
    <w:name w:val="标题7"/>
    <w:basedOn w:val="Normal"/>
    <w:qFormat/>
    <w:pPr>
      <w:snapToGrid w:val="0"/>
      <w:spacing w:before="1080" w:after="360" w:line="300" w:lineRule="exact"/>
      <w:jc w:val="center"/>
      <w:outlineLvl w:val="6"/>
    </w:pPr>
    <w:rPr>
      <w:rFonts w:eastAsia="方正书宋简体"/>
      <w:b/>
      <w:bCs/>
      <w:color w:val="000000"/>
      <w:spacing w:val="2"/>
      <w:sz w:val="28"/>
      <w:szCs w:val="28"/>
    </w:rPr>
  </w:style>
  <w:style w:type="paragraph" w:customStyle="1" w:styleId="aa">
    <w:name w:val="文献"/>
    <w:qFormat/>
    <w:pPr>
      <w:widowControl w:val="0"/>
      <w:tabs>
        <w:tab w:val="left" w:pos="360"/>
      </w:tabs>
      <w:adjustRightInd w:val="0"/>
      <w:snapToGrid w:val="0"/>
      <w:spacing w:line="300" w:lineRule="atLeast"/>
      <w:ind w:left="360" w:hanging="360"/>
      <w:jc w:val="both"/>
    </w:pPr>
    <w:rPr>
      <w:sz w:val="15"/>
      <w:szCs w:val="15"/>
    </w:rPr>
  </w:style>
  <w:style w:type="paragraph" w:customStyle="1" w:styleId="Ab">
    <w:name w:val="A文章标题"/>
    <w:basedOn w:val="A4"/>
    <w:qFormat/>
    <w:pPr>
      <w:spacing w:before="100" w:beforeAutospacing="1"/>
      <w:ind w:firstLineChars="0" w:firstLine="0"/>
      <w:jc w:val="center"/>
    </w:pPr>
    <w:rPr>
      <w:rFonts w:eastAsia="黑体"/>
      <w:sz w:val="36"/>
      <w:szCs w:val="36"/>
    </w:rPr>
  </w:style>
  <w:style w:type="paragraph" w:customStyle="1" w:styleId="Text">
    <w:name w:val="Text"/>
    <w:basedOn w:val="Normal"/>
    <w:qFormat/>
    <w:pPr>
      <w:spacing w:line="252" w:lineRule="auto"/>
      <w:ind w:firstLine="240"/>
    </w:pPr>
    <w:rPr>
      <w:kern w:val="0"/>
      <w:sz w:val="20"/>
      <w:szCs w:val="20"/>
      <w:lang w:eastAsia="en-US"/>
    </w:rPr>
  </w:style>
  <w:style w:type="paragraph" w:customStyle="1" w:styleId="xl71">
    <w:name w:val="xl71"/>
    <w:basedOn w:val="Normal"/>
    <w:qFormat/>
    <w:pPr>
      <w:widowControl/>
      <w:spacing w:before="100" w:beforeAutospacing="1" w:after="100" w:afterAutospacing="1"/>
      <w:jc w:val="center"/>
    </w:pPr>
    <w:rPr>
      <w:rFonts w:ascii="Arial Unicode MS" w:eastAsia="Arial Unicode MS" w:hAnsi="Arial Unicode MS" w:cs="Arial Unicode MS"/>
      <w:b/>
      <w:bCs/>
      <w:kern w:val="0"/>
      <w:sz w:val="18"/>
      <w:szCs w:val="18"/>
    </w:rPr>
  </w:style>
  <w:style w:type="paragraph" w:customStyle="1" w:styleId="ac">
    <w:name w:val="作者名"/>
    <w:basedOn w:val="Normal"/>
    <w:qFormat/>
    <w:pPr>
      <w:spacing w:after="100" w:afterAutospacing="1" w:line="360" w:lineRule="auto"/>
      <w:jc w:val="center"/>
    </w:pPr>
    <w:rPr>
      <w:rFonts w:ascii="黑体" w:eastAsia="黑体" w:hAnsi="黑体"/>
      <w:color w:val="000000"/>
      <w:sz w:val="24"/>
    </w:rPr>
  </w:style>
  <w:style w:type="paragraph" w:customStyle="1" w:styleId="ad">
    <w:name w:val="表格内容"/>
    <w:basedOn w:val="Normal"/>
    <w:qFormat/>
    <w:pPr>
      <w:adjustRightInd w:val="0"/>
      <w:jc w:val="center"/>
      <w:textAlignment w:val="baseline"/>
    </w:pPr>
    <w:rPr>
      <w:kern w:val="0"/>
      <w:sz w:val="24"/>
      <w:szCs w:val="20"/>
    </w:rPr>
  </w:style>
  <w:style w:type="paragraph" w:customStyle="1" w:styleId="2">
    <w:name w:val="样式2"/>
    <w:qFormat/>
    <w:pPr>
      <w:snapToGrid w:val="0"/>
      <w:ind w:left="454" w:right="454"/>
      <w:jc w:val="both"/>
    </w:pPr>
    <w:rPr>
      <w:rFonts w:eastAsia="方正仿宋简体"/>
    </w:rPr>
  </w:style>
  <w:style w:type="paragraph" w:customStyle="1" w:styleId="40">
    <w:name w:val="样式4"/>
    <w:basedOn w:val="Normal"/>
    <w:qFormat/>
    <w:pPr>
      <w:snapToGrid w:val="0"/>
      <w:spacing w:before="120"/>
    </w:pPr>
    <w:rPr>
      <w:rFonts w:eastAsia="方正仿宋简体"/>
      <w:spacing w:val="4"/>
      <w:sz w:val="18"/>
    </w:rPr>
  </w:style>
  <w:style w:type="paragraph" w:customStyle="1" w:styleId="Ae">
    <w:name w:val="A图名表名"/>
    <w:basedOn w:val="Normal"/>
    <w:qFormat/>
    <w:pPr>
      <w:spacing w:line="360" w:lineRule="auto"/>
      <w:jc w:val="center"/>
    </w:pPr>
    <w:rPr>
      <w:rFonts w:eastAsia="黑体"/>
      <w:color w:val="000000"/>
      <w:szCs w:val="21"/>
    </w:rPr>
  </w:style>
  <w:style w:type="table" w:customStyle="1" w:styleId="11">
    <w:name w:val="中等深浅列表 11"/>
    <w:basedOn w:val="TableNormal"/>
    <w:uiPriority w:val="65"/>
    <w:qFormat/>
    <w:rPr>
      <w:color w:val="000000"/>
    </w:rPr>
    <w:tblPr>
      <w:tblBorders>
        <w:top w:val="single" w:sz="8" w:space="0" w:color="000000"/>
        <w:bottom w:val="single" w:sz="8" w:space="0" w:color="000000"/>
      </w:tblBorders>
    </w:tblPr>
    <w:tblStylePr w:type="firstRow">
      <w:rPr>
        <w:rFonts w:ascii="方正小标宋简体" w:eastAsia="仿宋_GB2312" w:hAnsi="方正小标宋简体" w:cs="Times New Roman"/>
      </w:rPr>
      <w:tblPr/>
      <w:tcPr>
        <w:tcBorders>
          <w:top w:val="nil"/>
          <w:left w:val="single" w:sz="8" w:space="0" w:color="000000"/>
          <w:bottom w:val="nil"/>
          <w:right w:val="nil"/>
          <w:insideH w:val="nil"/>
          <w:insideV w:val="nil"/>
          <w:tl2br w:val="nil"/>
          <w:tr2bl w:val="nil"/>
        </w:tcBorders>
      </w:tcPr>
    </w:tblStylePr>
    <w:tblStylePr w:type="lastRow">
      <w:rPr>
        <w:b/>
        <w:bCs/>
        <w:color w:val="1F497D"/>
      </w:rPr>
      <w:tblPr/>
      <w:tcPr>
        <w:tcBorders>
          <w:top w:val="single" w:sz="8" w:space="0" w:color="000000"/>
          <w:left w:val="single" w:sz="8" w:space="0" w:color="000000"/>
          <w:bottom w:val="nil"/>
          <w:right w:val="nil"/>
          <w:insideH w:val="nil"/>
          <w:insideV w:val="nil"/>
          <w:tl2br w:val="nil"/>
          <w:tr2bl w:val="nil"/>
        </w:tcBorders>
      </w:tcPr>
    </w:tblStylePr>
    <w:tblStylePr w:type="firstCol">
      <w:rPr>
        <w:b/>
        <w:bCs/>
      </w:rPr>
    </w:tblStylePr>
    <w:tblStylePr w:type="lastCol">
      <w:rPr>
        <w:b/>
        <w:bCs/>
      </w:rPr>
      <w:tblPr/>
      <w:tcPr>
        <w:tcBorders>
          <w:top w:val="single" w:sz="8" w:space="0" w:color="000000"/>
          <w:left w:val="single" w:sz="8" w:space="0" w:color="000000"/>
          <w:bottom w:val="nil"/>
          <w:right w:val="nil"/>
          <w:insideH w:val="nil"/>
          <w:insideV w:val="nil"/>
          <w:tl2br w:val="nil"/>
          <w:tr2bl w:val="nil"/>
        </w:tcBorders>
      </w:tcPr>
    </w:tblStylePr>
    <w:tblStylePr w:type="band1Vert">
      <w:tblPr/>
      <w:tcPr>
        <w:shd w:val="clear" w:color="auto" w:fill="C0C0C0"/>
      </w:tcPr>
    </w:tblStylePr>
    <w:tblStylePr w:type="band1Horz">
      <w:tblPr/>
      <w:tcPr>
        <w:shd w:val="clear" w:color="auto" w:fill="C0C0C0"/>
      </w:tcPr>
    </w:tblStylePr>
  </w:style>
  <w:style w:type="table" w:customStyle="1" w:styleId="1">
    <w:name w:val="浅色底纹1"/>
    <w:basedOn w:val="TableNormal"/>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single" w:sz="8" w:space="0" w:color="000000"/>
          <w:bottom w:val="nil"/>
          <w:right w:val="nil"/>
          <w:insideH w:val="nil"/>
          <w:insideV w:val="nil"/>
          <w:tl2br w:val="nil"/>
          <w:tr2bl w:val="nil"/>
        </w:tcBorders>
      </w:tcPr>
    </w:tblStylePr>
    <w:tblStylePr w:type="lastRow">
      <w:pPr>
        <w:spacing w:before="0" w:after="0" w:line="240" w:lineRule="auto"/>
      </w:pPr>
      <w:rPr>
        <w:b/>
        <w:bCs/>
      </w:rPr>
      <w:tblPr/>
      <w:tcPr>
        <w:tcBorders>
          <w:top w:val="single" w:sz="8" w:space="0" w:color="000000"/>
          <w:left w:val="single" w:sz="8" w:space="0" w:color="000000"/>
          <w:bottom w:val="nil"/>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C0C0C0"/>
      </w:tcPr>
    </w:tblStylePr>
    <w:tblStylePr w:type="band1Horz">
      <w:tblPr/>
      <w:tcPr>
        <w:tcBorders>
          <w:top w:val="nil"/>
          <w:left w:val="nil"/>
          <w:bottom w:val="nil"/>
          <w:right w:val="nil"/>
          <w:insideH w:val="nil"/>
          <w:insideV w:val="nil"/>
          <w:tl2br w:val="nil"/>
          <w:tr2bl w:val="nil"/>
        </w:tcBorders>
        <w:shd w:val="clear" w:color="auto" w:fill="C0C0C0"/>
      </w:tcPr>
    </w:tblStylePr>
  </w:style>
  <w:style w:type="character" w:customStyle="1" w:styleId="MTEquationSection">
    <w:name w:val="MTEquationSection"/>
    <w:qFormat/>
    <w:rPr>
      <w:rFonts w:ascii="黑体" w:eastAsia="黑体" w:hAnsi="黑体" w:cs="黑体"/>
      <w:vanish/>
      <w:color w:val="FF0000"/>
      <w:szCs w:val="21"/>
    </w:rPr>
  </w:style>
  <w:style w:type="paragraph" w:customStyle="1" w:styleId="MTDisplayEquation">
    <w:name w:val="MTDisplayEquation"/>
    <w:basedOn w:val="A4"/>
    <w:next w:val="Normal"/>
    <w:link w:val="MTDisplayEquation0"/>
    <w:qFormat/>
    <w:pPr>
      <w:tabs>
        <w:tab w:val="center" w:pos="4160"/>
        <w:tab w:val="right" w:pos="8300"/>
      </w:tabs>
      <w:ind w:firstLineChars="0" w:firstLine="0"/>
      <w:jc w:val="center"/>
    </w:pPr>
  </w:style>
  <w:style w:type="character" w:customStyle="1" w:styleId="MTDisplayEquation0">
    <w:name w:val="MTDisplayEquation 字符"/>
    <w:link w:val="MTDisplayEquation"/>
    <w:qFormat/>
  </w:style>
  <w:style w:type="character" w:customStyle="1" w:styleId="Style96">
    <w:name w:val="_Style 96"/>
    <w:uiPriority w:val="99"/>
    <w:unhideWhenUsed/>
    <w:qFormat/>
    <w:rPr>
      <w:color w:val="605E5C"/>
      <w:shd w:val="clear" w:color="auto" w:fill="E1DFDD"/>
    </w:rPr>
  </w:style>
  <w:style w:type="paragraph" w:customStyle="1" w:styleId="af">
    <w:name w:val="表格文本"/>
    <w:basedOn w:val="Normal"/>
    <w:qFormat/>
    <w:pPr>
      <w:adjustRightInd w:val="0"/>
      <w:snapToGrid w:val="0"/>
      <w:jc w:val="center"/>
    </w:pPr>
    <w:rPr>
      <w:rFonts w:eastAsia="方正书宋_GBK"/>
      <w:snapToGrid w:val="0"/>
      <w:sz w:val="15"/>
      <w:szCs w:val="21"/>
    </w:rPr>
  </w:style>
  <w:style w:type="table" w:customStyle="1" w:styleId="110">
    <w:name w:val="网格表 1 浅色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top w:val="nil"/>
          <w:left w:val="nil"/>
          <w:bottom w:val="single" w:sz="12" w:space="0" w:color="666666"/>
          <w:right w:val="nil"/>
          <w:insideH w:val="nil"/>
          <w:insideV w:val="nil"/>
          <w:tl2br w:val="nil"/>
          <w:tr2bl w:val="nil"/>
        </w:tcBorders>
      </w:tcPr>
    </w:tblStylePr>
    <w:tblStylePr w:type="lastRow">
      <w:rPr>
        <w:b/>
        <w:bCs/>
      </w:rPr>
      <w:tblPr/>
      <w:tcPr>
        <w:tcBorders>
          <w:top w:val="double" w:sz="2" w:space="0" w:color="666666"/>
          <w:left w:val="nil"/>
          <w:bottom w:val="nil"/>
          <w:right w:val="nil"/>
          <w:insideH w:val="nil"/>
          <w:insideV w:val="nil"/>
          <w:tl2br w:val="nil"/>
          <w:tr2bl w:val="nil"/>
        </w:tcBorders>
      </w:tcPr>
    </w:tblStylePr>
    <w:tblStylePr w:type="firstCol">
      <w:rPr>
        <w:b/>
        <w:bCs/>
      </w:rPr>
    </w:tblStylePr>
    <w:tblStylePr w:type="lastCol">
      <w:rPr>
        <w:b/>
        <w:bCs/>
      </w:rPr>
    </w:tblStylePr>
  </w:style>
  <w:style w:type="paragraph" w:customStyle="1" w:styleId="TSP21heading1">
    <w:name w:val="TSP_2.1_heading1"/>
    <w:qFormat/>
    <w:pPr>
      <w:adjustRightInd w:val="0"/>
      <w:snapToGrid w:val="0"/>
      <w:spacing w:before="240" w:after="60" w:line="240" w:lineRule="atLeast"/>
      <w:outlineLvl w:val="0"/>
    </w:pPr>
    <w:rPr>
      <w:rFonts w:ascii="Minion Pro" w:eastAsia="Times New Roman" w:hAnsi="Minion Pro"/>
      <w:b/>
      <w:snapToGrid w:val="0"/>
      <w:color w:val="000000"/>
      <w:sz w:val="22"/>
      <w:szCs w:val="22"/>
      <w:lang w:eastAsia="de-DE" w:bidi="en-US"/>
    </w:rPr>
  </w:style>
  <w:style w:type="paragraph" w:customStyle="1" w:styleId="TSP22heading2">
    <w:name w:val="TSP_2.2_heading2"/>
    <w:qFormat/>
    <w:pPr>
      <w:adjustRightInd w:val="0"/>
      <w:snapToGrid w:val="0"/>
      <w:spacing w:before="60" w:after="60" w:line="240" w:lineRule="atLeast"/>
      <w:outlineLvl w:val="1"/>
    </w:pPr>
    <w:rPr>
      <w:rFonts w:ascii="Minion Pro" w:eastAsia="Times New Roman" w:hAnsi="Minion Pro"/>
      <w:b/>
      <w:i/>
      <w:snapToGrid w:val="0"/>
      <w:color w:val="000000"/>
      <w:sz w:val="22"/>
      <w:szCs w:val="22"/>
      <w:lang w:eastAsia="de-DE" w:bidi="en-US"/>
    </w:rPr>
  </w:style>
  <w:style w:type="paragraph" w:customStyle="1" w:styleId="TSP31text">
    <w:name w:val="TSP_3.1_text"/>
    <w:qFormat/>
    <w:pPr>
      <w:adjustRightInd w:val="0"/>
      <w:snapToGrid w:val="0"/>
      <w:spacing w:after="60" w:line="240" w:lineRule="atLeast"/>
      <w:ind w:firstLine="425"/>
      <w:jc w:val="both"/>
    </w:pPr>
    <w:rPr>
      <w:rFonts w:ascii="Minion Pro" w:eastAsia="Times New Roman" w:hAnsi="Minion Pro"/>
      <w:snapToGrid w:val="0"/>
      <w:color w:val="000000"/>
      <w:sz w:val="22"/>
      <w:szCs w:val="22"/>
      <w:lang w:eastAsia="de-DE" w:bidi="en-US"/>
    </w:rPr>
  </w:style>
  <w:style w:type="paragraph" w:customStyle="1" w:styleId="TSP38bullet">
    <w:name w:val="TSP_3.8_bullet"/>
    <w:qFormat/>
    <w:pPr>
      <w:numPr>
        <w:numId w:val="2"/>
      </w:numPr>
      <w:adjustRightInd w:val="0"/>
      <w:snapToGrid w:val="0"/>
      <w:spacing w:line="228" w:lineRule="auto"/>
      <w:ind w:left="425"/>
      <w:jc w:val="both"/>
    </w:pPr>
    <w:rPr>
      <w:rFonts w:ascii="Minion Pro" w:eastAsia="Times New Roman" w:hAnsi="Minion Pro"/>
      <w:color w:val="000000"/>
      <w:sz w:val="22"/>
      <w:szCs w:val="22"/>
      <w:lang w:eastAsia="de-DE" w:bidi="en-US"/>
    </w:rPr>
  </w:style>
  <w:style w:type="paragraph" w:customStyle="1" w:styleId="TSP71References">
    <w:name w:val="TSP_7.1_References"/>
    <w:qFormat/>
    <w:pPr>
      <w:numPr>
        <w:numId w:val="3"/>
      </w:numPr>
      <w:adjustRightInd w:val="0"/>
      <w:snapToGrid w:val="0"/>
      <w:spacing w:line="228" w:lineRule="auto"/>
      <w:ind w:left="425" w:hanging="425"/>
      <w:jc w:val="both"/>
    </w:pPr>
    <w:rPr>
      <w:rFonts w:ascii="Minion Pro" w:eastAsia="等线" w:hAnsi="Minion Pro"/>
      <w:color w:val="000000"/>
      <w:lang w:eastAsia="de-DE" w:bidi="en-US"/>
    </w:rPr>
  </w:style>
  <w:style w:type="paragraph" w:customStyle="1" w:styleId="figurecaption">
    <w:name w:val="figure caption"/>
    <w:basedOn w:val="Normal"/>
    <w:qFormat/>
    <w:pPr>
      <w:numPr>
        <w:numId w:val="4"/>
      </w:numPr>
    </w:pPr>
  </w:style>
  <w:style w:type="paragraph" w:styleId="Revision">
    <w:name w:val="Revision"/>
    <w:hidden/>
    <w:uiPriority w:val="99"/>
    <w:unhideWhenUsed/>
    <w:rsid w:val="00735846"/>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wmf"/><Relationship Id="rId26" Type="http://schemas.openxmlformats.org/officeDocument/2006/relationships/image" Target="media/image13.wmf"/><Relationship Id="rId39" Type="http://schemas.openxmlformats.org/officeDocument/2006/relationships/oleObject" Target="embeddings/oleObject13.bin"/><Relationship Id="rId21" Type="http://schemas.openxmlformats.org/officeDocument/2006/relationships/oleObject" Target="embeddings/oleObject5.bin"/><Relationship Id="rId34" Type="http://schemas.openxmlformats.org/officeDocument/2006/relationships/image" Target="media/image17.wmf"/><Relationship Id="rId42" Type="http://schemas.openxmlformats.org/officeDocument/2006/relationships/image" Target="media/image22.wmf"/><Relationship Id="rId47" Type="http://schemas.openxmlformats.org/officeDocument/2006/relationships/oleObject" Target="embeddings/oleObject17.bin"/><Relationship Id="rId50" Type="http://schemas.openxmlformats.org/officeDocument/2006/relationships/image" Target="media/image26.wmf"/><Relationship Id="rId55" Type="http://schemas.openxmlformats.org/officeDocument/2006/relationships/oleObject" Target="embeddings/oleObject21.bin"/><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image" Target="media/image56.png"/><Relationship Id="rId89"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43.png"/><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oleObject" Target="embeddings/oleObject9.bin"/><Relationship Id="rId11" Type="http://schemas.openxmlformats.org/officeDocument/2006/relationships/image" Target="media/image5.png"/><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1.png"/><Relationship Id="rId87" Type="http://schemas.openxmlformats.org/officeDocument/2006/relationships/image" Target="media/image59.png"/><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54.png"/><Relationship Id="rId90"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oleObject" Target="embeddings/oleObject8.bin"/><Relationship Id="rId30" Type="http://schemas.openxmlformats.org/officeDocument/2006/relationships/image" Target="media/image15.w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image" Target="media/image25.wmf"/><Relationship Id="rId56" Type="http://schemas.openxmlformats.org/officeDocument/2006/relationships/image" Target="media/image29.w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image" Target="media/image2.png"/><Relationship Id="rId51" Type="http://schemas.openxmlformats.org/officeDocument/2006/relationships/oleObject" Target="embeddings/oleObject19.bin"/><Relationship Id="rId72" Type="http://schemas.openxmlformats.org/officeDocument/2006/relationships/image" Target="media/image44.png"/><Relationship Id="rId80" Type="http://schemas.openxmlformats.org/officeDocument/2006/relationships/image" Target="media/image52.png"/><Relationship Id="rId85" Type="http://schemas.openxmlformats.org/officeDocument/2006/relationships/image" Target="media/image57.pn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10.wmf"/><Relationship Id="rId41" Type="http://schemas.openxmlformats.org/officeDocument/2006/relationships/oleObject" Target="embeddings/oleObject14.bin"/><Relationship Id="rId54" Type="http://schemas.openxmlformats.org/officeDocument/2006/relationships/image" Target="media/image28.wmf"/><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5.png"/><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4.wmf"/><Relationship Id="rId36" Type="http://schemas.openxmlformats.org/officeDocument/2006/relationships/image" Target="media/image18.png"/><Relationship Id="rId49" Type="http://schemas.openxmlformats.org/officeDocument/2006/relationships/oleObject" Target="embeddings/oleObject18.bin"/><Relationship Id="rId57" Type="http://schemas.openxmlformats.org/officeDocument/2006/relationships/oleObject" Target="embeddings/oleObject22.bin"/><Relationship Id="rId10" Type="http://schemas.openxmlformats.org/officeDocument/2006/relationships/image" Target="media/image4.png"/><Relationship Id="rId31" Type="http://schemas.openxmlformats.org/officeDocument/2006/relationships/oleObject" Target="embeddings/oleObject10.bin"/><Relationship Id="rId44" Type="http://schemas.openxmlformats.org/officeDocument/2006/relationships/image" Target="media/image23.wmf"/><Relationship Id="rId52" Type="http://schemas.openxmlformats.org/officeDocument/2006/relationships/image" Target="media/image27.wmf"/><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8.png"/><Relationship Id="rId4" Type="http://schemas.openxmlformats.org/officeDocument/2006/relationships/webSettings" Target="webSettings.xml"/><Relationship Id="rId9"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Application%20Data\Microsoft\Templates\&#20379;&#29992;&#30005;&#27169;&#26495;.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供用电模板.dotx</Template>
  <TotalTime>10</TotalTime>
  <Pages>38</Pages>
  <Words>13657</Words>
  <Characters>78122</Characters>
  <Application>Microsoft Office Word</Application>
  <DocSecurity>0</DocSecurity>
  <Lines>1698</Lines>
  <Paragraphs>849</Paragraphs>
  <ScaleCrop>false</ScaleCrop>
  <Company/>
  <LinksUpToDate>false</LinksUpToDate>
  <CharactersWithSpaces>90930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主动配电网规划相关问题的探讨</dc:title>
  <dc:creator>hxj</dc:creator>
  <cp:lastModifiedBy>Tech Science Press</cp:lastModifiedBy>
  <cp:revision>59</cp:revision>
  <cp:lastPrinted>2021-12-27T07:27:00Z</cp:lastPrinted>
  <dcterms:created xsi:type="dcterms:W3CDTF">2013-12-17T06:25:00Z</dcterms:created>
  <dcterms:modified xsi:type="dcterms:W3CDTF">2025-12-11T03:35:00Z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MTEquationNumber2">
    <vt:lpwstr>(#E1)</vt:lpwstr>
  </property>
  <property fmtid="{D5CDD505-2E9C-101B-9397-08002B2CF9AE}" pid="4" name="MTEquationSection">
    <vt:lpwstr>1</vt:lpwstr>
  </property>
  <property fmtid="{D5CDD505-2E9C-101B-9397-08002B2CF9AE}" pid="5" name="MTWinEqns">
    <vt:bool>true</vt:bool>
  </property>
  <property fmtid="{D5CDD505-2E9C-101B-9397-08002B2CF9AE}" pid="6" name="ICV">
    <vt:lpwstr>68DB8B55C3734A57BF05D6282F0FA7DC_13</vt:lpwstr>
  </property>
  <property fmtid="{D5CDD505-2E9C-101B-9397-08002B2CF9AE}" pid="7" name="KSOTemplateDocerSaveRecord">
    <vt:lpwstr>eyJoZGlkIjoiYjY1MzdhMWJlNmYwMWRhZmNlMDcxMGJkZGQ5YTE3MzUiLCJ1c2VySWQiOiIxMTc4ODgwMTI2In0=</vt:lpwstr>
  </property>
  <property fmtid="{D5CDD505-2E9C-101B-9397-08002B2CF9AE}" pid="8" name="GrammarlyDocumentId">
    <vt:lpwstr>fa33e0c5-85f4-4519-9a48-7bd5195a6f85</vt:lpwstr>
  </property>
</Properties>
</file>