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26783" w14:textId="77777777" w:rsidR="0033656A" w:rsidRDefault="00DE5B72">
      <w:pPr>
        <w:pStyle w:val="Heading1"/>
        <w:spacing w:after="156"/>
      </w:pPr>
      <w:r>
        <w:t>Supplementary Material</w:t>
      </w:r>
    </w:p>
    <w:p w14:paraId="63C9E12F" w14:textId="77777777" w:rsidR="0033656A" w:rsidRDefault="00DE5B72">
      <w:pPr>
        <w:pStyle w:val="Heading1"/>
        <w:spacing w:after="156"/>
      </w:pPr>
      <w:r>
        <w:t>Fine-Scale Velocity Measurement of High-Pressure Transient Multiphase Jets via Adaptive Feature Enhancement and Improved Window Deformation PIV</w:t>
      </w:r>
    </w:p>
    <w:p w14:paraId="52D0A4AF" w14:textId="77777777" w:rsidR="0033656A" w:rsidRDefault="00DE5B72">
      <w:pPr>
        <w:spacing w:after="156"/>
      </w:pPr>
      <w:r>
        <w:t>This supplementary material provides a comprehensive analysis of the flow morphology and quantitative velocity field distribution for both the primary jet (safety valve opening) and the secondary jet (full-scale thermal runaway), serving as a detailed extension to the experimental results presented in the main text.</w:t>
      </w:r>
    </w:p>
    <w:p w14:paraId="294ABAE5" w14:textId="77777777" w:rsidR="0033656A" w:rsidRDefault="0033656A">
      <w:pPr>
        <w:spacing w:after="156"/>
        <w:rPr>
          <w:rFonts w:eastAsiaTheme="minorEastAsia"/>
        </w:rPr>
      </w:pPr>
    </w:p>
    <w:p w14:paraId="32F0BD8E" w14:textId="77777777" w:rsidR="0033656A" w:rsidRDefault="00DE5B72">
      <w:pPr>
        <w:spacing w:after="156"/>
      </w:pPr>
      <w:r>
        <w:br w:type="page"/>
      </w:r>
    </w:p>
    <w:p w14:paraId="58A4CCAC" w14:textId="77777777" w:rsidR="0033656A" w:rsidRPr="009158EC" w:rsidRDefault="00DE5B72">
      <w:pPr>
        <w:pStyle w:val="Heading2"/>
        <w:spacing w:after="156"/>
      </w:pPr>
      <w:bookmarkStart w:id="0" w:name="_Hlk227799233"/>
      <w:r w:rsidRPr="009158EC">
        <w:lastRenderedPageBreak/>
        <w:t>Spatial calibration of the primary-jet image sequence</w:t>
      </w:r>
    </w:p>
    <w:p w14:paraId="454CC564" w14:textId="77777777" w:rsidR="0033656A" w:rsidRPr="009158EC" w:rsidRDefault="00DE5B72">
      <w:pPr>
        <w:spacing w:after="156"/>
      </w:pPr>
      <w:r w:rsidRPr="009158EC">
        <w:t>As shown in Fig. S1, the spatial calibration was determined by comparing the characteristic length measured in the blank frame with the corresponding physical dimension obtained from the CT image. The measured length in the blank frame was 187.54 pixels, corresponding to a physical length of 3.93475 mm in the CT image. Therefore, the spatial resolution of the primary-jet image sequence was determined to be 0.02098 mm/pixel.</w:t>
      </w:r>
    </w:p>
    <w:p w14:paraId="2D3D5E2D" w14:textId="77777777" w:rsidR="0033656A" w:rsidRPr="009158EC" w:rsidRDefault="00927366">
      <w:pPr>
        <w:spacing w:after="156"/>
        <w:jc w:val="center"/>
        <w:rPr>
          <w:rFonts w:eastAsiaTheme="minorEastAsia"/>
        </w:rPr>
      </w:pPr>
      <w:r w:rsidRPr="009158EC">
        <w:rPr>
          <w:rFonts w:eastAsiaTheme="minorEastAsia"/>
          <w:noProof/>
        </w:rPr>
        <w:drawing>
          <wp:inline distT="0" distB="0" distL="0" distR="0" wp14:anchorId="41C14726" wp14:editId="2ED36435">
            <wp:extent cx="4625340" cy="369951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25340" cy="3699510"/>
                    </a:xfrm>
                    <a:prstGeom prst="rect">
                      <a:avLst/>
                    </a:prstGeom>
                    <a:noFill/>
                    <a:ln>
                      <a:noFill/>
                    </a:ln>
                  </pic:spPr>
                </pic:pic>
              </a:graphicData>
            </a:graphic>
          </wp:inline>
        </w:drawing>
      </w:r>
    </w:p>
    <w:p w14:paraId="2652BDD0" w14:textId="77777777" w:rsidR="007A3069" w:rsidRPr="009158EC" w:rsidRDefault="007A3069">
      <w:pPr>
        <w:spacing w:after="156"/>
        <w:rPr>
          <w:rFonts w:eastAsiaTheme="minorEastAsia"/>
        </w:rPr>
      </w:pPr>
      <w:r w:rsidRPr="009158EC">
        <w:rPr>
          <w:rFonts w:eastAsiaTheme="minorEastAsia"/>
        </w:rPr>
        <w:t>Fig. S1. Spatial calibration of the primary-jet image sequence: (a) blank-frame image used for pixel-distance measurement; (b) corresponding CT image used for physical-scale determination.</w:t>
      </w:r>
    </w:p>
    <w:bookmarkEnd w:id="0"/>
    <w:p w14:paraId="4F48A9C1" w14:textId="77777777" w:rsidR="0033656A" w:rsidRDefault="00DE5B72">
      <w:pPr>
        <w:pStyle w:val="Heading2"/>
        <w:spacing w:after="156"/>
      </w:pPr>
      <w:r>
        <w:t>Primary jet: evolution characteristics and velocity field distribution</w:t>
      </w:r>
    </w:p>
    <w:p w14:paraId="31A53F1C" w14:textId="77777777" w:rsidR="0033656A" w:rsidRDefault="00DE5B72">
      <w:pPr>
        <w:spacing w:after="156"/>
      </w:pPr>
      <w:r>
        <w:t>This section demonstrates the typical transient evolution process of the primary jet triggered by the opening of the safety valve in an NCM111 lithium-ion battery. Figs. S2 to S4 illustrate the complete morphological transformation from initial liquid film breakup and atomization to final momentum decay. To enhance the visualization of flow details, all raw images were processed using CLAHE contrast enhancement and gray-level inversion.</w:t>
      </w:r>
    </w:p>
    <w:p w14:paraId="2B72E186" w14:textId="77777777" w:rsidR="0033656A" w:rsidRDefault="00DE5B72">
      <w:pPr>
        <w:pStyle w:val="Heading2"/>
        <w:spacing w:after="156"/>
      </w:pPr>
      <w:r>
        <w:lastRenderedPageBreak/>
        <w:t xml:space="preserve">Initial phase: liquid film breakup &amp; filament formation (0~3.3 </w:t>
      </w:r>
      <w:proofErr w:type="spellStart"/>
      <w:r>
        <w:t>ms</w:t>
      </w:r>
      <w:proofErr w:type="spellEnd"/>
      <w:r>
        <w:t>)</w:t>
      </w:r>
    </w:p>
    <w:p w14:paraId="7142AF0A" w14:textId="77777777" w:rsidR="0033656A" w:rsidRDefault="00DE5B72">
      <w:pPr>
        <w:spacing w:after="156"/>
      </w:pPr>
      <w:r>
        <w:t>As shown in Fig. S2, at the instant of safety valve opening, high-pressure gas entraining liquid electrolyte is ejected at high speed. Under the strong stretching and shearing action of the gas, the fluid initially appears as a continuous liquid film. As the jet expands, the film edges destabilize and stretch into liquid filaments, which subsequently fracture and break up under the combined action of surface tension and aerodynamic shear forces. This marks the transition from continuous flow to discrete droplets.</w:t>
      </w:r>
    </w:p>
    <w:p w14:paraId="2641F8E9" w14:textId="77777777" w:rsidR="0033656A" w:rsidRDefault="00DE5B72">
      <w:pPr>
        <w:spacing w:after="156"/>
        <w:rPr>
          <w:rFonts w:eastAsiaTheme="minorEastAsia"/>
        </w:rPr>
      </w:pPr>
      <w:r>
        <w:rPr>
          <w:noProof/>
        </w:rPr>
        <w:drawing>
          <wp:inline distT="0" distB="0" distL="0" distR="0" wp14:anchorId="7EB81234" wp14:editId="769F43A2">
            <wp:extent cx="5269865" cy="330009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69865" cy="3300095"/>
                    </a:xfrm>
                    <a:prstGeom prst="rect">
                      <a:avLst/>
                    </a:prstGeom>
                    <a:noFill/>
                    <a:ln>
                      <a:noFill/>
                    </a:ln>
                  </pic:spPr>
                </pic:pic>
              </a:graphicData>
            </a:graphic>
          </wp:inline>
        </w:drawing>
      </w:r>
    </w:p>
    <w:p w14:paraId="4BF6DA3C" w14:textId="77777777" w:rsidR="0033656A" w:rsidRDefault="00DE5B72">
      <w:pPr>
        <w:spacing w:after="156"/>
        <w:rPr>
          <w:rFonts w:eastAsiaTheme="minorEastAsia"/>
        </w:rPr>
      </w:pPr>
      <w:r>
        <w:rPr>
          <w:rFonts w:eastAsiaTheme="minorEastAsia"/>
        </w:rPr>
        <w:t xml:space="preserve">Fig. S2 Flow field evolution during the 0-3.3 </w:t>
      </w:r>
      <w:proofErr w:type="spellStart"/>
      <w:r>
        <w:rPr>
          <w:rFonts w:eastAsiaTheme="minorEastAsia"/>
        </w:rPr>
        <w:t>ms</w:t>
      </w:r>
      <w:proofErr w:type="spellEnd"/>
      <w:r>
        <w:rPr>
          <w:rFonts w:eastAsiaTheme="minorEastAsia"/>
        </w:rPr>
        <w:t xml:space="preserve"> phase of the primary jet</w:t>
      </w:r>
    </w:p>
    <w:p w14:paraId="581F1699" w14:textId="77777777" w:rsidR="0033656A" w:rsidRDefault="0033656A">
      <w:pPr>
        <w:spacing w:after="156"/>
        <w:rPr>
          <w:rFonts w:eastAsiaTheme="minorEastAsia"/>
        </w:rPr>
      </w:pPr>
    </w:p>
    <w:p w14:paraId="3BB2CD84" w14:textId="77777777" w:rsidR="0033656A" w:rsidRDefault="00DE5B72">
      <w:pPr>
        <w:pStyle w:val="Heading2"/>
        <w:spacing w:after="156"/>
      </w:pPr>
      <w:r>
        <w:t xml:space="preserve">Middle phase: atomization &amp; structural evolution (4.95~21.45 </w:t>
      </w:r>
      <w:proofErr w:type="spellStart"/>
      <w:r>
        <w:t>ms</w:t>
      </w:r>
      <w:proofErr w:type="spellEnd"/>
      <w:r>
        <w:t>)</w:t>
      </w:r>
    </w:p>
    <w:p w14:paraId="558303F0" w14:textId="77777777" w:rsidR="0033656A" w:rsidRDefault="00DE5B72">
      <w:pPr>
        <w:spacing w:after="156"/>
      </w:pPr>
      <w:r>
        <w:t xml:space="preserve">As shown in Fig. S3, the jet enters a stage dominated by atomized structures. The initial high momentum maintains a dense gas-liquid mixture in the core region (4.95~8.25 </w:t>
      </w:r>
      <w:proofErr w:type="spellStart"/>
      <w:r>
        <w:t>ms</w:t>
      </w:r>
      <w:proofErr w:type="spellEnd"/>
      <w:r>
        <w:t xml:space="preserve">). Over time, as the gas kinetic energy decays, shear forces further refine the droplets and cause outward diffusion, reducing the overall jet density (8.25~14.85 </w:t>
      </w:r>
      <w:proofErr w:type="spellStart"/>
      <w:r>
        <w:t>ms</w:t>
      </w:r>
      <w:proofErr w:type="spellEnd"/>
      <w:r>
        <w:t xml:space="preserve">). In the later stage (after 14.85 </w:t>
      </w:r>
      <w:proofErr w:type="spellStart"/>
      <w:r>
        <w:t>ms</w:t>
      </w:r>
      <w:proofErr w:type="spellEnd"/>
      <w:r>
        <w:t>), strip-like insulating rubber materials entrained by the airflow and high temperature become visible.</w:t>
      </w:r>
    </w:p>
    <w:p w14:paraId="1E3AF6DD" w14:textId="77777777" w:rsidR="0033656A" w:rsidRDefault="00DE5B72">
      <w:pPr>
        <w:spacing w:after="156"/>
      </w:pPr>
      <w:r>
        <w:rPr>
          <w:noProof/>
        </w:rPr>
        <w:lastRenderedPageBreak/>
        <w:drawing>
          <wp:inline distT="0" distB="0" distL="0" distR="0" wp14:anchorId="56F289AC" wp14:editId="31987403">
            <wp:extent cx="5274310" cy="32981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298190"/>
                    </a:xfrm>
                    <a:prstGeom prst="rect">
                      <a:avLst/>
                    </a:prstGeom>
                    <a:noFill/>
                    <a:ln>
                      <a:noFill/>
                    </a:ln>
                  </pic:spPr>
                </pic:pic>
              </a:graphicData>
            </a:graphic>
          </wp:inline>
        </w:drawing>
      </w:r>
    </w:p>
    <w:p w14:paraId="571D4C9B" w14:textId="77777777" w:rsidR="0033656A" w:rsidRDefault="00DE5B72">
      <w:pPr>
        <w:spacing w:after="156"/>
        <w:rPr>
          <w:rFonts w:eastAsiaTheme="minorEastAsia"/>
        </w:rPr>
      </w:pPr>
      <w:r>
        <w:rPr>
          <w:rFonts w:eastAsiaTheme="minorEastAsia"/>
        </w:rPr>
        <w:t xml:space="preserve">Fig. S3 Flow field evolution during the 4.95-21.45 </w:t>
      </w:r>
      <w:proofErr w:type="spellStart"/>
      <w:r>
        <w:rPr>
          <w:rFonts w:eastAsiaTheme="minorEastAsia"/>
        </w:rPr>
        <w:t>ms</w:t>
      </w:r>
      <w:proofErr w:type="spellEnd"/>
      <w:r>
        <w:rPr>
          <w:rFonts w:eastAsiaTheme="minorEastAsia"/>
        </w:rPr>
        <w:t xml:space="preserve"> phase of the primary jet</w:t>
      </w:r>
    </w:p>
    <w:p w14:paraId="1A10CBB9" w14:textId="77777777" w:rsidR="0033656A" w:rsidRDefault="00DE5B72">
      <w:pPr>
        <w:pStyle w:val="Heading2"/>
        <w:spacing w:after="156"/>
      </w:pPr>
      <w:r>
        <w:t xml:space="preserve">Final Phase: Momentum Decay &amp; Termination (&gt;45 </w:t>
      </w:r>
      <w:proofErr w:type="spellStart"/>
      <w:r>
        <w:t>ms</w:t>
      </w:r>
      <w:proofErr w:type="spellEnd"/>
      <w:r>
        <w:t>)</w:t>
      </w:r>
    </w:p>
    <w:p w14:paraId="116443E3" w14:textId="77777777" w:rsidR="0033656A" w:rsidRDefault="00DE5B72">
      <w:pPr>
        <w:spacing w:after="156"/>
      </w:pPr>
      <w:r>
        <w:t xml:space="preserve">As shown in Fig. S4, the mist-like structure in the jet core gradually dissipates, replaced by sparsely distributed low-speed micro-droplets. At this point, the strong shear at the gas-liquid interface ceases, and droplet motion is dominated by gravity and ambient drag. By 306.9 </w:t>
      </w:r>
      <w:proofErr w:type="spellStart"/>
      <w:r>
        <w:t>ms</w:t>
      </w:r>
      <w:proofErr w:type="spellEnd"/>
      <w:r>
        <w:t>, no significant fluid motion is observed in the core, and residual insulating rubber hangs naturally under gravity, indicating the complete dissipation of the primary jet's kinetic energy and the return to a quiescent state.</w:t>
      </w:r>
    </w:p>
    <w:p w14:paraId="4E8D2079" w14:textId="77777777" w:rsidR="0033656A" w:rsidRDefault="00DE5B72">
      <w:pPr>
        <w:spacing w:after="156"/>
        <w:rPr>
          <w:rFonts w:eastAsiaTheme="minorEastAsia"/>
        </w:rPr>
      </w:pPr>
      <w:r>
        <w:rPr>
          <w:noProof/>
        </w:rPr>
        <w:lastRenderedPageBreak/>
        <w:drawing>
          <wp:inline distT="0" distB="0" distL="0" distR="0" wp14:anchorId="40A7597A" wp14:editId="6F20749C">
            <wp:extent cx="5269865" cy="3317240"/>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69865" cy="3317240"/>
                    </a:xfrm>
                    <a:prstGeom prst="rect">
                      <a:avLst/>
                    </a:prstGeom>
                    <a:noFill/>
                    <a:ln>
                      <a:noFill/>
                    </a:ln>
                  </pic:spPr>
                </pic:pic>
              </a:graphicData>
            </a:graphic>
          </wp:inline>
        </w:drawing>
      </w:r>
    </w:p>
    <w:p w14:paraId="1723A6F7" w14:textId="77777777" w:rsidR="0033656A" w:rsidRDefault="00DE5B72">
      <w:pPr>
        <w:spacing w:after="156"/>
        <w:rPr>
          <w:rFonts w:eastAsiaTheme="minorEastAsia"/>
        </w:rPr>
      </w:pPr>
      <w:r>
        <w:rPr>
          <w:rFonts w:eastAsiaTheme="minorEastAsia"/>
        </w:rPr>
        <w:t xml:space="preserve">Fig. S4 Flow field evolution during the 24.75-306.9 </w:t>
      </w:r>
      <w:proofErr w:type="spellStart"/>
      <w:r>
        <w:rPr>
          <w:rFonts w:eastAsiaTheme="minorEastAsia"/>
        </w:rPr>
        <w:t>ms</w:t>
      </w:r>
      <w:proofErr w:type="spellEnd"/>
      <w:r>
        <w:rPr>
          <w:rFonts w:eastAsiaTheme="minorEastAsia"/>
        </w:rPr>
        <w:t xml:space="preserve"> phase of the primary jet</w:t>
      </w:r>
    </w:p>
    <w:p w14:paraId="4DC8FF83" w14:textId="77777777" w:rsidR="0033656A" w:rsidRDefault="00DE5B72">
      <w:pPr>
        <w:pStyle w:val="Heading2"/>
        <w:spacing w:after="156"/>
      </w:pPr>
      <w:r>
        <w:t>Velocity field analysis</w:t>
      </w:r>
    </w:p>
    <w:p w14:paraId="32FF1DC1" w14:textId="77777777" w:rsidR="0033656A" w:rsidRDefault="00DE5B72">
      <w:pPr>
        <w:spacing w:after="156"/>
      </w:pPr>
      <w:r>
        <w:t>Fig. S5 displays the velocity vector field during the startup phase. The results show a typical conical diffusion characteristic (spreading angle 40</w:t>
      </w:r>
      <w:r>
        <w:rPr>
          <w:rFonts w:eastAsiaTheme="minorEastAsia" w:hint="eastAsia"/>
        </w:rPr>
        <w:t>°</w:t>
      </w:r>
      <w:r>
        <w:t>~50</w:t>
      </w:r>
      <w:r>
        <w:rPr>
          <w:rFonts w:eastAsiaTheme="minorEastAsia" w:hint="eastAsia"/>
        </w:rPr>
        <w:t>°</w:t>
      </w:r>
      <w:r>
        <w:t>). The high-speed region is concentrated near the central axis, with an initial maximum projected feature velocity reaching 71 m/s. Significant velocity gradients exist at the edges, reflecting the strong momentum release driven by high pressure.</w:t>
      </w:r>
    </w:p>
    <w:p w14:paraId="002554CD" w14:textId="77777777" w:rsidR="0033656A" w:rsidRDefault="00DE5B72">
      <w:pPr>
        <w:spacing w:after="156"/>
        <w:rPr>
          <w:rFonts w:eastAsiaTheme="minorEastAsia"/>
        </w:rPr>
      </w:pPr>
      <w:r>
        <w:rPr>
          <w:rFonts w:eastAsiaTheme="minorEastAsia" w:hint="eastAsia"/>
          <w:noProof/>
        </w:rPr>
        <w:lastRenderedPageBreak/>
        <w:drawing>
          <wp:inline distT="0" distB="0" distL="0" distR="0" wp14:anchorId="4B2675F7" wp14:editId="1D8850C9">
            <wp:extent cx="5272405" cy="3786505"/>
            <wp:effectExtent l="0" t="0" r="444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2405" cy="3786505"/>
                    </a:xfrm>
                    <a:prstGeom prst="rect">
                      <a:avLst/>
                    </a:prstGeom>
                    <a:noFill/>
                    <a:ln>
                      <a:noFill/>
                    </a:ln>
                  </pic:spPr>
                </pic:pic>
              </a:graphicData>
            </a:graphic>
          </wp:inline>
        </w:drawing>
      </w:r>
    </w:p>
    <w:p w14:paraId="3332EE3A" w14:textId="77777777" w:rsidR="0033656A" w:rsidRDefault="00DE5B72">
      <w:pPr>
        <w:spacing w:after="156"/>
        <w:rPr>
          <w:rFonts w:eastAsiaTheme="minorEastAsia"/>
        </w:rPr>
      </w:pPr>
      <w:r>
        <w:rPr>
          <w:rFonts w:eastAsiaTheme="minorEastAsia"/>
        </w:rPr>
        <w:t xml:space="preserve">Fig. S5 </w:t>
      </w:r>
      <w:r>
        <w:t>Calculation results of the velocity field for the primary jet during the startup phase.</w:t>
      </w:r>
    </w:p>
    <w:p w14:paraId="43E9F1ED" w14:textId="77777777" w:rsidR="0033656A" w:rsidRDefault="00DE5B72">
      <w:pPr>
        <w:spacing w:after="156"/>
      </w:pPr>
      <w:r>
        <w:t xml:space="preserve">Figs. S6 &amp; S7 show the velocity fields during the atomization phase. As the jet evolves, the high-speed core range shrinks and becomes more dispersed, indicating momentum decay over time. By 12.54 </w:t>
      </w:r>
      <w:proofErr w:type="spellStart"/>
      <w:r>
        <w:t>ms</w:t>
      </w:r>
      <w:proofErr w:type="spellEnd"/>
      <w:r>
        <w:t>, the maximum velocity drops to approximately 55 m/s, and the boundary layer becomes blurred, reflecting the sparse diffusion characteristics of the gas-liquid mixture.</w:t>
      </w:r>
    </w:p>
    <w:p w14:paraId="00F2E492" w14:textId="77777777" w:rsidR="0033656A" w:rsidRDefault="00DE5B72">
      <w:pPr>
        <w:spacing w:after="156"/>
        <w:rPr>
          <w:rFonts w:eastAsiaTheme="minorEastAsia"/>
        </w:rPr>
      </w:pPr>
      <w:r>
        <w:rPr>
          <w:rFonts w:eastAsiaTheme="minorEastAsia"/>
          <w:noProof/>
        </w:rPr>
        <w:lastRenderedPageBreak/>
        <w:drawing>
          <wp:inline distT="0" distB="0" distL="0" distR="0" wp14:anchorId="118FF083" wp14:editId="5A0A7BA0">
            <wp:extent cx="5267325" cy="37147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67325" cy="3714750"/>
                    </a:xfrm>
                    <a:prstGeom prst="rect">
                      <a:avLst/>
                    </a:prstGeom>
                    <a:noFill/>
                    <a:ln>
                      <a:noFill/>
                    </a:ln>
                  </pic:spPr>
                </pic:pic>
              </a:graphicData>
            </a:graphic>
          </wp:inline>
        </w:drawing>
      </w:r>
    </w:p>
    <w:p w14:paraId="013775DB" w14:textId="77777777" w:rsidR="0033656A" w:rsidRDefault="00DE5B72">
      <w:pPr>
        <w:spacing w:after="156"/>
        <w:rPr>
          <w:rFonts w:eastAsiaTheme="minorEastAsia"/>
        </w:rPr>
      </w:pPr>
      <w:r>
        <w:rPr>
          <w:rFonts w:eastAsiaTheme="minorEastAsia"/>
        </w:rPr>
        <w:t xml:space="preserve">Fig. S6 </w:t>
      </w:r>
      <w:r>
        <w:t xml:space="preserve">Calculation results of the velocity field for the primary atomized jet (3.96–7.92 </w:t>
      </w:r>
      <w:proofErr w:type="spellStart"/>
      <w:r>
        <w:t>ms</w:t>
      </w:r>
      <w:proofErr w:type="spellEnd"/>
      <w:r>
        <w:t>).</w:t>
      </w:r>
    </w:p>
    <w:p w14:paraId="47B10A9B" w14:textId="77777777" w:rsidR="0033656A" w:rsidRDefault="00DE5B72">
      <w:pPr>
        <w:spacing w:after="156"/>
        <w:rPr>
          <w:rFonts w:eastAsiaTheme="minorEastAsia"/>
        </w:rPr>
      </w:pPr>
      <w:r>
        <w:rPr>
          <w:rFonts w:eastAsiaTheme="minorEastAsia"/>
          <w:noProof/>
        </w:rPr>
        <w:drawing>
          <wp:inline distT="0" distB="0" distL="0" distR="0" wp14:anchorId="5F357F24" wp14:editId="225B7600">
            <wp:extent cx="5272405" cy="3634105"/>
            <wp:effectExtent l="0" t="0" r="444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2405" cy="3634105"/>
                    </a:xfrm>
                    <a:prstGeom prst="rect">
                      <a:avLst/>
                    </a:prstGeom>
                    <a:noFill/>
                    <a:ln>
                      <a:noFill/>
                    </a:ln>
                  </pic:spPr>
                </pic:pic>
              </a:graphicData>
            </a:graphic>
          </wp:inline>
        </w:drawing>
      </w:r>
    </w:p>
    <w:p w14:paraId="6DF0BC8D" w14:textId="77777777" w:rsidR="0033656A" w:rsidRDefault="00DE5B72">
      <w:pPr>
        <w:spacing w:after="156"/>
        <w:rPr>
          <w:rFonts w:eastAsiaTheme="minorEastAsia"/>
        </w:rPr>
      </w:pPr>
      <w:r>
        <w:rPr>
          <w:rFonts w:eastAsiaTheme="minorEastAsia"/>
        </w:rPr>
        <w:t xml:space="preserve">Fig. S7 </w:t>
      </w:r>
      <w:r>
        <w:t xml:space="preserve">Calculation results of the velocity field for the primary atomized jet (9.57–12.54 </w:t>
      </w:r>
      <w:proofErr w:type="spellStart"/>
      <w:r>
        <w:t>ms</w:t>
      </w:r>
      <w:proofErr w:type="spellEnd"/>
      <w:r>
        <w:t>).</w:t>
      </w:r>
    </w:p>
    <w:p w14:paraId="477E4F74" w14:textId="77777777" w:rsidR="0033656A" w:rsidRDefault="00DE5B72">
      <w:pPr>
        <w:spacing w:after="156"/>
      </w:pPr>
      <w:r>
        <w:br w:type="page"/>
      </w:r>
    </w:p>
    <w:p w14:paraId="53BAF413" w14:textId="77777777" w:rsidR="0033656A" w:rsidRDefault="00DE5B72">
      <w:pPr>
        <w:pStyle w:val="Heading2"/>
        <w:spacing w:after="156"/>
      </w:pPr>
      <w:r>
        <w:lastRenderedPageBreak/>
        <w:t>Secondary jet: evolution characteristics and velocity field distribution</w:t>
      </w:r>
    </w:p>
    <w:p w14:paraId="46325C10" w14:textId="77777777" w:rsidR="0033656A" w:rsidRDefault="00DE5B72">
      <w:pPr>
        <w:spacing w:after="156"/>
      </w:pPr>
      <w:r>
        <w:t>this section details the more violent secondary jet process triggered after the full onset of thermal runaway, analyzed through flow morphology and quantitative velocity field distribution.</w:t>
      </w:r>
    </w:p>
    <w:p w14:paraId="15029F84" w14:textId="77777777" w:rsidR="0033656A" w:rsidRDefault="00DE5B72">
      <w:pPr>
        <w:pStyle w:val="Heading2"/>
        <w:spacing w:after="156"/>
      </w:pPr>
      <w:r>
        <w:t>Flow morphology evolution</w:t>
      </w:r>
    </w:p>
    <w:p w14:paraId="20AE4C4B" w14:textId="77777777" w:rsidR="0033656A" w:rsidRDefault="00DE5B72">
      <w:pPr>
        <w:spacing w:after="156"/>
      </w:pPr>
      <w:r>
        <w:t>Figs. S8 to S11 record the complete evolution of the secondary jet from thermal buoyancy startup to violent explosion, and finally to stable combustion. Based on high spatiotemporal resolution imaging, the fluid topological structures and dynamic characteristics of each stage are described as follows:</w:t>
      </w:r>
    </w:p>
    <w:p w14:paraId="59B19BB5" w14:textId="77777777" w:rsidR="0033656A" w:rsidRDefault="00DE5B72">
      <w:pPr>
        <w:pStyle w:val="Heading2"/>
        <w:spacing w:after="156"/>
      </w:pPr>
      <w:r>
        <w:t xml:space="preserve">Plume startup &amp; thermal buoyancy contraction (0~160 </w:t>
      </w:r>
      <w:proofErr w:type="spellStart"/>
      <w:r>
        <w:t>ms</w:t>
      </w:r>
      <w:proofErr w:type="spellEnd"/>
      <w:r>
        <w:t>)</w:t>
      </w:r>
    </w:p>
    <w:p w14:paraId="0DAF4D04" w14:textId="77777777" w:rsidR="0033656A" w:rsidRDefault="00DE5B72">
      <w:pPr>
        <w:spacing w:after="156"/>
      </w:pPr>
      <w:r>
        <w:t xml:space="preserve">As shown in Fig. S8, in the initial stage of thermal runaway, the jet consists mainly of thermally expanded low-speed high-temperature gas. During 0~60 </w:t>
      </w:r>
      <w:proofErr w:type="spellStart"/>
      <w:r>
        <w:t>ms</w:t>
      </w:r>
      <w:proofErr w:type="spellEnd"/>
      <w:r>
        <w:t xml:space="preserve">, the flow exhibits typical thermal buoyancy driven characteristics, rising as a low-momentum "mushroom cloud" with slow entrainment structures at the edges. as the battery surface temperature approaches 180°c, buoyancy effects intensify. during 64~148 </w:t>
      </w:r>
      <w:proofErr w:type="spellStart"/>
      <w:r>
        <w:t>ms</w:t>
      </w:r>
      <w:proofErr w:type="spellEnd"/>
      <w:r>
        <w:t>, the originally divergent lateral plume begins to be strongly drawn towards the central hot gas column, showing a distinct inward contraction trend. this morphological shift from divergence to contraction signals the gradual buildup of nozzle pressure.</w:t>
      </w:r>
    </w:p>
    <w:p w14:paraId="192A5943" w14:textId="77777777" w:rsidR="0033656A" w:rsidRDefault="00DE5B72">
      <w:pPr>
        <w:spacing w:after="156"/>
        <w:rPr>
          <w:rFonts w:eastAsiaTheme="minorEastAsia"/>
        </w:rPr>
      </w:pPr>
      <w:r>
        <w:rPr>
          <w:rFonts w:eastAsiaTheme="minorEastAsia"/>
          <w:noProof/>
        </w:rPr>
        <w:lastRenderedPageBreak/>
        <w:drawing>
          <wp:inline distT="0" distB="0" distL="0" distR="0" wp14:anchorId="29CAA363" wp14:editId="5DEAC815">
            <wp:extent cx="5269865" cy="4297045"/>
            <wp:effectExtent l="0" t="0" r="6985"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69865" cy="4297045"/>
                    </a:xfrm>
                    <a:prstGeom prst="rect">
                      <a:avLst/>
                    </a:prstGeom>
                    <a:noFill/>
                    <a:ln>
                      <a:noFill/>
                    </a:ln>
                  </pic:spPr>
                </pic:pic>
              </a:graphicData>
            </a:graphic>
          </wp:inline>
        </w:drawing>
      </w:r>
    </w:p>
    <w:p w14:paraId="08AF2BC5" w14:textId="77777777" w:rsidR="0033656A" w:rsidRDefault="00DE5B72">
      <w:pPr>
        <w:spacing w:after="156"/>
        <w:rPr>
          <w:rFonts w:eastAsiaTheme="minorEastAsia"/>
        </w:rPr>
      </w:pPr>
      <w:r>
        <w:rPr>
          <w:rFonts w:eastAsiaTheme="minorEastAsia"/>
        </w:rPr>
        <w:t xml:space="preserve">Fig. S8 Flow field evolution during the 0-160 </w:t>
      </w:r>
      <w:proofErr w:type="spellStart"/>
      <w:r>
        <w:rPr>
          <w:rFonts w:eastAsiaTheme="minorEastAsia"/>
        </w:rPr>
        <w:t>ms</w:t>
      </w:r>
      <w:proofErr w:type="spellEnd"/>
      <w:r>
        <w:rPr>
          <w:rFonts w:eastAsiaTheme="minorEastAsia"/>
        </w:rPr>
        <w:t xml:space="preserve"> phase of the secondary jet</w:t>
      </w:r>
    </w:p>
    <w:p w14:paraId="432EE288" w14:textId="77777777" w:rsidR="0033656A" w:rsidRDefault="00DE5B72">
      <w:pPr>
        <w:pStyle w:val="Heading2"/>
        <w:spacing w:after="156"/>
      </w:pPr>
      <w:r>
        <w:t xml:space="preserve">Conical eruption to multi-directional diffusion (186~1552.8 </w:t>
      </w:r>
      <w:proofErr w:type="spellStart"/>
      <w:r>
        <w:t>ms</w:t>
      </w:r>
      <w:proofErr w:type="spellEnd"/>
      <w:r>
        <w:t>)</w:t>
      </w:r>
    </w:p>
    <w:p w14:paraId="78B55D8F" w14:textId="77777777" w:rsidR="0033656A" w:rsidRDefault="00DE5B72">
      <w:pPr>
        <w:spacing w:after="156"/>
        <w:rPr>
          <w:rFonts w:eastAsiaTheme="minorEastAsia"/>
        </w:rPr>
      </w:pPr>
      <w:r>
        <w:t xml:space="preserve">As shown in Fig. S9 and S10, following the internal short circuit caused by separator melting, the jet morphology undergoes drastic topological changes. During 186~833 </w:t>
      </w:r>
      <w:proofErr w:type="spellStart"/>
      <w:r>
        <w:t>ms</w:t>
      </w:r>
      <w:proofErr w:type="spellEnd"/>
      <w:r>
        <w:t xml:space="preserve">, high pressure drives the electrolyte and high-temperature particles to erupt violently in a regular conical shape, accompanied by dense electrical sparks and combustion luminescence, indicating intense exothermic reactions. subsequently (953~1553 </w:t>
      </w:r>
      <w:proofErr w:type="spellStart"/>
      <w:r>
        <w:t>ms</w:t>
      </w:r>
      <w:proofErr w:type="spellEnd"/>
      <w:r>
        <w:t xml:space="preserve">), due to the partial collapse and blockage of the internal jellyroll structure, the pressure relief pathways change dynamically. the jet loses its </w:t>
      </w:r>
      <w:proofErr w:type="spellStart"/>
      <w:r>
        <w:t>axisymmetry</w:t>
      </w:r>
      <w:proofErr w:type="spellEnd"/>
      <w:r>
        <w:t xml:space="preserve"> and transitions to multi-directional diffusion. notably, at 1552.8 </w:t>
      </w:r>
      <w:proofErr w:type="spellStart"/>
      <w:r>
        <w:t>ms</w:t>
      </w:r>
      <w:proofErr w:type="spellEnd"/>
      <w:r>
        <w:t>, block-like molten materials are observed being ejected, marking severe damage to the internal battery structure.</w:t>
      </w:r>
      <w:r>
        <w:rPr>
          <w:rFonts w:eastAsiaTheme="minorEastAsia" w:hint="eastAsia"/>
        </w:rPr>
        <w:t xml:space="preserve"> </w:t>
      </w:r>
    </w:p>
    <w:p w14:paraId="60D33534" w14:textId="77777777" w:rsidR="0033656A" w:rsidRDefault="00DE5B72">
      <w:pPr>
        <w:spacing w:after="156"/>
        <w:rPr>
          <w:rFonts w:eastAsiaTheme="minorEastAsia"/>
        </w:rPr>
      </w:pPr>
      <w:r>
        <w:rPr>
          <w:rFonts w:eastAsiaTheme="minorEastAsia" w:hint="eastAsia"/>
          <w:noProof/>
        </w:rPr>
        <w:lastRenderedPageBreak/>
        <w:drawing>
          <wp:inline distT="0" distB="0" distL="0" distR="0" wp14:anchorId="130AB389" wp14:editId="1C964372">
            <wp:extent cx="5274310" cy="4225290"/>
            <wp:effectExtent l="0" t="0" r="254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4225290"/>
                    </a:xfrm>
                    <a:prstGeom prst="rect">
                      <a:avLst/>
                    </a:prstGeom>
                    <a:noFill/>
                    <a:ln>
                      <a:noFill/>
                    </a:ln>
                  </pic:spPr>
                </pic:pic>
              </a:graphicData>
            </a:graphic>
          </wp:inline>
        </w:drawing>
      </w:r>
    </w:p>
    <w:p w14:paraId="21ACE848" w14:textId="77777777" w:rsidR="0033656A" w:rsidRDefault="00DE5B72">
      <w:pPr>
        <w:spacing w:after="156"/>
        <w:rPr>
          <w:rFonts w:eastAsiaTheme="minorEastAsia"/>
        </w:rPr>
      </w:pPr>
      <w:r>
        <w:rPr>
          <w:rFonts w:eastAsiaTheme="minorEastAsia"/>
        </w:rPr>
        <w:t xml:space="preserve">Fig. S9 Flow field evolution during the 186.4-832.8 </w:t>
      </w:r>
      <w:proofErr w:type="spellStart"/>
      <w:r>
        <w:rPr>
          <w:rFonts w:eastAsiaTheme="minorEastAsia"/>
        </w:rPr>
        <w:t>ms</w:t>
      </w:r>
      <w:proofErr w:type="spellEnd"/>
      <w:r>
        <w:rPr>
          <w:rFonts w:eastAsiaTheme="minorEastAsia"/>
        </w:rPr>
        <w:t xml:space="preserve"> phase of the secondary jet</w:t>
      </w:r>
    </w:p>
    <w:p w14:paraId="0157C436" w14:textId="77777777" w:rsidR="0033656A" w:rsidRDefault="00DE5B72">
      <w:pPr>
        <w:spacing w:after="156"/>
      </w:pPr>
      <w:r>
        <w:rPr>
          <w:noProof/>
        </w:rPr>
        <w:lastRenderedPageBreak/>
        <w:drawing>
          <wp:inline distT="0" distB="0" distL="0" distR="0" wp14:anchorId="4BA63A7D" wp14:editId="431EB197">
            <wp:extent cx="5269865" cy="425132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69865" cy="4251325"/>
                    </a:xfrm>
                    <a:prstGeom prst="rect">
                      <a:avLst/>
                    </a:prstGeom>
                    <a:noFill/>
                    <a:ln>
                      <a:noFill/>
                    </a:ln>
                  </pic:spPr>
                </pic:pic>
              </a:graphicData>
            </a:graphic>
          </wp:inline>
        </w:drawing>
      </w:r>
    </w:p>
    <w:p w14:paraId="1F0F0BFC" w14:textId="77777777" w:rsidR="0033656A" w:rsidRDefault="00DE5B72">
      <w:pPr>
        <w:spacing w:after="156"/>
        <w:rPr>
          <w:rFonts w:eastAsiaTheme="minorEastAsia"/>
        </w:rPr>
      </w:pPr>
      <w:r>
        <w:rPr>
          <w:rFonts w:eastAsiaTheme="minorEastAsia"/>
        </w:rPr>
        <w:t xml:space="preserve">Fig. S10 Flow field evolution during the </w:t>
      </w:r>
      <w:r>
        <w:rPr>
          <w:kern w:val="0"/>
        </w:rPr>
        <w:t>952.8-1552.8</w:t>
      </w:r>
      <w:r>
        <w:rPr>
          <w:rFonts w:eastAsiaTheme="minorEastAsia"/>
        </w:rPr>
        <w:t xml:space="preserve"> </w:t>
      </w:r>
      <w:proofErr w:type="spellStart"/>
      <w:r>
        <w:rPr>
          <w:rFonts w:eastAsiaTheme="minorEastAsia"/>
        </w:rPr>
        <w:t>ms</w:t>
      </w:r>
      <w:proofErr w:type="spellEnd"/>
      <w:r>
        <w:rPr>
          <w:rFonts w:eastAsiaTheme="minorEastAsia"/>
        </w:rPr>
        <w:t xml:space="preserve"> phase of the secondary jet</w:t>
      </w:r>
    </w:p>
    <w:p w14:paraId="1F4B7726" w14:textId="77777777" w:rsidR="0033656A" w:rsidRDefault="0033656A">
      <w:pPr>
        <w:spacing w:after="156"/>
        <w:rPr>
          <w:rFonts w:eastAsiaTheme="minorEastAsia"/>
        </w:rPr>
      </w:pPr>
    </w:p>
    <w:p w14:paraId="2D26BF6A" w14:textId="77777777" w:rsidR="0033656A" w:rsidRDefault="00DE5B72">
      <w:pPr>
        <w:pStyle w:val="Heading2"/>
        <w:spacing w:after="156"/>
      </w:pPr>
      <w:r>
        <w:t xml:space="preserve">Explosive gas generation &amp; gas-solid venting (1560~2319.2 </w:t>
      </w:r>
      <w:proofErr w:type="spellStart"/>
      <w:r>
        <w:t>ms</w:t>
      </w:r>
      <w:proofErr w:type="spellEnd"/>
      <w:r>
        <w:t>)</w:t>
      </w:r>
    </w:p>
    <w:p w14:paraId="428A1618" w14:textId="77777777" w:rsidR="0033656A" w:rsidRDefault="00DE5B72">
      <w:pPr>
        <w:spacing w:after="156"/>
      </w:pPr>
      <w:r>
        <w:t xml:space="preserve">As shown in Fig. S11, the thermal runaway chain reaction peaks at 1560 </w:t>
      </w:r>
      <w:proofErr w:type="spellStart"/>
      <w:r>
        <w:t>ms</w:t>
      </w:r>
      <w:proofErr w:type="spellEnd"/>
      <w:r>
        <w:t xml:space="preserve">, triggering destructive gas release. The safety valve structure fails completely, and high-temperature, high-pressure gas entraining large amounts of black electrode fragments and metal particles is ejected instantly, forming a high-density Gas-Solid Two-phase Jet. Following the instantaneous release of accumulated pressure, after 2016 </w:t>
      </w:r>
      <w:proofErr w:type="spellStart"/>
      <w:r>
        <w:t>ms</w:t>
      </w:r>
      <w:proofErr w:type="spellEnd"/>
      <w:r>
        <w:t>, the jet diffusion angle decreases, and spatial concentration significantly increases, appearing as a high-momentum core stream, marking the gradual conclusion of the violent gas generation process.</w:t>
      </w:r>
    </w:p>
    <w:p w14:paraId="467E6AFA" w14:textId="77777777" w:rsidR="0033656A" w:rsidRDefault="00DE5B72">
      <w:pPr>
        <w:spacing w:after="156"/>
        <w:rPr>
          <w:rFonts w:eastAsiaTheme="minorEastAsia"/>
        </w:rPr>
      </w:pPr>
      <w:r>
        <w:rPr>
          <w:noProof/>
        </w:rPr>
        <w:lastRenderedPageBreak/>
        <w:drawing>
          <wp:inline distT="0" distB="0" distL="0" distR="0" wp14:anchorId="0B8FC214" wp14:editId="2515330A">
            <wp:extent cx="5267960" cy="4258310"/>
            <wp:effectExtent l="0" t="0" r="889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67960" cy="4258310"/>
                    </a:xfrm>
                    <a:prstGeom prst="rect">
                      <a:avLst/>
                    </a:prstGeom>
                    <a:noFill/>
                    <a:ln>
                      <a:noFill/>
                    </a:ln>
                  </pic:spPr>
                </pic:pic>
              </a:graphicData>
            </a:graphic>
          </wp:inline>
        </w:drawing>
      </w:r>
    </w:p>
    <w:p w14:paraId="7ADAC94A" w14:textId="77777777" w:rsidR="0033656A" w:rsidRDefault="00DE5B72">
      <w:pPr>
        <w:spacing w:after="156"/>
        <w:rPr>
          <w:rFonts w:eastAsiaTheme="minorEastAsia"/>
        </w:rPr>
      </w:pPr>
      <w:r>
        <w:rPr>
          <w:rFonts w:eastAsiaTheme="minorEastAsia"/>
        </w:rPr>
        <w:t xml:space="preserve">Fig. S11 Flow field evolution during the </w:t>
      </w:r>
      <w:r>
        <w:rPr>
          <w:kern w:val="0"/>
        </w:rPr>
        <w:t>1560-2319.2</w:t>
      </w:r>
      <w:r>
        <w:rPr>
          <w:rFonts w:eastAsiaTheme="minorEastAsia"/>
        </w:rPr>
        <w:t xml:space="preserve"> </w:t>
      </w:r>
      <w:proofErr w:type="spellStart"/>
      <w:r>
        <w:rPr>
          <w:rFonts w:eastAsiaTheme="minorEastAsia"/>
        </w:rPr>
        <w:t>ms</w:t>
      </w:r>
      <w:proofErr w:type="spellEnd"/>
      <w:r>
        <w:rPr>
          <w:rFonts w:eastAsiaTheme="minorEastAsia"/>
        </w:rPr>
        <w:t xml:space="preserve"> phase of the secondary jet</w:t>
      </w:r>
    </w:p>
    <w:p w14:paraId="36691F3C" w14:textId="77777777" w:rsidR="0033656A" w:rsidRDefault="00DE5B72">
      <w:pPr>
        <w:pStyle w:val="Heading2"/>
        <w:spacing w:after="156"/>
      </w:pPr>
      <w:r>
        <w:t xml:space="preserve">Stable combustion &amp; swirling mixing (2440~5400 </w:t>
      </w:r>
      <w:proofErr w:type="spellStart"/>
      <w:r>
        <w:t>ms</w:t>
      </w:r>
      <w:proofErr w:type="spellEnd"/>
      <w:r>
        <w:t>)</w:t>
      </w:r>
    </w:p>
    <w:p w14:paraId="79E0044E" w14:textId="77777777" w:rsidR="0033656A" w:rsidRDefault="00DE5B72">
      <w:pPr>
        <w:spacing w:after="156"/>
      </w:pPr>
      <w:r>
        <w:t xml:space="preserve">As shown in Fig. S12, with the continuous leakage of combustible mixture, the flow enters a long-period stable combustion mode. The jet exhibits significant Swirling Motion, which greatly enhances the entrainment efficiency of ambient air and promotes the thorough mixing of oxygen and combustibles. The images clearly show that continuously ejected high-temperature particles act as "ignition sources," sustaining the flame propagation along the jet direction. By 3624 </w:t>
      </w:r>
      <w:proofErr w:type="spellStart"/>
      <w:r>
        <w:t>ms</w:t>
      </w:r>
      <w:proofErr w:type="spellEnd"/>
      <w:r>
        <w:t>, a stable jet flame with a width equal to the battery cap is formed until the reactants are exhausted.</w:t>
      </w:r>
    </w:p>
    <w:p w14:paraId="2212176E" w14:textId="77777777" w:rsidR="0033656A" w:rsidRDefault="00DE5B72">
      <w:pPr>
        <w:spacing w:after="156"/>
        <w:rPr>
          <w:rFonts w:eastAsiaTheme="minorEastAsia"/>
        </w:rPr>
      </w:pPr>
      <w:r>
        <w:rPr>
          <w:noProof/>
        </w:rPr>
        <w:lastRenderedPageBreak/>
        <w:drawing>
          <wp:inline distT="0" distB="0" distL="0" distR="0" wp14:anchorId="3953BBD5" wp14:editId="5C59B2DE">
            <wp:extent cx="5274310" cy="425069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4250813"/>
                    </a:xfrm>
                    <a:prstGeom prst="rect">
                      <a:avLst/>
                    </a:prstGeom>
                    <a:noFill/>
                    <a:ln>
                      <a:noFill/>
                    </a:ln>
                  </pic:spPr>
                </pic:pic>
              </a:graphicData>
            </a:graphic>
          </wp:inline>
        </w:drawing>
      </w:r>
    </w:p>
    <w:p w14:paraId="2B198A70" w14:textId="77777777" w:rsidR="0033656A" w:rsidRDefault="00DE5B72">
      <w:pPr>
        <w:spacing w:after="156"/>
        <w:rPr>
          <w:rFonts w:eastAsiaTheme="minorEastAsia"/>
        </w:rPr>
      </w:pPr>
      <w:r>
        <w:rPr>
          <w:rFonts w:eastAsiaTheme="minorEastAsia"/>
        </w:rPr>
        <w:t xml:space="preserve">Fig. S12 Flow field evolution during the </w:t>
      </w:r>
      <w:r>
        <w:rPr>
          <w:kern w:val="0"/>
        </w:rPr>
        <w:t>2440-5400</w:t>
      </w:r>
      <w:r>
        <w:rPr>
          <w:rFonts w:eastAsiaTheme="minorEastAsia"/>
        </w:rPr>
        <w:t xml:space="preserve"> </w:t>
      </w:r>
      <w:proofErr w:type="spellStart"/>
      <w:r>
        <w:rPr>
          <w:rFonts w:eastAsiaTheme="minorEastAsia"/>
        </w:rPr>
        <w:t>ms</w:t>
      </w:r>
      <w:proofErr w:type="spellEnd"/>
      <w:r>
        <w:rPr>
          <w:rFonts w:eastAsiaTheme="minorEastAsia"/>
        </w:rPr>
        <w:t xml:space="preserve"> phase of the secondary jet</w:t>
      </w:r>
    </w:p>
    <w:p w14:paraId="0DE0BC5D" w14:textId="77777777" w:rsidR="0033656A" w:rsidRDefault="00DE5B72">
      <w:pPr>
        <w:pStyle w:val="Heading2"/>
        <w:spacing w:after="156"/>
      </w:pPr>
      <w:r>
        <w:t>Velocity field distribution and quantitative analysis</w:t>
      </w:r>
    </w:p>
    <w:p w14:paraId="01A6EED1" w14:textId="77777777" w:rsidR="0033656A" w:rsidRDefault="00DE5B72">
      <w:pPr>
        <w:spacing w:after="156"/>
      </w:pPr>
      <w:r>
        <w:t>Based on the improved multi-level window deformation cross-correlation algorithm, the transient velocity fields for the four evolution stages of the secondary jet were quantitatively resolved. Figs. S13 to S16 display the velocity vector fields (color mapped to velocity magnitude) for typical moments.</w:t>
      </w:r>
    </w:p>
    <w:p w14:paraId="7C246FC9" w14:textId="77777777" w:rsidR="0033656A" w:rsidRDefault="00DE5B72">
      <w:pPr>
        <w:pStyle w:val="Heading2"/>
        <w:spacing w:after="156"/>
      </w:pPr>
      <w:r>
        <w:t xml:space="preserve">Plume stage: low-speed dispersion &amp; lateral accumulation (0~160 </w:t>
      </w:r>
      <w:proofErr w:type="spellStart"/>
      <w:r>
        <w:t>ms</w:t>
      </w:r>
      <w:proofErr w:type="spellEnd"/>
      <w:r>
        <w:t>)</w:t>
      </w:r>
    </w:p>
    <w:p w14:paraId="1CE16424" w14:textId="77777777" w:rsidR="0033656A" w:rsidRDefault="00DE5B72">
      <w:pPr>
        <w:spacing w:after="156"/>
      </w:pPr>
      <w:r>
        <w:t xml:space="preserve">Fig. S13 shows the velocity evolution during the plume startup. Initially, the jet shows low-speed dispersion characteristics, with core velocities mainly in the range of 8.5 to 24.75 m/s, forming no continuous high-momentum channel. Over time, driven by thermal buoyancy and non-uniform nozzle pressure, the high-speed region exhibits significant lateral deflection during 64~114.8 </w:t>
      </w:r>
      <w:proofErr w:type="spellStart"/>
      <w:r>
        <w:t>ms.</w:t>
      </w:r>
      <w:proofErr w:type="spellEnd"/>
      <w:r>
        <w:t xml:space="preserve"> By 148 </w:t>
      </w:r>
      <w:proofErr w:type="spellStart"/>
      <w:r>
        <w:t>ms</w:t>
      </w:r>
      <w:proofErr w:type="spellEnd"/>
      <w:r>
        <w:t xml:space="preserve">, as internal pressure accumulates, the dispersed momentum begins to converge towards </w:t>
      </w:r>
      <w:r>
        <w:lastRenderedPageBreak/>
        <w:t>the central axis, with the instantaneous maximum velocity surging to 57.75 m/s, foreshadowing the transition from buoyancy-dominated to pressure-dominated flow.</w:t>
      </w:r>
    </w:p>
    <w:p w14:paraId="0DCB6A4F" w14:textId="77777777" w:rsidR="0033656A" w:rsidRDefault="00DE5B72">
      <w:pPr>
        <w:spacing w:after="156"/>
        <w:rPr>
          <w:rFonts w:eastAsiaTheme="minorEastAsia"/>
        </w:rPr>
      </w:pPr>
      <w:r>
        <w:rPr>
          <w:noProof/>
        </w:rPr>
        <w:drawing>
          <wp:inline distT="0" distB="0" distL="0" distR="0" wp14:anchorId="782FDC57" wp14:editId="5F24F2CF">
            <wp:extent cx="5274310" cy="339090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310" cy="3391127"/>
                    </a:xfrm>
                    <a:prstGeom prst="rect">
                      <a:avLst/>
                    </a:prstGeom>
                    <a:noFill/>
                    <a:ln>
                      <a:noFill/>
                    </a:ln>
                  </pic:spPr>
                </pic:pic>
              </a:graphicData>
            </a:graphic>
          </wp:inline>
        </w:drawing>
      </w:r>
    </w:p>
    <w:p w14:paraId="4FBA1923" w14:textId="77777777" w:rsidR="0033656A" w:rsidRDefault="00DE5B72">
      <w:pPr>
        <w:spacing w:after="156"/>
        <w:rPr>
          <w:rFonts w:eastAsiaTheme="minorEastAsia"/>
        </w:rPr>
      </w:pPr>
      <w:r>
        <w:t>Fig. S13 Calculated velocity fields of the secondary jet at specific moments during the plume stage.</w:t>
      </w:r>
    </w:p>
    <w:p w14:paraId="316335A6" w14:textId="77777777" w:rsidR="0033656A" w:rsidRDefault="00DE5B72">
      <w:pPr>
        <w:pStyle w:val="Heading2"/>
        <w:spacing w:after="156"/>
      </w:pPr>
      <w:r>
        <w:t xml:space="preserve">Conical &amp; multi-directional stage: intermittency &amp; fragmentation (205~1390 </w:t>
      </w:r>
      <w:proofErr w:type="spellStart"/>
      <w:r>
        <w:t>ms</w:t>
      </w:r>
      <w:proofErr w:type="spellEnd"/>
      <w:r>
        <w:t>)</w:t>
      </w:r>
    </w:p>
    <w:p w14:paraId="460DE44A" w14:textId="77777777" w:rsidR="0033656A" w:rsidRDefault="00DE5B72">
      <w:pPr>
        <w:spacing w:after="156"/>
      </w:pPr>
      <w:r>
        <w:t xml:space="preserve">Fig. S14 reflects the velocity field after the internal short circuit. Although visually accompanied by intense sparks, PIV quantitative calculations indicate that the velocity distribution is highly intermittent and irregular. Velocities in most regions remain at a lower level of 5 to 15 m/s. Although local maximum velocities can reach 40 m/s at specific moments (e.g., 205.2 </w:t>
      </w:r>
      <w:proofErr w:type="spellStart"/>
      <w:r>
        <w:t>ms</w:t>
      </w:r>
      <w:proofErr w:type="spellEnd"/>
      <w:r>
        <w:t>), the high-speed regions appear as fragmented, small, and highly dispersed topological structures. This "fragmentation" characteristic is consistent with the discontinuous physical process of separator melting and reaction, indicating that the fluctuation of gas generation prevents the jet from maintaining stable momentum output.</w:t>
      </w:r>
    </w:p>
    <w:p w14:paraId="1DFBD38F" w14:textId="77777777" w:rsidR="0033656A" w:rsidRDefault="00DE5B72">
      <w:pPr>
        <w:spacing w:after="156"/>
        <w:rPr>
          <w:rFonts w:eastAsiaTheme="minorEastAsia"/>
        </w:rPr>
      </w:pPr>
      <w:r>
        <w:rPr>
          <w:noProof/>
        </w:rPr>
        <w:lastRenderedPageBreak/>
        <w:drawing>
          <wp:inline distT="0" distB="0" distL="0" distR="0" wp14:anchorId="2783DD1F" wp14:editId="08C6B3A6">
            <wp:extent cx="5267960" cy="3404870"/>
            <wp:effectExtent l="0" t="0" r="889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7960" cy="3404870"/>
                    </a:xfrm>
                    <a:prstGeom prst="rect">
                      <a:avLst/>
                    </a:prstGeom>
                    <a:noFill/>
                    <a:ln>
                      <a:noFill/>
                    </a:ln>
                  </pic:spPr>
                </pic:pic>
              </a:graphicData>
            </a:graphic>
          </wp:inline>
        </w:drawing>
      </w:r>
    </w:p>
    <w:p w14:paraId="60EFE545" w14:textId="77777777" w:rsidR="0033656A" w:rsidRDefault="00DE5B72">
      <w:pPr>
        <w:spacing w:after="156"/>
        <w:rPr>
          <w:rFonts w:eastAsiaTheme="minorEastAsia"/>
        </w:rPr>
      </w:pPr>
      <w:r>
        <w:t>Fig. S14 Calculated velocity fields at specific moments during the conical and multi-directional jet stages.</w:t>
      </w:r>
    </w:p>
    <w:p w14:paraId="6E3B7D7A" w14:textId="77777777" w:rsidR="0033656A" w:rsidRDefault="00DE5B72">
      <w:pPr>
        <w:pStyle w:val="Heading2"/>
        <w:spacing w:after="156"/>
      </w:pPr>
      <w:r>
        <w:t xml:space="preserve">Violent gas generation stage: explosive high-speed jet &amp; extreme velocity (1564~2249 </w:t>
      </w:r>
      <w:proofErr w:type="spellStart"/>
      <w:r>
        <w:t>ms</w:t>
      </w:r>
      <w:proofErr w:type="spellEnd"/>
      <w:r>
        <w:t>)</w:t>
      </w:r>
    </w:p>
    <w:p w14:paraId="7B49A35C" w14:textId="77777777" w:rsidR="0033656A" w:rsidRDefault="00DE5B72">
      <w:pPr>
        <w:spacing w:after="156"/>
      </w:pPr>
      <w:r>
        <w:t xml:space="preserve">Fig. S15 displays the velocity field during the most violent period. The jet intensity takes a qualitative leap, forming the strongest momentum flux of the entire process. At the beginning of the explosion, the jet presents a clear layered velocity distribution. at 1786.4 </w:t>
      </w:r>
      <w:proofErr w:type="spellStart"/>
      <w:r>
        <w:t>ms</w:t>
      </w:r>
      <w:proofErr w:type="spellEnd"/>
      <w:r>
        <w:t>, accompanied by explosive ejection, almost the entire field of view is covered by high-speed fluid of 81.25 to 113.8 m/s. The algorithm successfully captured a peak projected feature velocity in the jet core—130 m/s. Furthermore, the vector field clearly resolved secondary vortex structures generated by strong shear at the jet edges. Subsequently, as pressure released, the velocity dropped back to the 0~65 m/s range. The huge velocity span (0~130 m/s) verifies the extreme unsteady energy release characteristics.</w:t>
      </w:r>
    </w:p>
    <w:p w14:paraId="530CEBF1" w14:textId="77777777" w:rsidR="0033656A" w:rsidRDefault="00DE5B72">
      <w:pPr>
        <w:spacing w:after="156"/>
        <w:rPr>
          <w:rFonts w:eastAsiaTheme="minorEastAsia"/>
        </w:rPr>
      </w:pPr>
      <w:r>
        <w:rPr>
          <w:noProof/>
        </w:rPr>
        <w:lastRenderedPageBreak/>
        <w:drawing>
          <wp:inline distT="0" distB="0" distL="0" distR="0" wp14:anchorId="49E6A26C" wp14:editId="2FF1EF23">
            <wp:extent cx="5267960" cy="3302635"/>
            <wp:effectExtent l="0" t="0" r="889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960" cy="3302635"/>
                    </a:xfrm>
                    <a:prstGeom prst="rect">
                      <a:avLst/>
                    </a:prstGeom>
                    <a:noFill/>
                    <a:ln>
                      <a:noFill/>
                    </a:ln>
                  </pic:spPr>
                </pic:pic>
              </a:graphicData>
            </a:graphic>
          </wp:inline>
        </w:drawing>
      </w:r>
    </w:p>
    <w:p w14:paraId="31C46F91" w14:textId="77777777" w:rsidR="0033656A" w:rsidRDefault="00DE5B72">
      <w:pPr>
        <w:spacing w:after="156"/>
      </w:pPr>
      <w:r>
        <w:t>Fig. S15 Calculated velocity fields at specific moments during the violent gas generation stage.</w:t>
      </w:r>
    </w:p>
    <w:p w14:paraId="57F8E08C" w14:textId="77777777" w:rsidR="0033656A" w:rsidRDefault="00DE5B72">
      <w:pPr>
        <w:pStyle w:val="Heading2"/>
        <w:spacing w:after="156"/>
      </w:pPr>
      <w:r>
        <w:t xml:space="preserve">Stable combustion stage: swirling channel &amp; steady momentum transport (2488~5240 </w:t>
      </w:r>
      <w:proofErr w:type="spellStart"/>
      <w:r>
        <w:t>ms</w:t>
      </w:r>
      <w:proofErr w:type="spellEnd"/>
      <w:r>
        <w:t>)</w:t>
      </w:r>
    </w:p>
    <w:p w14:paraId="01CB30A8" w14:textId="77777777" w:rsidR="0033656A" w:rsidRDefault="00DE5B72">
      <w:pPr>
        <w:spacing w:after="156"/>
      </w:pPr>
      <w:r>
        <w:t xml:space="preserve">Fig. S16 shows the velocity field during stable combustion. Unlike the previous chaotic phase, the flow structure becomes ordered. Between 2488 </w:t>
      </w:r>
      <w:proofErr w:type="spellStart"/>
      <w:r>
        <w:t>ms</w:t>
      </w:r>
      <w:proofErr w:type="spellEnd"/>
      <w:r>
        <w:t xml:space="preserve"> and 2960 </w:t>
      </w:r>
      <w:proofErr w:type="spellStart"/>
      <w:r>
        <w:t>ms</w:t>
      </w:r>
      <w:proofErr w:type="spellEnd"/>
      <w:r>
        <w:t xml:space="preserve">, a connected high-speed channel forms in the center, with local velocities reaching 37.5 to 52.5 m/s, indicating a fully developed convective path. As combustion continues (after 3739 </w:t>
      </w:r>
      <w:proofErr w:type="spellStart"/>
      <w:r>
        <w:t>ms</w:t>
      </w:r>
      <w:proofErr w:type="spellEnd"/>
      <w:r>
        <w:t>), the core velocity maintains 15 to 45 m/s, and the vector field exhibits distinct swirling characteristics. this ordered swirling structure enhances the entrainment and mixing with ambient air, providing continuous oxidant and momentum support for the stable combustion lasting several seconds.</w:t>
      </w:r>
    </w:p>
    <w:p w14:paraId="6B164FAE" w14:textId="77777777" w:rsidR="0033656A" w:rsidRDefault="00DE5B72">
      <w:pPr>
        <w:spacing w:after="156"/>
        <w:rPr>
          <w:rFonts w:eastAsiaTheme="minorEastAsia"/>
        </w:rPr>
      </w:pPr>
      <w:r>
        <w:rPr>
          <w:noProof/>
        </w:rPr>
        <w:lastRenderedPageBreak/>
        <w:drawing>
          <wp:inline distT="0" distB="0" distL="0" distR="0" wp14:anchorId="6F6FECC0" wp14:editId="33DA7631">
            <wp:extent cx="5267960" cy="3384550"/>
            <wp:effectExtent l="0" t="0" r="889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67960" cy="3384550"/>
                    </a:xfrm>
                    <a:prstGeom prst="rect">
                      <a:avLst/>
                    </a:prstGeom>
                    <a:noFill/>
                    <a:ln>
                      <a:noFill/>
                    </a:ln>
                  </pic:spPr>
                </pic:pic>
              </a:graphicData>
            </a:graphic>
          </wp:inline>
        </w:drawing>
      </w:r>
    </w:p>
    <w:p w14:paraId="51FBBE53" w14:textId="77777777" w:rsidR="0033656A" w:rsidRDefault="00DE5B72">
      <w:pPr>
        <w:spacing w:after="156"/>
        <w:rPr>
          <w:rFonts w:eastAsiaTheme="minorEastAsia"/>
        </w:rPr>
      </w:pPr>
      <w:r>
        <w:t>Fig. S16 Calculated velocity fields at specific moments during the stable combustion stage.</w:t>
      </w:r>
    </w:p>
    <w:sectPr w:rsidR="0033656A">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3CB698" w14:textId="77777777" w:rsidR="00FB38E5" w:rsidRDefault="00FB38E5">
      <w:pPr>
        <w:spacing w:after="120" w:line="240" w:lineRule="auto"/>
      </w:pPr>
      <w:r>
        <w:separator/>
      </w:r>
    </w:p>
  </w:endnote>
  <w:endnote w:type="continuationSeparator" w:id="0">
    <w:p w14:paraId="7395D599" w14:textId="77777777" w:rsidR="00FB38E5" w:rsidRDefault="00FB38E5">
      <w:pPr>
        <w:spacing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9C8F9" w14:textId="77777777" w:rsidR="0033656A" w:rsidRDefault="0033656A">
    <w:pPr>
      <w:pStyle w:val="Footer"/>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49926" w14:textId="77777777" w:rsidR="0033656A" w:rsidRDefault="0033656A">
    <w:pPr>
      <w:pStyle w:val="Footer"/>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53027" w14:textId="77777777" w:rsidR="0033656A" w:rsidRDefault="0033656A">
    <w:pPr>
      <w:pStyle w:val="Footer"/>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C04A1" w14:textId="77777777" w:rsidR="00FB38E5" w:rsidRDefault="00FB38E5">
      <w:pPr>
        <w:spacing w:after="120"/>
      </w:pPr>
      <w:r>
        <w:separator/>
      </w:r>
    </w:p>
  </w:footnote>
  <w:footnote w:type="continuationSeparator" w:id="0">
    <w:p w14:paraId="3A6E678E" w14:textId="77777777" w:rsidR="00FB38E5" w:rsidRDefault="00FB38E5">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5F134" w14:textId="77777777" w:rsidR="0033656A" w:rsidRDefault="0033656A">
    <w:pPr>
      <w:pStyle w:val="Header"/>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7B1C" w14:textId="77777777" w:rsidR="0033656A" w:rsidRDefault="0033656A">
    <w:pPr>
      <w:pStyle w:val="Header"/>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D0E87" w14:textId="77777777" w:rsidR="0033656A" w:rsidRDefault="0033656A">
    <w:pPr>
      <w:pStyle w:val="Header"/>
      <w:spacing w:after="12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AF9"/>
    <w:rsid w:val="00022ED1"/>
    <w:rsid w:val="001255F4"/>
    <w:rsid w:val="001A2AF9"/>
    <w:rsid w:val="001B65DF"/>
    <w:rsid w:val="001C6095"/>
    <w:rsid w:val="001F085F"/>
    <w:rsid w:val="00246BE4"/>
    <w:rsid w:val="0033656A"/>
    <w:rsid w:val="0068410C"/>
    <w:rsid w:val="007A3069"/>
    <w:rsid w:val="00835E21"/>
    <w:rsid w:val="00864803"/>
    <w:rsid w:val="0088277F"/>
    <w:rsid w:val="00893D46"/>
    <w:rsid w:val="009158EC"/>
    <w:rsid w:val="00927366"/>
    <w:rsid w:val="00976887"/>
    <w:rsid w:val="009D76BB"/>
    <w:rsid w:val="009E6BB3"/>
    <w:rsid w:val="00A31F02"/>
    <w:rsid w:val="00A715D3"/>
    <w:rsid w:val="00AA0D5A"/>
    <w:rsid w:val="00BB5124"/>
    <w:rsid w:val="00C16B35"/>
    <w:rsid w:val="00CD6E65"/>
    <w:rsid w:val="00D4024E"/>
    <w:rsid w:val="00D62D03"/>
    <w:rsid w:val="00DE5B72"/>
    <w:rsid w:val="00E10F93"/>
    <w:rsid w:val="00E7173C"/>
    <w:rsid w:val="00E962C9"/>
    <w:rsid w:val="00EC16FE"/>
    <w:rsid w:val="00EE4F69"/>
    <w:rsid w:val="00FB38E5"/>
    <w:rsid w:val="36C57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23C13"/>
  <w15:docId w15:val="{9E347219-6FDB-4A2D-A737-EB89DB261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Lines="50" w:after="50" w:line="360" w:lineRule="auto"/>
      <w:jc w:val="both"/>
    </w:pPr>
    <w:rPr>
      <w:rFonts w:eastAsia="Times New Roman" w:cstheme="minorBidi"/>
      <w:bCs/>
      <w:kern w:val="2"/>
      <w:sz w:val="21"/>
      <w:szCs w:val="22"/>
    </w:rPr>
  </w:style>
  <w:style w:type="paragraph" w:styleId="Heading1">
    <w:name w:val="heading 1"/>
    <w:basedOn w:val="Normal"/>
    <w:next w:val="Normal"/>
    <w:link w:val="Heading1Char"/>
    <w:uiPriority w:val="9"/>
    <w:qFormat/>
    <w:pPr>
      <w:keepNext/>
      <w:keepLines/>
      <w:spacing w:before="340" w:after="330" w:line="578" w:lineRule="auto"/>
      <w:outlineLvl w:val="0"/>
    </w:pPr>
    <w:rPr>
      <w:b/>
      <w:kern w:val="44"/>
      <w:sz w:val="28"/>
      <w:szCs w:val="44"/>
    </w:rPr>
  </w:style>
  <w:style w:type="paragraph" w:styleId="Heading2">
    <w:name w:val="heading 2"/>
    <w:basedOn w:val="Normal"/>
    <w:next w:val="Normal"/>
    <w:link w:val="Heading2Char"/>
    <w:uiPriority w:val="9"/>
    <w:unhideWhenUsed/>
    <w:qFormat/>
    <w:pPr>
      <w:keepNext/>
      <w:keepLines/>
      <w:spacing w:before="260" w:after="260" w:line="416" w:lineRule="auto"/>
      <w:outlineLvl w:val="1"/>
    </w:pPr>
    <w:rPr>
      <w:rFonts w:eastAsiaTheme="majorEastAsia" w:cstheme="majorBidi"/>
      <w:b/>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uiPriority w:val="99"/>
    <w:semiHidden/>
    <w:unhideWhenUsed/>
    <w:pPr>
      <w:jc w:val="left"/>
    </w:pPr>
  </w:style>
  <w:style w:type="paragraph" w:styleId="Footer">
    <w:name w:val="footer"/>
    <w:basedOn w:val="Normal"/>
    <w:link w:val="FooterChar"/>
    <w:uiPriority w:val="99"/>
    <w:unhideWhenUsed/>
    <w:qFormat/>
    <w:pPr>
      <w:tabs>
        <w:tab w:val="center" w:pos="4153"/>
        <w:tab w:val="right" w:pos="8306"/>
      </w:tabs>
      <w:snapToGrid w:val="0"/>
      <w:spacing w:line="240" w:lineRule="auto"/>
      <w:jc w:val="left"/>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itle">
    <w:name w:val="Title"/>
    <w:basedOn w:val="Normal"/>
    <w:next w:val="Normal"/>
    <w:link w:val="TitleChar"/>
    <w:uiPriority w:val="10"/>
    <w:qFormat/>
    <w:pPr>
      <w:spacing w:before="240" w:after="60"/>
      <w:jc w:val="center"/>
      <w:outlineLvl w:val="0"/>
    </w:pPr>
    <w:rPr>
      <w:rFonts w:asciiTheme="majorHAnsi" w:eastAsiaTheme="majorEastAsia" w:hAnsiTheme="majorHAnsi" w:cstheme="majorBidi"/>
      <w:b/>
      <w:sz w:val="32"/>
      <w:szCs w:val="32"/>
    </w:rPr>
  </w:style>
  <w:style w:type="paragraph" w:styleId="ListParagraph">
    <w:name w:val="List Paragraph"/>
    <w:basedOn w:val="Normal"/>
    <w:uiPriority w:val="34"/>
    <w:qFormat/>
    <w:pPr>
      <w:ind w:firstLineChars="200" w:firstLine="420"/>
    </w:pPr>
  </w:style>
  <w:style w:type="character" w:customStyle="1" w:styleId="Heading2Char">
    <w:name w:val="Heading 2 Char"/>
    <w:basedOn w:val="DefaultParagraphFont"/>
    <w:link w:val="Heading2"/>
    <w:uiPriority w:val="9"/>
    <w:rPr>
      <w:rFonts w:ascii="Times New Roman" w:eastAsiaTheme="majorEastAsia" w:hAnsi="Times New Roman" w:cstheme="majorBidi"/>
      <w:b/>
      <w:bCs/>
      <w:sz w:val="24"/>
      <w:szCs w:val="32"/>
    </w:rPr>
  </w:style>
  <w:style w:type="character" w:customStyle="1" w:styleId="Heading1Char">
    <w:name w:val="Heading 1 Char"/>
    <w:basedOn w:val="DefaultParagraphFont"/>
    <w:link w:val="Heading1"/>
    <w:uiPriority w:val="9"/>
    <w:qFormat/>
    <w:rPr>
      <w:rFonts w:ascii="Times New Roman" w:eastAsia="Times New Roman" w:hAnsi="Times New Roman"/>
      <w:b/>
      <w:bCs/>
      <w:kern w:val="44"/>
      <w:sz w:val="28"/>
      <w:szCs w:val="44"/>
    </w:rPr>
  </w:style>
  <w:style w:type="character" w:customStyle="1" w:styleId="TitleChar">
    <w:name w:val="Title Char"/>
    <w:basedOn w:val="DefaultParagraphFont"/>
    <w:link w:val="Title"/>
    <w:uiPriority w:val="10"/>
    <w:qFormat/>
    <w:rPr>
      <w:rFonts w:asciiTheme="majorHAnsi" w:eastAsiaTheme="majorEastAsia" w:hAnsiTheme="majorHAnsi" w:cstheme="majorBidi"/>
      <w:b/>
      <w:bCs/>
      <w:sz w:val="32"/>
      <w:szCs w:val="32"/>
    </w:rPr>
  </w:style>
  <w:style w:type="character" w:customStyle="1" w:styleId="HeaderChar">
    <w:name w:val="Header Char"/>
    <w:basedOn w:val="DefaultParagraphFont"/>
    <w:link w:val="Header"/>
    <w:uiPriority w:val="99"/>
    <w:qFormat/>
    <w:rPr>
      <w:rFonts w:ascii="Times New Roman" w:eastAsia="Times New Roman" w:hAnsi="Times New Roman"/>
      <w:bCs/>
      <w:sz w:val="18"/>
      <w:szCs w:val="18"/>
    </w:rPr>
  </w:style>
  <w:style w:type="character" w:customStyle="1" w:styleId="FooterChar">
    <w:name w:val="Footer Char"/>
    <w:basedOn w:val="DefaultParagraphFont"/>
    <w:link w:val="Footer"/>
    <w:uiPriority w:val="99"/>
    <w:qFormat/>
    <w:rPr>
      <w:rFonts w:ascii="Times New Roman" w:eastAsia="Times New Roman" w:hAnsi="Times New Roman"/>
      <w:bCs/>
      <w:sz w:val="18"/>
      <w:szCs w:val="18"/>
    </w:rPr>
  </w:style>
  <w:style w:type="character" w:styleId="CommentReference">
    <w:name w:val="annotation reference"/>
    <w:basedOn w:val="DefaultParagraphFont"/>
    <w:uiPriority w:val="99"/>
    <w:semiHidden/>
    <w:unhideWhenUsed/>
    <w:rPr>
      <w:sz w:val="21"/>
      <w:szCs w:val="21"/>
    </w:rPr>
  </w:style>
  <w:style w:type="paragraph" w:styleId="BalloonText">
    <w:name w:val="Balloon Text"/>
    <w:basedOn w:val="Normal"/>
    <w:link w:val="BalloonTextChar"/>
    <w:uiPriority w:val="99"/>
    <w:semiHidden/>
    <w:unhideWhenUsed/>
    <w:rsid w:val="007A3069"/>
    <w:pPr>
      <w:spacing w:after="0" w:line="240" w:lineRule="auto"/>
    </w:pPr>
    <w:rPr>
      <w:sz w:val="18"/>
      <w:szCs w:val="18"/>
    </w:rPr>
  </w:style>
  <w:style w:type="character" w:customStyle="1" w:styleId="BalloonTextChar">
    <w:name w:val="Balloon Text Char"/>
    <w:basedOn w:val="DefaultParagraphFont"/>
    <w:link w:val="BalloonText"/>
    <w:uiPriority w:val="99"/>
    <w:semiHidden/>
    <w:rsid w:val="007A3069"/>
    <w:rPr>
      <w:rFonts w:eastAsia="Times New Roman" w:cstheme="minorBidi"/>
      <w:bCs/>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FD0241-B9B1-48C0-B685-1A5EF8424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17</Pages>
  <Words>1854</Words>
  <Characters>10574</Characters>
  <Application>Microsoft Office Word</Application>
  <DocSecurity>0</DocSecurity>
  <Lines>88</Lines>
  <Paragraphs>24</Paragraphs>
  <ScaleCrop>false</ScaleCrop>
  <Company/>
  <LinksUpToDate>false</LinksUpToDate>
  <CharactersWithSpaces>12404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jy luo</dc:creator>
  <cp:lastModifiedBy>Production Team</cp:lastModifiedBy>
  <cp:revision>4</cp:revision>
  <dcterms:created xsi:type="dcterms:W3CDTF">2026-05-20T07:05:00Z</dcterms:created>
  <dcterms:modified xsi:type="dcterms:W3CDTF">2026-05-28T02:34:00Z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eyJoZGlkIjoiYjJjOTQxYzhjODMyMDAzZmE0MDJkMWFkNmJlNDkwYTUiLCJ1c2VySWQiOiI4ODEzOTgxMDI2NDUwIn0=</vt:lpwstr>
  </property>
  <property fmtid="{D5CDD505-2E9C-101B-9397-08002B2CF9AE}" pid="3" name="KSOProductBuildVer">
    <vt:lpwstr>1033-12.1.0.26372</vt:lpwstr>
  </property>
  <property fmtid="{D5CDD505-2E9C-101B-9397-08002B2CF9AE}" pid="4" name="ICV">
    <vt:lpwstr>D2B5951ACE4B4988BA35C84061E0673F_12</vt:lpwstr>
  </property>
</Properties>
</file>