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Supplementary Material C: DECIDE-AI Self-Assessment Checklist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Knowledge–Rule–Decision: A Loosely-Coupled Architecture for Auditable High-Stakes Clinical Decision Support</w:t>
      </w:r>
    </w:p>
    <w:p>
      <w:pPr>
        <w:spacing w:after="200"/>
        <w:jc w:val="center"/>
      </w:pPr>
      <w:r>
        <w:rPr>
          <w:rFonts w:ascii="Arial" w:cs="Arial" w:eastAsia="Arial" w:hAnsi="Arial"/>
          <w:sz w:val="20"/>
          <w:szCs w:val="20"/>
        </w:rPr>
        <w:t xml:space="preserve">Bailing Zhang, Genlang Chen</w:t>
      </w:r>
    </w:p>
    <w:p>
      <w:pPr>
        <w:spacing w:after="300"/>
      </w:pPr>
      <w:r>
        <w:rPr>
          <w:rFonts w:ascii="Arial" w:cs="Arial" w:eastAsia="Arial" w:hAnsi="Arial"/>
          <w:sz w:val="18"/>
          <w:szCs w:val="18"/>
        </w:rPr>
        <w:t xml:space="preserve">This checklist follows the DECIDE-AI reporting guideline (Vasey et al., Nature Medicine, 2022; BMJ, 2022). Items 1–17 are AI-specific; items I–X are generic. Each item is marked with its location in the manuscript or noted as Not Applicable (N/A) with justification.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1800"/>
        <w:gridCol w:w="3600"/>
        <w:gridCol w:w="1800"/>
        <w:gridCol w:w="2700"/>
      </w:tblGrid>
      <w:tr>
        <w:trPr>
          <w:tblHeader/>
        </w:trPr>
        <w:tc>
          <w:tcPr>
            <w:tcW w:type="dxa" w:w="900"/>
            <w:shd w:fill="1F4E79" w:color="auto" w:val="clea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Item No.</w:t>
            </w:r>
          </w:p>
        </w:tc>
        <w:tc>
          <w:tcPr>
            <w:tcW w:type="dxa" w:w="1800"/>
            <w:shd w:fill="1F4E79" w:color="auto" w:val="clea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Theme</w:t>
            </w:r>
          </w:p>
        </w:tc>
        <w:tc>
          <w:tcPr>
            <w:tcW w:type="dxa" w:w="3600"/>
            <w:shd w:fill="1F4E79" w:color="auto" w:val="clea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Recommendation</w:t>
            </w:r>
          </w:p>
        </w:tc>
        <w:tc>
          <w:tcPr>
            <w:tcW w:type="dxa" w:w="1800"/>
            <w:shd w:fill="1F4E79" w:color="auto" w:val="clea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Reported on page</w:t>
            </w:r>
          </w:p>
        </w:tc>
        <w:tc>
          <w:tcPr>
            <w:tcW w:type="dxa" w:w="2700"/>
            <w:shd w:fill="1F4E79" w:color="auto" w:val="clea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Comment / Justification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Title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Identify the study as early clinical evaluation of a decision support system based on AI/ML, specifying the problem addressed.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p.1, Title and Abstract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Title names KRD as a clinical decision support architecture; abstract describes the AI system and T1D problem.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2a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Intended use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targeted medical condition(s), current standard practice, and the intended patient population(s).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§2 (pp.3–4)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2.1 defines the high-stakes deployment regime; Section 2.2 describes T1D management as the target condition.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2b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Intended use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intended users, planned integration in the care pathway, and potential impact.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§4.7 (p.8)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4.7 states KRD is a deployment architecture for clinician-in-the-loop decision support, not autonomous decision making.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3a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(patients)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how patients were recruited, inclusion/exclusion criteria.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(pp.9–10)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real patients. Benchmark uses 32 synthetic clinical vignettes (Section 6, Benchmark construction and disclosure). 15 hand-authored, 17 LLM-generated then manually reviewed.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3b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(users)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how users were recruited, inclusion/exclusion criteria.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clinical users. This is a pre-deployment evaluation on synthetic scenarios, not a clinical trial (Section 6, Reporting standards).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3c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(training)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steps taken to familiarise the users with the AI system.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 in this evaluation.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4a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AI system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Briefly describe the AI system, specifying its version and type of underlying algorithm.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§4 (pp.6–8), §6 (pp.9–10)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4 describes the four-component KRD architecture. Section 6 specifies the LLM backbone (glm-4-flashx, temperature 0.2). No model training is performed; the LLM is used as a fixed black box.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4b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AI system (inputs)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Identify the data used as inputs; describe acquisition, pre-processing, and handling of missing/low-quality data.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§4.3 (p.7)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4.3 describes the fact extractor φ that maps free-text to structured fields, including explicit missing-field reporting and confidence scoring.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4c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AI system (outputs)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AI system outputs and how they were presented to the users.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§4.6 (p.8), §5 (pp.9–10)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4.6 describes the three-branch decision interface producing a Decision Support Packet (DSP). Section 5 defines the six evaluation metrics applied to DSP outputs.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5a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Implementation (settings)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settings in which the AI system was evaluated.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Evaluated on synthetic vignettes in a computational environment (Python 3.10, Ubuntu 24.04 / Windows 11). No live clinical setting.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5b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Implementation (workflow)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clinical workflow in which the AI system was evaluated.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Pre-deployment benchmark evaluation. Section 6 explicitly states this is not a clinical trial.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6a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Safety and errors (definition)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Provide a description of how significant errors/malfunctions were defined and identified.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§5.1–5.4 (pp.9–10), §7.4 (p.12)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5.1–5.2 define strict USR and RVR as error metrics. Section 7.4 provides case-by-case error analysis of five fact-extraction failures.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6b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Safety and errors (risk mitigation)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how any risks to patient safety were identified, analysed, and minimised.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§4.5–4.6 (p.8), §7 (pp.11–13)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The rule layer R (Section 4.5) encodes hard contraindications that block recommendations. The decision interface δ (Section 4.6) short-circuits to a blocking DSP without invoking the LLM. No real patients were at risk.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7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Human factors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human factors tools, methods or frameworks used.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 in this evaluation. Section 8.4 identifies human–AI teaming evaluation (TRIAD, CLIX-M) as the most important future direction.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8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Ethics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whether specific methodologies were utilised to fulfil an ethics-related goal.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(p.10), §9 (pp.14–15)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6 states no real patients or animal experiments are involved. Section 9 discusses limitations including potential bias from LLM-generated scenarios.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9a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results (patients)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baseline characteristics of the patients included.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(pp.9–10)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for real patients. The 32 synthetic scenarios span ages 17–50, various T1D clinical states. Section 6 discloses the benchmark composition.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9b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results (users)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baseline characteristics of the users included.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10a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Implementation results (exposure)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user exposure to the AI system.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10b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Implementation results (workflow changes)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any significant changes to the clinical workflow caused by the AI system.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Pre-deployment evaluation.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11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Modifications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any changes made to the AI system during the study.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The AI system (glm-4-flashx) was not modified during the evaluation. Temperature fixed at 0.2. Ablation variants are architectural modifications evaluated separately (Table 2).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12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Human–computer agreement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the user agreement with the AI system.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users. The RCB metric (Section 5.4) is a proxy for what a clinician reviewer would need to correct.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13a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Safety and errors results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List any significant errors/malfunctions: rate, causes, correctability, impact.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§7.1 (pp.11–12), §7.4 (pp.12–13), Table 4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7.1 reports USR and RVR across all five systems. Section 7.4 and Table 4 trace five fact-extraction failures to a single regex pattern, with case-by-case causal analysis.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13b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Safety and errors results (harm)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any risks to patient safety or observed instances of harm.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§9 (pp.14–15)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 real patients were involved. Section 9 discusses the limitation that all labels were reviewed by the author only, not by an independent endocrinologist.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14a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Human factors results (usability)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the usability evaluation.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users. Identified as future work in Section 8.4.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14b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Human factors results (learning curves)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the user learning curves evaluation.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 — No live users.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15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Support for intended use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 whether the results support the intended use of the AI system in clinical settings.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§8.1 (p.13), §8.4 (p.14)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8.1 discusses what hard-safety equivalence between S4 and S5 means. Section 8.4 argues that layer-wise auditability is a design discipline worth adopting, while acknowledging that clinical deployment requires further evaluation.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16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Safety and errors discussion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 what the results indicate about the safety profile. Discuss errors and mitigation.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§8.2 (p.14), §8.3 (p.14)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8.2 discusses the fact extractor as the safety bottleneck. Section 8.3 discusses the inert evidence gate as an honest negative result.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17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Data availability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Disclose if and how data and relevant code are available.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p.16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Data availability statement provided: data available from the corresponding author upon reasonable request.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Abstract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Provide a structured summary of the study.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p.1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Abstract provided with intended use, algorithm type, benchmark description, metrics, main results, and conclusions.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Objectives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State the study objectives.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§1 (pp.1–3)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1 states five findings that frame the paper and the objective of evaluating layer-wise architectural contributions.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III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Research governance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Provide a reference to any study protocol, registration number, and ethics approval.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6 states: no human subjects or animal experiments requiring institutional ethics approval. Synthetic benchmark evaluation.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IV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Outcomes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Specify the primary and secondary outcomes measured.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§5 (pp.9–10)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5 defines six metrics: strict USR, RVR, RCIR, SRI, ETC, RCB, plus API call audit.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V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Analysis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 the statistical methods.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§5 (p.9), §6 (p.10)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Bootstrap 95% CI with 1000 resamples. Paired bootstrap for S5 vs S4 differences with Cohen’s d reported (Section 7.1).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VI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Patient involvement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State how patients were involved in any aspect of the study.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N/A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 patient involvement. This is a computational evaluation on synthetic vignettes.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VII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Main results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the prespecified outcomes.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§7.1–7.3 (pp.11–12), Tables 1–3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Tables 1–3 and Section 7.1–7.3 report all six metrics with bootstrap CIs for all five systems and all ablation variants.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VIII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Subgroups analysis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on differences in main outcomes according to prespecified subgroups.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§7.4 (pp.12–13), Table 4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Table 4 reports case-by-case subgroup analysis of the five divergent scenarios between S5_full and S5_dumbPhi.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IX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Strengths and limitations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 the strengths and limitations of the study.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§9 (pp.14–15)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Section 9 lists five specific limitations: small benchmark, fixed LLM backbone, single domain, LLM-generated scenarios, and single-author label review.</w:t>
            </w:r>
          </w:p>
        </w:tc>
      </w:tr>
      <w:tr>
        <w:tc>
          <w:tcPr>
            <w:tcW w:type="dxa" w:w="900"/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X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Conflicts of interest</w:t>
            </w:r>
          </w:p>
        </w:tc>
        <w:tc>
          <w:tcPr>
            <w:tcW w:type="dxa" w:w="36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Disclose any relevant conflicts of interest.</w:t>
            </w:r>
          </w:p>
        </w:tc>
        <w:tc>
          <w:tcPr>
            <w:tcW w:type="dxa" w:w="18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p.16</w:t>
            </w:r>
          </w:p>
        </w:tc>
        <w:tc>
          <w:tcPr>
            <w:tcW w:type="dxa" w:w="2700"/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Conflicts of interest statement provided: no conflicts to report. Funding statement provided: no specific funding.</w:t>
            </w:r>
          </w:p>
        </w:tc>
      </w:tr>
    </w:tbl>
    <w:p>
      <w:pPr>
        <w:spacing w:before="300"/>
      </w:pPr>
      <w:r>
        <w:rPr>
          <w:rFonts w:ascii="Arial" w:cs="Arial" w:eastAsia="Arial" w:hAnsi="Arial"/>
          <w:i/>
          <w:iCs/>
          <w:sz w:val="16"/>
          <w:szCs w:val="16"/>
        </w:rPr>
        <w:t xml:space="preserve">Reference: Vasey, B., Nagendran, M., Campbell, B., et al. (2022). Reporting guideline for the early-stage clinical evaluation of decision support systems driven by artificial intelligence: DECIDE-AI. BMJ, 377, e070904; Nature Medicine, 28, 924–933.</w:t>
      </w:r>
    </w:p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2026-07-07T14:02:44.722Z</dcterms:created>
  <dcterms:modified xsi:type="dcterms:W3CDTF">2026-07-07T14:02:44.723Z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