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4A0B69" w14:textId="77777777" w:rsidR="00AE4484" w:rsidRDefault="00F10B87">
      <w:pPr>
        <w:spacing w:after="180" w:line="480" w:lineRule="auto"/>
        <w:rPr>
          <w:rFonts w:ascii="Times New Roman" w:hAnsi="Times New Roman" w:cs="Times New Roman"/>
          <w:b/>
          <w:sz w:val="24"/>
        </w:rPr>
      </w:pPr>
      <w:r>
        <w:rPr>
          <w:rFonts w:ascii="Times New Roman" w:hAnsi="Times New Roman" w:cs="Times New Roman"/>
          <w:b/>
          <w:sz w:val="24"/>
        </w:rPr>
        <w:t xml:space="preserve">S1 </w:t>
      </w:r>
      <w:r>
        <w:rPr>
          <w:rFonts w:ascii="Times New Roman" w:hAnsi="Times New Roman" w:cs="Times New Roman" w:hint="eastAsia"/>
          <w:b/>
          <w:sz w:val="24"/>
        </w:rPr>
        <w:t>F</w:t>
      </w:r>
      <w:r>
        <w:rPr>
          <w:rFonts w:ascii="Times New Roman" w:hAnsi="Times New Roman" w:cs="Times New Roman"/>
          <w:b/>
          <w:sz w:val="24"/>
        </w:rPr>
        <w:t>ire exposure test</w:t>
      </w:r>
    </w:p>
    <w:p w14:paraId="1AA46C00" w14:textId="77777777" w:rsidR="00AE4484" w:rsidRDefault="00F10B87">
      <w:pPr>
        <w:spacing w:line="480" w:lineRule="auto"/>
        <w:jc w:val="center"/>
        <w:rPr>
          <w:rFonts w:ascii="Times New Roman" w:hAnsi="Times New Roman" w:cs="Times New Roman"/>
        </w:rPr>
      </w:pPr>
      <w:r>
        <w:rPr>
          <w:noProof/>
        </w:rPr>
        <w:drawing>
          <wp:inline distT="0" distB="0" distL="0" distR="0" wp14:anchorId="5F027C7B" wp14:editId="7D6E5D5C">
            <wp:extent cx="5274310" cy="2536825"/>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5274310" cy="2536825"/>
                    </a:xfrm>
                    <a:prstGeom prst="rect">
                      <a:avLst/>
                    </a:prstGeom>
                    <a:noFill/>
                    <a:ln>
                      <a:noFill/>
                    </a:ln>
                  </pic:spPr>
                </pic:pic>
              </a:graphicData>
            </a:graphic>
          </wp:inline>
        </w:drawing>
      </w:r>
    </w:p>
    <w:p w14:paraId="30CFFFF6" w14:textId="77777777" w:rsidR="00AE4484" w:rsidRDefault="00F10B87">
      <w:pPr>
        <w:spacing w:line="480" w:lineRule="auto"/>
        <w:rPr>
          <w:rFonts w:ascii="Times New Roman" w:hAnsi="Times New Roman" w:cs="Times New Roman"/>
          <w:szCs w:val="21"/>
        </w:rPr>
      </w:pPr>
      <w:r>
        <w:rPr>
          <w:rFonts w:ascii="Times New Roman" w:hAnsi="Times New Roman" w:cs="Times New Roman"/>
          <w:b/>
          <w:sz w:val="24"/>
          <w:szCs w:val="24"/>
        </w:rPr>
        <w:t xml:space="preserve">Figure </w:t>
      </w:r>
      <w:r>
        <w:rPr>
          <w:rFonts w:ascii="Times New Roman" w:hAnsi="Times New Roman" w:cs="Times New Roman" w:hint="eastAsia"/>
          <w:b/>
          <w:sz w:val="24"/>
          <w:szCs w:val="24"/>
        </w:rPr>
        <w:t>S1</w:t>
      </w:r>
      <w:r>
        <w:rPr>
          <w:rFonts w:ascii="Times New Roman" w:hAnsi="Times New Roman" w:cs="Times New Roman"/>
          <w:sz w:val="24"/>
          <w:szCs w:val="24"/>
        </w:rPr>
        <w:t xml:space="preserve"> (a) Schematic diagram of the fire exposure test, (b) Time-temperature curve of </w:t>
      </w:r>
      <w:r>
        <w:rPr>
          <w:rFonts w:ascii="Times New Roman" w:hAnsi="Times New Roman" w:cs="Times New Roman"/>
          <w:color w:val="000000" w:themeColor="text1"/>
          <w:sz w:val="24"/>
          <w:szCs w:val="24"/>
        </w:rPr>
        <w:t>the</w:t>
      </w:r>
      <w:r>
        <w:rPr>
          <w:rFonts w:ascii="Times New Roman" w:hAnsi="Times New Roman" w:cs="Times New Roman"/>
          <w:sz w:val="24"/>
          <w:szCs w:val="24"/>
        </w:rPr>
        <w:t xml:space="preserve"> fire exposure test deviating from one end of the flame.</w:t>
      </w:r>
    </w:p>
    <w:p w14:paraId="369B508B" w14:textId="77777777" w:rsidR="00AE4484" w:rsidRDefault="00F10B87">
      <w:pPr>
        <w:spacing w:line="480" w:lineRule="auto"/>
        <w:ind w:firstLineChars="100" w:firstLine="240"/>
        <w:rPr>
          <w:rFonts w:ascii="Times New Roman" w:hAnsi="Times New Roman" w:cs="Times New Roman"/>
          <w:color w:val="000000"/>
          <w:kern w:val="24"/>
          <w:sz w:val="24"/>
          <w:szCs w:val="21"/>
        </w:rPr>
      </w:pPr>
      <w:r>
        <w:rPr>
          <w:rFonts w:ascii="Times New Roman" w:hAnsi="Times New Roman" w:cs="Times New Roman"/>
          <w:color w:val="000000"/>
          <w:kern w:val="24"/>
          <w:sz w:val="24"/>
          <w:szCs w:val="21"/>
        </w:rPr>
        <w:t xml:space="preserve">Figure </w:t>
      </w:r>
      <w:r>
        <w:rPr>
          <w:rFonts w:ascii="Times New Roman" w:hAnsi="Times New Roman" w:cs="Times New Roman" w:hint="eastAsia"/>
          <w:color w:val="000000"/>
          <w:kern w:val="24"/>
          <w:sz w:val="24"/>
          <w:szCs w:val="21"/>
        </w:rPr>
        <w:t>S1</w:t>
      </w:r>
      <w:r>
        <w:rPr>
          <w:rFonts w:ascii="Times New Roman" w:hAnsi="Times New Roman" w:cs="Times New Roman"/>
          <w:color w:val="000000"/>
          <w:kern w:val="24"/>
          <w:sz w:val="24"/>
          <w:szCs w:val="21"/>
        </w:rPr>
        <w:t xml:space="preserve"> presents the schematic diagram of the back panel burn test and the corresponding time-temperature curve for a test with one end removed from the flame. The temperature rise curve indicates that the sample containing fillers exhibits a faster initial temperature rise rate. This observation may be attributed, to some extent, to the increased thermal conductivity resulting from the addition of fillers. This enhancement in conductivity likely facilitates a more rapid transfer of heat throughout the material, accelerating the initial temperature increase. As the temperature stabilizes, the samples containing different fillers exhibit varying temperatures, with SR/Ce-GF having the highest, followed by SR/La-GF, SR/G45, and SR/</w:t>
      </w:r>
      <w:proofErr w:type="spellStart"/>
      <w:r>
        <w:rPr>
          <w:rFonts w:ascii="Times New Roman" w:hAnsi="Times New Roman" w:cs="Times New Roman"/>
          <w:color w:val="000000"/>
          <w:kern w:val="24"/>
          <w:sz w:val="24"/>
          <w:szCs w:val="21"/>
        </w:rPr>
        <w:t>ZnB</w:t>
      </w:r>
      <w:proofErr w:type="spellEnd"/>
      <w:r>
        <w:rPr>
          <w:rFonts w:ascii="Times New Roman" w:hAnsi="Times New Roman" w:cs="Times New Roman"/>
          <w:color w:val="000000"/>
          <w:kern w:val="24"/>
          <w:sz w:val="24"/>
          <w:szCs w:val="21"/>
        </w:rPr>
        <w:t xml:space="preserve">-GF in descending order. These results suggest that the incorporation of ceramic fillers and flame retardants significantly enhances the thermal protection ability of silicone rubber. Furthermore, the addition of modified glass powder appears to further </w:t>
      </w:r>
      <w:r>
        <w:rPr>
          <w:rFonts w:ascii="Times New Roman" w:hAnsi="Times New Roman" w:cs="Times New Roman"/>
          <w:color w:val="000000"/>
          <w:kern w:val="24"/>
          <w:sz w:val="24"/>
          <w:szCs w:val="21"/>
        </w:rPr>
        <w:lastRenderedPageBreak/>
        <w:t>improve the protective effect, demonstrating its efficacy in augmenting the material's resistance to heat. This indicates that the choice of filler plays a crucial role in determining the thermal behavior and protective capabilities of silicone rubber composites.</w:t>
      </w:r>
    </w:p>
    <w:p w14:paraId="7F6DA59B" w14:textId="77777777" w:rsidR="00AE4484" w:rsidRDefault="00AE4484">
      <w:pPr>
        <w:spacing w:line="480" w:lineRule="auto"/>
        <w:ind w:firstLineChars="100" w:firstLine="240"/>
        <w:rPr>
          <w:rFonts w:ascii="Times New Roman" w:hAnsi="Times New Roman" w:cs="Times New Roman"/>
          <w:color w:val="000000"/>
          <w:kern w:val="24"/>
          <w:sz w:val="24"/>
          <w:szCs w:val="21"/>
        </w:rPr>
      </w:pPr>
    </w:p>
    <w:p w14:paraId="2C772598" w14:textId="77777777" w:rsidR="00AE4484" w:rsidRDefault="00F10B87">
      <w:pPr>
        <w:spacing w:after="180"/>
        <w:rPr>
          <w:rFonts w:ascii="Times New Roman" w:hAnsi="Times New Roman" w:cs="Times New Roman"/>
          <w:b/>
          <w:sz w:val="24"/>
          <w:szCs w:val="24"/>
        </w:rPr>
      </w:pPr>
      <w:r>
        <w:rPr>
          <w:rFonts w:ascii="Times New Roman" w:hAnsi="Times New Roman" w:cs="Times New Roman"/>
          <w:b/>
          <w:sz w:val="24"/>
          <w:szCs w:val="24"/>
        </w:rPr>
        <w:t>S2 X-ray photoelectron spectroscopy</w:t>
      </w:r>
      <w:r>
        <w:rPr>
          <w:rFonts w:ascii="Times New Roman" w:hAnsi="Times New Roman" w:cs="Times New Roman" w:hint="eastAsia"/>
          <w:b/>
          <w:sz w:val="24"/>
          <w:szCs w:val="24"/>
        </w:rPr>
        <w:t xml:space="preserve"> </w:t>
      </w:r>
      <w:r>
        <w:rPr>
          <w:rFonts w:ascii="Times New Roman" w:hAnsi="Times New Roman" w:cs="Times New Roman"/>
          <w:b/>
          <w:sz w:val="24"/>
          <w:szCs w:val="24"/>
        </w:rPr>
        <w:t>analysis</w:t>
      </w:r>
      <w:r>
        <w:rPr>
          <w:rFonts w:ascii="Times New Roman" w:hAnsi="Times New Roman" w:cs="Times New Roman" w:hint="eastAsia"/>
          <w:b/>
          <w:sz w:val="24"/>
          <w:szCs w:val="24"/>
        </w:rPr>
        <w:t xml:space="preserve"> and </w:t>
      </w:r>
      <w:r>
        <w:rPr>
          <w:rFonts w:ascii="Times New Roman" w:hAnsi="Times New Roman" w:cs="Times New Roman"/>
          <w:b/>
          <w:sz w:val="24"/>
          <w:szCs w:val="24"/>
        </w:rPr>
        <w:t>infrared spectra</w:t>
      </w:r>
      <w:r>
        <w:rPr>
          <w:rFonts w:ascii="Times New Roman" w:hAnsi="Times New Roman" w:cs="Times New Roman" w:hint="eastAsia"/>
          <w:b/>
          <w:sz w:val="24"/>
          <w:szCs w:val="24"/>
        </w:rPr>
        <w:t xml:space="preserve"> </w:t>
      </w:r>
      <w:r>
        <w:rPr>
          <w:rFonts w:ascii="Times New Roman" w:hAnsi="Times New Roman" w:cs="Times New Roman"/>
          <w:b/>
          <w:sz w:val="24"/>
          <w:szCs w:val="24"/>
        </w:rPr>
        <w:t>analysis</w:t>
      </w:r>
    </w:p>
    <w:p w14:paraId="71E9FC7A" w14:textId="77777777" w:rsidR="00AE4484" w:rsidRDefault="00F10B87">
      <w:pPr>
        <w:spacing w:line="480" w:lineRule="auto"/>
        <w:jc w:val="center"/>
        <w:rPr>
          <w:rFonts w:ascii="Times New Roman" w:hAnsi="Times New Roman" w:cs="Times New Roman"/>
          <w:szCs w:val="21"/>
        </w:rPr>
      </w:pPr>
      <w:r>
        <w:rPr>
          <w:noProof/>
        </w:rPr>
        <w:drawing>
          <wp:inline distT="0" distB="0" distL="0" distR="0" wp14:anchorId="0E009B18" wp14:editId="484AA72F">
            <wp:extent cx="5233670" cy="3050540"/>
            <wp:effectExtent l="0" t="0" r="508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7">
                      <a:extLst>
                        <a:ext uri="{28A0092B-C50C-407E-A947-70E740481C1C}">
                          <a14:useLocalDpi xmlns:a14="http://schemas.microsoft.com/office/drawing/2010/main" val="0"/>
                        </a:ext>
                      </a:extLst>
                    </a:blip>
                    <a:srcRect l="762" t="654" b="1"/>
                    <a:stretch>
                      <a:fillRect/>
                    </a:stretch>
                  </pic:blipFill>
                  <pic:spPr>
                    <a:xfrm>
                      <a:off x="0" y="0"/>
                      <a:ext cx="5234114" cy="3050763"/>
                    </a:xfrm>
                    <a:prstGeom prst="rect">
                      <a:avLst/>
                    </a:prstGeom>
                    <a:noFill/>
                    <a:ln>
                      <a:noFill/>
                    </a:ln>
                  </pic:spPr>
                </pic:pic>
              </a:graphicData>
            </a:graphic>
          </wp:inline>
        </w:drawing>
      </w:r>
    </w:p>
    <w:p w14:paraId="3887C05E" w14:textId="77777777" w:rsidR="00AE4484" w:rsidRDefault="00F10B87">
      <w:pPr>
        <w:spacing w:line="480" w:lineRule="auto"/>
        <w:rPr>
          <w:rFonts w:ascii="Times New Roman" w:hAnsi="Times New Roman" w:cs="Times New Roman"/>
          <w:sz w:val="24"/>
          <w:szCs w:val="24"/>
        </w:rPr>
      </w:pPr>
      <w:r>
        <w:rPr>
          <w:rFonts w:ascii="Times New Roman" w:hAnsi="Times New Roman" w:cs="Times New Roman"/>
          <w:b/>
          <w:sz w:val="24"/>
          <w:szCs w:val="24"/>
        </w:rPr>
        <w:t>Figure</w:t>
      </w:r>
      <w:r>
        <w:rPr>
          <w:rFonts w:ascii="Times New Roman" w:hAnsi="Times New Roman" w:cs="Times New Roman" w:hint="eastAsia"/>
          <w:b/>
          <w:sz w:val="24"/>
          <w:szCs w:val="24"/>
        </w:rPr>
        <w:t xml:space="preserve"> S2</w:t>
      </w:r>
      <w:r>
        <w:rPr>
          <w:rFonts w:ascii="Times New Roman" w:hAnsi="Times New Roman" w:cs="Times New Roman"/>
          <w:sz w:val="24"/>
          <w:szCs w:val="24"/>
        </w:rPr>
        <w:t xml:space="preserve"> </w:t>
      </w:r>
      <w:r>
        <w:rPr>
          <w:rFonts w:ascii="Times New Roman" w:hAnsi="Times New Roman" w:cs="Times New Roman" w:hint="eastAsia"/>
          <w:sz w:val="24"/>
          <w:szCs w:val="24"/>
        </w:rPr>
        <w:t xml:space="preserve">(a-c) </w:t>
      </w:r>
      <w:r>
        <w:rPr>
          <w:rFonts w:ascii="Times New Roman" w:hAnsi="Times New Roman" w:cs="Times New Roman"/>
          <w:sz w:val="24"/>
          <w:szCs w:val="24"/>
        </w:rPr>
        <w:t>X-ray photoelectron spectroscopy of ceramic residues from samples calcined at different temperatures.</w:t>
      </w:r>
      <w:r>
        <w:rPr>
          <w:rFonts w:ascii="Times New Roman" w:hAnsi="Times New Roman" w:cs="Times New Roman" w:hint="eastAsia"/>
          <w:sz w:val="24"/>
          <w:szCs w:val="24"/>
        </w:rPr>
        <w:t xml:space="preserve"> (d-f)</w:t>
      </w:r>
      <w:r>
        <w:rPr>
          <w:rFonts w:ascii="Times New Roman" w:hAnsi="Times New Roman" w:cs="Times New Roman"/>
          <w:sz w:val="24"/>
          <w:szCs w:val="24"/>
        </w:rPr>
        <w:t xml:space="preserve"> Infrared spectra of ceramic-like residues of samples calcined at different temperatures in air.</w:t>
      </w:r>
    </w:p>
    <w:p w14:paraId="4AEBAD4A" w14:textId="77777777" w:rsidR="00AE4484" w:rsidRDefault="00F10B87">
      <w:pPr>
        <w:spacing w:line="480" w:lineRule="auto"/>
        <w:ind w:firstLineChars="100" w:firstLine="240"/>
        <w:rPr>
          <w:rFonts w:ascii="Times New Roman" w:hAnsi="Times New Roman" w:cs="Times New Roman"/>
          <w:color w:val="000000"/>
          <w:kern w:val="24"/>
          <w:sz w:val="24"/>
          <w:szCs w:val="21"/>
        </w:rPr>
      </w:pPr>
      <w:r>
        <w:rPr>
          <w:rFonts w:ascii="Times New Roman" w:hAnsi="Times New Roman" w:cs="Times New Roman"/>
          <w:color w:val="000000"/>
          <w:kern w:val="24"/>
          <w:sz w:val="24"/>
          <w:szCs w:val="21"/>
        </w:rPr>
        <w:t xml:space="preserve">Figure </w:t>
      </w:r>
      <w:r>
        <w:rPr>
          <w:rFonts w:ascii="Times New Roman" w:hAnsi="Times New Roman" w:cs="Times New Roman" w:hint="eastAsia"/>
          <w:color w:val="000000"/>
          <w:kern w:val="24"/>
          <w:sz w:val="24"/>
          <w:szCs w:val="21"/>
        </w:rPr>
        <w:t>S2a-c</w:t>
      </w:r>
      <w:r>
        <w:rPr>
          <w:rFonts w:ascii="Times New Roman" w:hAnsi="Times New Roman" w:cs="Times New Roman"/>
          <w:color w:val="000000"/>
          <w:kern w:val="24"/>
          <w:sz w:val="24"/>
          <w:szCs w:val="21"/>
        </w:rPr>
        <w:t xml:space="preserve"> presents the X-ray photoelectron spectroscopy (XPS) analysis of the ceramic residues from SR/Ce-GF, SR/Zn-GF, SR/La-GF, and SR/G45 after calcination at temperatures of 600, 800, and 1000°C. The spectra for all samples show orbital peaks corresponding to Na 1s, O 1s, P 2p, Si 2p, and Al 2p at approximately 173, 532, 134, 103, and 74 eV, respectively. These results confirm the presence of </w:t>
      </w:r>
      <w:r>
        <w:rPr>
          <w:rFonts w:ascii="Times New Roman" w:hAnsi="Times New Roman" w:cs="Times New Roman"/>
          <w:color w:val="000000"/>
          <w:kern w:val="24"/>
          <w:sz w:val="24"/>
          <w:szCs w:val="21"/>
        </w:rPr>
        <w:lastRenderedPageBreak/>
        <w:t>these elements in the ceramic residues, providing evidence of their compositional stability across various calcination temperatures.</w:t>
      </w:r>
    </w:p>
    <w:p w14:paraId="4E63D33D" w14:textId="77777777" w:rsidR="00AE4484" w:rsidRDefault="00F10B87">
      <w:pPr>
        <w:spacing w:line="480" w:lineRule="auto"/>
        <w:ind w:firstLineChars="100" w:firstLine="240"/>
        <w:rPr>
          <w:rFonts w:ascii="Times New Roman" w:hAnsi="Times New Roman" w:cs="Times New Roman"/>
          <w:color w:val="000000"/>
          <w:kern w:val="24"/>
          <w:sz w:val="24"/>
          <w:szCs w:val="21"/>
        </w:rPr>
      </w:pPr>
      <w:r>
        <w:rPr>
          <w:rFonts w:ascii="Times New Roman" w:hAnsi="Times New Roman" w:cs="Times New Roman"/>
          <w:color w:val="000000"/>
          <w:kern w:val="24"/>
          <w:sz w:val="24"/>
          <w:szCs w:val="21"/>
        </w:rPr>
        <w:t xml:space="preserve">Figure </w:t>
      </w:r>
      <w:r>
        <w:rPr>
          <w:rFonts w:ascii="Times New Roman" w:hAnsi="Times New Roman" w:cs="Times New Roman" w:hint="eastAsia"/>
          <w:color w:val="000000"/>
          <w:kern w:val="24"/>
          <w:sz w:val="24"/>
          <w:szCs w:val="21"/>
        </w:rPr>
        <w:t>S2d-f</w:t>
      </w:r>
      <w:r>
        <w:rPr>
          <w:rFonts w:ascii="Times New Roman" w:hAnsi="Times New Roman" w:cs="Times New Roman"/>
          <w:color w:val="000000"/>
          <w:kern w:val="24"/>
          <w:sz w:val="24"/>
          <w:szCs w:val="21"/>
        </w:rPr>
        <w:t xml:space="preserve"> displays the infrared spectra of the ceramic residues from SR/Ce-GF, SR/Zn-GF, SR/La-GF, and SR/G45 after calcination at temperatures of 600, 800, and 1000°C. As noted earlier, the absorption peaks at 3455 and 1630 cm</w:t>
      </w:r>
      <w:r>
        <w:rPr>
          <w:rFonts w:ascii="Times New Roman" w:hAnsi="Times New Roman" w:cs="Times New Roman"/>
          <w:color w:val="000000"/>
          <w:kern w:val="24"/>
          <w:sz w:val="24"/>
          <w:szCs w:val="21"/>
          <w:vertAlign w:val="superscript"/>
        </w:rPr>
        <w:t>-1</w:t>
      </w:r>
      <w:r>
        <w:rPr>
          <w:rFonts w:ascii="Times New Roman" w:hAnsi="Times New Roman" w:cs="Times New Roman"/>
          <w:color w:val="000000"/>
          <w:kern w:val="24"/>
          <w:sz w:val="24"/>
          <w:szCs w:val="21"/>
        </w:rPr>
        <w:t xml:space="preserve"> are attributed to the stretching and bending vibration absorption peaks of adsorbed water O-H, respectively. The peaks at 1100 and 457 cm</w:t>
      </w:r>
      <w:r>
        <w:rPr>
          <w:rFonts w:ascii="Times New Roman" w:hAnsi="Times New Roman" w:cs="Times New Roman"/>
          <w:color w:val="000000"/>
          <w:kern w:val="24"/>
          <w:sz w:val="24"/>
          <w:szCs w:val="21"/>
          <w:vertAlign w:val="superscript"/>
        </w:rPr>
        <w:t>-1</w:t>
      </w:r>
      <w:r>
        <w:rPr>
          <w:rFonts w:ascii="Times New Roman" w:hAnsi="Times New Roman" w:cs="Times New Roman"/>
          <w:color w:val="000000"/>
          <w:kern w:val="24"/>
          <w:sz w:val="24"/>
          <w:szCs w:val="21"/>
        </w:rPr>
        <w:t xml:space="preserve"> are associated with the stretching and deformation vibration absorption peaks of Si-O-Si. Additionally, the peaks at 805 and 560 cm</w:t>
      </w:r>
      <w:r>
        <w:rPr>
          <w:rFonts w:ascii="Times New Roman" w:hAnsi="Times New Roman" w:cs="Times New Roman"/>
          <w:color w:val="000000"/>
          <w:kern w:val="24"/>
          <w:sz w:val="24"/>
          <w:szCs w:val="21"/>
          <w:vertAlign w:val="superscript"/>
        </w:rPr>
        <w:t>-1</w:t>
      </w:r>
      <w:r>
        <w:rPr>
          <w:rFonts w:ascii="Times New Roman" w:hAnsi="Times New Roman" w:cs="Times New Roman"/>
          <w:color w:val="000000"/>
          <w:kern w:val="24"/>
          <w:sz w:val="24"/>
          <w:szCs w:val="21"/>
        </w:rPr>
        <w:t xml:space="preserve"> are characteristic absorption peaks of [AlO</w:t>
      </w:r>
      <w:r>
        <w:rPr>
          <w:rFonts w:ascii="Times New Roman" w:hAnsi="Times New Roman" w:cs="Times New Roman"/>
          <w:color w:val="000000"/>
          <w:kern w:val="24"/>
          <w:sz w:val="24"/>
          <w:szCs w:val="21"/>
          <w:vertAlign w:val="subscript"/>
        </w:rPr>
        <w:t>6</w:t>
      </w:r>
      <w:r>
        <w:rPr>
          <w:rFonts w:ascii="Times New Roman" w:hAnsi="Times New Roman" w:cs="Times New Roman"/>
          <w:color w:val="000000"/>
          <w:kern w:val="24"/>
          <w:sz w:val="24"/>
          <w:szCs w:val="21"/>
        </w:rPr>
        <w:t>] complexes. Lastly, the peaks at 1412 and 718 cm</w:t>
      </w:r>
      <w:r>
        <w:rPr>
          <w:rFonts w:ascii="Times New Roman" w:hAnsi="Times New Roman" w:cs="Times New Roman"/>
          <w:color w:val="000000"/>
          <w:kern w:val="24"/>
          <w:sz w:val="24"/>
          <w:szCs w:val="21"/>
          <w:vertAlign w:val="superscript"/>
        </w:rPr>
        <w:t>-1</w:t>
      </w:r>
      <w:r>
        <w:rPr>
          <w:rFonts w:ascii="Times New Roman" w:hAnsi="Times New Roman" w:cs="Times New Roman"/>
          <w:color w:val="000000"/>
          <w:kern w:val="24"/>
          <w:sz w:val="24"/>
          <w:szCs w:val="21"/>
        </w:rPr>
        <w:t xml:space="preserve"> correspond to the stretching vibration absorption peaks of P=O and P-O, respectively, highlighting the structural integrity and compositional traits of the ceramic materials post-calcination.</w:t>
      </w:r>
    </w:p>
    <w:p w14:paraId="66AB9F74" w14:textId="77777777" w:rsidR="00AE4484" w:rsidRDefault="00F10B87">
      <w:pPr>
        <w:widowControl/>
        <w:jc w:val="left"/>
        <w:rPr>
          <w:rFonts w:ascii="Times New Roman" w:hAnsi="Times New Roman" w:cs="Times New Roman"/>
          <w:color w:val="000000"/>
          <w:kern w:val="24"/>
          <w:sz w:val="24"/>
          <w:szCs w:val="21"/>
        </w:rPr>
      </w:pPr>
      <w:r>
        <w:rPr>
          <w:rFonts w:ascii="Times New Roman" w:hAnsi="Times New Roman" w:cs="Times New Roman"/>
          <w:color w:val="000000"/>
          <w:kern w:val="24"/>
          <w:sz w:val="24"/>
          <w:szCs w:val="21"/>
        </w:rPr>
        <w:br w:type="page"/>
      </w:r>
    </w:p>
    <w:p w14:paraId="61110C3E" w14:textId="77777777" w:rsidR="00AE4484" w:rsidRDefault="00F10B87">
      <w:pPr>
        <w:spacing w:before="120" w:line="480" w:lineRule="auto"/>
        <w:rPr>
          <w:rFonts w:ascii="Times New Roman" w:eastAsia="黑体" w:hAnsi="Times New Roman" w:cs="Times New Roman"/>
          <w:color w:val="000000"/>
          <w:kern w:val="24"/>
          <w:szCs w:val="21"/>
        </w:rPr>
      </w:pPr>
      <w:bookmarkStart w:id="0" w:name="_Hlk123675783"/>
      <w:r>
        <w:rPr>
          <w:rFonts w:ascii="Times New Roman" w:eastAsia="黑体" w:hAnsi="Times New Roman" w:cs="Times New Roman"/>
          <w:b/>
          <w:color w:val="000000"/>
          <w:kern w:val="24"/>
          <w:sz w:val="24"/>
          <w:szCs w:val="24"/>
        </w:rPr>
        <w:lastRenderedPageBreak/>
        <w:t>Table S1</w:t>
      </w:r>
      <w:r>
        <w:rPr>
          <w:rFonts w:ascii="Times New Roman" w:eastAsia="黑体" w:hAnsi="Times New Roman" w:cs="Times New Roman"/>
          <w:color w:val="000000"/>
          <w:kern w:val="24"/>
          <w:sz w:val="24"/>
          <w:szCs w:val="24"/>
        </w:rPr>
        <w:t xml:space="preserve"> XRF element semi-quantitative analysis.</w:t>
      </w:r>
    </w:p>
    <w:tbl>
      <w:tblPr>
        <w:tblW w:w="0" w:type="auto"/>
        <w:jc w:val="center"/>
        <w:tblBorders>
          <w:top w:val="single" w:sz="12" w:space="0" w:color="auto"/>
          <w:bottom w:val="single" w:sz="12" w:space="0" w:color="auto"/>
        </w:tblBorders>
        <w:tblLook w:val="04A0" w:firstRow="1" w:lastRow="0" w:firstColumn="1" w:lastColumn="0" w:noHBand="0" w:noVBand="1"/>
      </w:tblPr>
      <w:tblGrid>
        <w:gridCol w:w="1099"/>
        <w:gridCol w:w="1099"/>
        <w:gridCol w:w="1072"/>
        <w:gridCol w:w="1079"/>
        <w:gridCol w:w="1072"/>
        <w:gridCol w:w="1073"/>
        <w:gridCol w:w="1073"/>
      </w:tblGrid>
      <w:tr w:rsidR="00AE4484" w14:paraId="39FDA204" w14:textId="77777777">
        <w:trPr>
          <w:jc w:val="center"/>
        </w:trPr>
        <w:tc>
          <w:tcPr>
            <w:tcW w:w="1099" w:type="dxa"/>
            <w:tcBorders>
              <w:top w:val="single" w:sz="12" w:space="0" w:color="auto"/>
              <w:left w:val="nil"/>
              <w:bottom w:val="single" w:sz="6" w:space="0" w:color="auto"/>
              <w:right w:val="nil"/>
              <w:tl2br w:val="nil"/>
              <w:tr2bl w:val="nil"/>
            </w:tcBorders>
            <w:shd w:val="clear" w:color="auto" w:fill="auto"/>
          </w:tcPr>
          <w:p w14:paraId="660F7DF6" w14:textId="77777777" w:rsidR="00AE4484" w:rsidRDefault="00F10B87">
            <w:pPr>
              <w:adjustRightInd w:val="0"/>
              <w:snapToGrid w:val="0"/>
              <w:jc w:val="center"/>
              <w:rPr>
                <w:rFonts w:ascii="Times New Roman" w:hAnsi="Times New Roman" w:cs="Times New Roman"/>
                <w:b/>
                <w:bCs/>
                <w:color w:val="000000"/>
                <w:kern w:val="24"/>
                <w:sz w:val="18"/>
                <w:szCs w:val="18"/>
                <w14:ligatures w14:val="standardContextual"/>
              </w:rPr>
            </w:pPr>
            <w:r>
              <w:rPr>
                <w:rFonts w:ascii="Times New Roman" w:hAnsi="Times New Roman" w:cs="Times New Roman"/>
                <w:b/>
                <w:bCs/>
                <w:color w:val="000000"/>
                <w:kern w:val="24"/>
                <w:sz w:val="18"/>
                <w:szCs w:val="18"/>
                <w14:ligatures w14:val="standardContextual"/>
              </w:rPr>
              <w:t>SiO</w:t>
            </w:r>
            <w:r>
              <w:rPr>
                <w:rFonts w:ascii="Times New Roman" w:hAnsi="Times New Roman" w:cs="Times New Roman"/>
                <w:b/>
                <w:bCs/>
                <w:color w:val="000000"/>
                <w:kern w:val="24"/>
                <w:sz w:val="18"/>
                <w:szCs w:val="18"/>
                <w:vertAlign w:val="subscript"/>
                <w14:ligatures w14:val="standardContextual"/>
              </w:rPr>
              <w:t>2</w:t>
            </w:r>
          </w:p>
        </w:tc>
        <w:tc>
          <w:tcPr>
            <w:tcW w:w="1099" w:type="dxa"/>
            <w:tcBorders>
              <w:top w:val="single" w:sz="12" w:space="0" w:color="auto"/>
              <w:left w:val="nil"/>
              <w:bottom w:val="single" w:sz="6" w:space="0" w:color="auto"/>
              <w:right w:val="nil"/>
              <w:tl2br w:val="nil"/>
              <w:tr2bl w:val="nil"/>
            </w:tcBorders>
            <w:shd w:val="clear" w:color="auto" w:fill="auto"/>
          </w:tcPr>
          <w:p w14:paraId="7B604598" w14:textId="77777777" w:rsidR="00AE4484" w:rsidRDefault="00F10B87">
            <w:pPr>
              <w:adjustRightInd w:val="0"/>
              <w:snapToGrid w:val="0"/>
              <w:jc w:val="center"/>
              <w:rPr>
                <w:rFonts w:ascii="Times New Roman" w:hAnsi="Times New Roman" w:cs="Times New Roman"/>
                <w:b/>
                <w:bCs/>
                <w:color w:val="000000"/>
                <w:kern w:val="24"/>
                <w:sz w:val="18"/>
                <w:szCs w:val="18"/>
                <w14:ligatures w14:val="standardContextual"/>
              </w:rPr>
            </w:pPr>
            <w:r>
              <w:rPr>
                <w:rFonts w:ascii="Times New Roman" w:hAnsi="Times New Roman" w:cs="Times New Roman"/>
                <w:b/>
                <w:bCs/>
                <w:color w:val="000000"/>
                <w:kern w:val="24"/>
                <w:sz w:val="18"/>
                <w:szCs w:val="18"/>
                <w14:ligatures w14:val="standardContextual"/>
              </w:rPr>
              <w:t>Al</w:t>
            </w:r>
            <w:r>
              <w:rPr>
                <w:rFonts w:ascii="Times New Roman" w:hAnsi="Times New Roman" w:cs="Times New Roman"/>
                <w:b/>
                <w:bCs/>
                <w:color w:val="000000"/>
                <w:kern w:val="24"/>
                <w:sz w:val="18"/>
                <w:szCs w:val="18"/>
                <w:vertAlign w:val="subscript"/>
                <w14:ligatures w14:val="standardContextual"/>
              </w:rPr>
              <w:t>2</w:t>
            </w:r>
            <w:r>
              <w:rPr>
                <w:rFonts w:ascii="Times New Roman" w:hAnsi="Times New Roman" w:cs="Times New Roman"/>
                <w:b/>
                <w:bCs/>
                <w:color w:val="000000"/>
                <w:kern w:val="24"/>
                <w:sz w:val="18"/>
                <w:szCs w:val="18"/>
                <w14:ligatures w14:val="standardContextual"/>
              </w:rPr>
              <w:t>O</w:t>
            </w:r>
            <w:r>
              <w:rPr>
                <w:rFonts w:ascii="Times New Roman" w:hAnsi="Times New Roman" w:cs="Times New Roman"/>
                <w:b/>
                <w:bCs/>
                <w:color w:val="000000"/>
                <w:kern w:val="24"/>
                <w:sz w:val="18"/>
                <w:szCs w:val="18"/>
                <w:vertAlign w:val="subscript"/>
                <w14:ligatures w14:val="standardContextual"/>
              </w:rPr>
              <w:t>3</w:t>
            </w:r>
          </w:p>
        </w:tc>
        <w:tc>
          <w:tcPr>
            <w:tcW w:w="1072" w:type="dxa"/>
            <w:tcBorders>
              <w:top w:val="single" w:sz="12" w:space="0" w:color="auto"/>
              <w:left w:val="nil"/>
              <w:bottom w:val="single" w:sz="6" w:space="0" w:color="auto"/>
              <w:right w:val="nil"/>
              <w:tl2br w:val="nil"/>
              <w:tr2bl w:val="nil"/>
            </w:tcBorders>
            <w:shd w:val="clear" w:color="auto" w:fill="auto"/>
          </w:tcPr>
          <w:p w14:paraId="375AC265" w14:textId="77777777" w:rsidR="00AE4484" w:rsidRDefault="00F10B87">
            <w:pPr>
              <w:adjustRightInd w:val="0"/>
              <w:snapToGrid w:val="0"/>
              <w:jc w:val="center"/>
              <w:rPr>
                <w:rFonts w:ascii="Times New Roman" w:hAnsi="Times New Roman" w:cs="Times New Roman"/>
                <w:b/>
                <w:bCs/>
                <w:color w:val="000000"/>
                <w:kern w:val="24"/>
                <w:sz w:val="18"/>
                <w:szCs w:val="18"/>
                <w14:ligatures w14:val="standardContextual"/>
              </w:rPr>
            </w:pPr>
            <w:proofErr w:type="spellStart"/>
            <w:r>
              <w:rPr>
                <w:rFonts w:ascii="Times New Roman" w:hAnsi="Times New Roman" w:cs="Times New Roman"/>
                <w:b/>
                <w:bCs/>
                <w:color w:val="000000"/>
                <w:kern w:val="24"/>
                <w:sz w:val="18"/>
                <w:szCs w:val="18"/>
                <w14:ligatures w14:val="standardContextual"/>
              </w:rPr>
              <w:t>ZnO</w:t>
            </w:r>
            <w:proofErr w:type="spellEnd"/>
          </w:p>
        </w:tc>
        <w:tc>
          <w:tcPr>
            <w:tcW w:w="1079" w:type="dxa"/>
            <w:tcBorders>
              <w:top w:val="single" w:sz="12" w:space="0" w:color="auto"/>
              <w:left w:val="nil"/>
              <w:bottom w:val="single" w:sz="6" w:space="0" w:color="auto"/>
              <w:right w:val="nil"/>
              <w:tl2br w:val="nil"/>
              <w:tr2bl w:val="nil"/>
            </w:tcBorders>
            <w:shd w:val="clear" w:color="auto" w:fill="auto"/>
          </w:tcPr>
          <w:p w14:paraId="2FE05F01" w14:textId="77777777" w:rsidR="00AE4484" w:rsidRDefault="00F10B87">
            <w:pPr>
              <w:adjustRightInd w:val="0"/>
              <w:snapToGrid w:val="0"/>
              <w:jc w:val="center"/>
              <w:rPr>
                <w:rFonts w:ascii="Times New Roman" w:hAnsi="Times New Roman" w:cs="Times New Roman"/>
                <w:b/>
                <w:bCs/>
                <w:color w:val="000000"/>
                <w:kern w:val="24"/>
                <w:sz w:val="18"/>
                <w:szCs w:val="18"/>
                <w14:ligatures w14:val="standardContextual"/>
              </w:rPr>
            </w:pPr>
            <w:r>
              <w:rPr>
                <w:rFonts w:ascii="Times New Roman" w:hAnsi="Times New Roman" w:cs="Times New Roman"/>
                <w:b/>
                <w:bCs/>
                <w:color w:val="000000"/>
                <w:kern w:val="24"/>
                <w:sz w:val="18"/>
                <w:szCs w:val="18"/>
                <w14:ligatures w14:val="standardContextual"/>
              </w:rPr>
              <w:t>Na</w:t>
            </w:r>
            <w:r>
              <w:rPr>
                <w:rFonts w:ascii="Times New Roman" w:hAnsi="Times New Roman" w:cs="Times New Roman"/>
                <w:b/>
                <w:bCs/>
                <w:color w:val="000000"/>
                <w:kern w:val="24"/>
                <w:sz w:val="18"/>
                <w:szCs w:val="18"/>
                <w:vertAlign w:val="subscript"/>
                <w14:ligatures w14:val="standardContextual"/>
              </w:rPr>
              <w:t>2</w:t>
            </w:r>
            <w:r>
              <w:rPr>
                <w:rFonts w:ascii="Times New Roman" w:hAnsi="Times New Roman" w:cs="Times New Roman"/>
                <w:b/>
                <w:bCs/>
                <w:color w:val="000000"/>
                <w:kern w:val="24"/>
                <w:sz w:val="18"/>
                <w:szCs w:val="18"/>
                <w14:ligatures w14:val="standardContextual"/>
              </w:rPr>
              <w:t>O</w:t>
            </w:r>
          </w:p>
        </w:tc>
        <w:tc>
          <w:tcPr>
            <w:tcW w:w="1072" w:type="dxa"/>
            <w:tcBorders>
              <w:top w:val="single" w:sz="12" w:space="0" w:color="auto"/>
              <w:left w:val="nil"/>
              <w:bottom w:val="single" w:sz="6" w:space="0" w:color="auto"/>
              <w:right w:val="nil"/>
              <w:tl2br w:val="nil"/>
              <w:tr2bl w:val="nil"/>
            </w:tcBorders>
            <w:shd w:val="clear" w:color="auto" w:fill="auto"/>
          </w:tcPr>
          <w:p w14:paraId="4DA979B0" w14:textId="77777777" w:rsidR="00AE4484" w:rsidRDefault="00F10B87">
            <w:pPr>
              <w:adjustRightInd w:val="0"/>
              <w:snapToGrid w:val="0"/>
              <w:jc w:val="center"/>
              <w:rPr>
                <w:rFonts w:ascii="Times New Roman" w:hAnsi="Times New Roman" w:cs="Times New Roman"/>
                <w:b/>
                <w:bCs/>
                <w:color w:val="000000"/>
                <w:kern w:val="24"/>
                <w:sz w:val="18"/>
                <w:szCs w:val="18"/>
                <w14:ligatures w14:val="standardContextual"/>
              </w:rPr>
            </w:pPr>
            <w:r>
              <w:rPr>
                <w:rFonts w:ascii="Times New Roman" w:hAnsi="Times New Roman" w:cs="Times New Roman"/>
                <w:b/>
                <w:bCs/>
                <w:color w:val="000000"/>
                <w:kern w:val="24"/>
                <w:sz w:val="18"/>
                <w:szCs w:val="18"/>
                <w14:ligatures w14:val="standardContextual"/>
              </w:rPr>
              <w:t>K</w:t>
            </w:r>
            <w:r>
              <w:rPr>
                <w:rFonts w:ascii="Times New Roman" w:hAnsi="Times New Roman" w:cs="Times New Roman"/>
                <w:b/>
                <w:bCs/>
                <w:color w:val="000000"/>
                <w:kern w:val="24"/>
                <w:sz w:val="18"/>
                <w:szCs w:val="18"/>
                <w:vertAlign w:val="subscript"/>
                <w14:ligatures w14:val="standardContextual"/>
              </w:rPr>
              <w:t>2</w:t>
            </w:r>
            <w:r>
              <w:rPr>
                <w:rFonts w:ascii="Times New Roman" w:hAnsi="Times New Roman" w:cs="Times New Roman"/>
                <w:b/>
                <w:bCs/>
                <w:color w:val="000000"/>
                <w:kern w:val="24"/>
                <w:sz w:val="18"/>
                <w:szCs w:val="18"/>
                <w14:ligatures w14:val="standardContextual"/>
              </w:rPr>
              <w:t>O</w:t>
            </w:r>
          </w:p>
        </w:tc>
        <w:tc>
          <w:tcPr>
            <w:tcW w:w="1073" w:type="dxa"/>
            <w:tcBorders>
              <w:top w:val="single" w:sz="12" w:space="0" w:color="auto"/>
              <w:left w:val="nil"/>
              <w:bottom w:val="single" w:sz="6" w:space="0" w:color="auto"/>
              <w:right w:val="nil"/>
              <w:tl2br w:val="nil"/>
              <w:tr2bl w:val="nil"/>
            </w:tcBorders>
            <w:shd w:val="clear" w:color="auto" w:fill="auto"/>
          </w:tcPr>
          <w:p w14:paraId="79AE23FC" w14:textId="77777777" w:rsidR="00AE4484" w:rsidRDefault="00F10B87">
            <w:pPr>
              <w:adjustRightInd w:val="0"/>
              <w:snapToGrid w:val="0"/>
              <w:jc w:val="center"/>
              <w:rPr>
                <w:rFonts w:ascii="Times New Roman" w:hAnsi="Times New Roman" w:cs="Times New Roman"/>
                <w:b/>
                <w:bCs/>
                <w:color w:val="000000"/>
                <w:kern w:val="24"/>
                <w:sz w:val="18"/>
                <w:szCs w:val="18"/>
                <w14:ligatures w14:val="standardContextual"/>
              </w:rPr>
            </w:pPr>
            <w:r>
              <w:rPr>
                <w:rFonts w:ascii="Times New Roman" w:hAnsi="Times New Roman" w:cs="Times New Roman"/>
                <w:b/>
                <w:bCs/>
                <w:color w:val="000000"/>
                <w:kern w:val="24"/>
                <w:sz w:val="18"/>
                <w:szCs w:val="18"/>
                <w14:ligatures w14:val="standardContextual"/>
              </w:rPr>
              <w:t>CaO</w:t>
            </w:r>
          </w:p>
        </w:tc>
        <w:tc>
          <w:tcPr>
            <w:tcW w:w="1073" w:type="dxa"/>
            <w:tcBorders>
              <w:top w:val="single" w:sz="12" w:space="0" w:color="auto"/>
              <w:left w:val="nil"/>
              <w:bottom w:val="single" w:sz="6" w:space="0" w:color="auto"/>
              <w:right w:val="nil"/>
              <w:tl2br w:val="nil"/>
              <w:tr2bl w:val="nil"/>
            </w:tcBorders>
            <w:shd w:val="clear" w:color="auto" w:fill="auto"/>
          </w:tcPr>
          <w:p w14:paraId="28A76C97" w14:textId="77777777" w:rsidR="00AE4484" w:rsidRDefault="00F10B87">
            <w:pPr>
              <w:adjustRightInd w:val="0"/>
              <w:snapToGrid w:val="0"/>
              <w:jc w:val="center"/>
              <w:rPr>
                <w:rFonts w:ascii="Times New Roman" w:hAnsi="Times New Roman" w:cs="Times New Roman"/>
                <w:b/>
                <w:bCs/>
                <w:color w:val="000000"/>
                <w:kern w:val="24"/>
                <w:sz w:val="18"/>
                <w:szCs w:val="18"/>
                <w14:ligatures w14:val="standardContextual"/>
              </w:rPr>
            </w:pPr>
            <w:proofErr w:type="spellStart"/>
            <w:r>
              <w:rPr>
                <w:rFonts w:ascii="Times New Roman" w:hAnsi="Times New Roman" w:cs="Times New Roman"/>
                <w:b/>
                <w:bCs/>
                <w:color w:val="000000"/>
                <w:kern w:val="24"/>
                <w:sz w:val="18"/>
                <w:szCs w:val="18"/>
                <w14:ligatures w14:val="standardContextual"/>
              </w:rPr>
              <w:t>BaO</w:t>
            </w:r>
            <w:proofErr w:type="spellEnd"/>
          </w:p>
        </w:tc>
      </w:tr>
      <w:tr w:rsidR="00AE4484" w14:paraId="467B1A2B" w14:textId="77777777">
        <w:trPr>
          <w:jc w:val="center"/>
        </w:trPr>
        <w:tc>
          <w:tcPr>
            <w:tcW w:w="1099" w:type="dxa"/>
            <w:shd w:val="clear" w:color="auto" w:fill="auto"/>
          </w:tcPr>
          <w:p w14:paraId="523D4007" w14:textId="77777777" w:rsidR="00AE4484" w:rsidRDefault="00F10B87">
            <w:pPr>
              <w:adjustRightInd w:val="0"/>
              <w:snapToGrid w:val="0"/>
              <w:jc w:val="center"/>
              <w:rPr>
                <w:rFonts w:ascii="Times New Roman" w:hAnsi="Times New Roman" w:cs="Times New Roman"/>
                <w:b/>
                <w:bCs/>
                <w:color w:val="000000"/>
                <w:kern w:val="24"/>
                <w:sz w:val="18"/>
                <w:szCs w:val="18"/>
                <w14:ligatures w14:val="standardContextual"/>
              </w:rPr>
            </w:pPr>
            <w:r>
              <w:rPr>
                <w:rFonts w:ascii="Times New Roman" w:hAnsi="Times New Roman" w:cs="Times New Roman"/>
                <w:b/>
                <w:bCs/>
                <w:color w:val="000000"/>
                <w:kern w:val="24"/>
                <w:sz w:val="18"/>
                <w:szCs w:val="18"/>
                <w14:ligatures w14:val="standardContextual"/>
              </w:rPr>
              <w:t>59.8%</w:t>
            </w:r>
          </w:p>
        </w:tc>
        <w:tc>
          <w:tcPr>
            <w:tcW w:w="1099" w:type="dxa"/>
            <w:shd w:val="clear" w:color="auto" w:fill="auto"/>
          </w:tcPr>
          <w:p w14:paraId="12CE3ED0" w14:textId="77777777" w:rsidR="00AE4484" w:rsidRDefault="00F10B87">
            <w:pPr>
              <w:adjustRightInd w:val="0"/>
              <w:snapToGrid w:val="0"/>
              <w:jc w:val="center"/>
              <w:rPr>
                <w:rFonts w:ascii="Times New Roman" w:hAnsi="Times New Roman" w:cs="Times New Roman"/>
                <w:b/>
                <w:bCs/>
                <w:color w:val="000000"/>
                <w:kern w:val="24"/>
                <w:sz w:val="18"/>
                <w:szCs w:val="18"/>
                <w14:ligatures w14:val="standardContextual"/>
              </w:rPr>
            </w:pPr>
            <w:r>
              <w:rPr>
                <w:rFonts w:ascii="Times New Roman" w:hAnsi="Times New Roman" w:cs="Times New Roman"/>
                <w:b/>
                <w:bCs/>
                <w:color w:val="000000"/>
                <w:kern w:val="24"/>
                <w:sz w:val="18"/>
                <w:szCs w:val="18"/>
                <w14:ligatures w14:val="standardContextual"/>
              </w:rPr>
              <w:t>29.1%</w:t>
            </w:r>
          </w:p>
        </w:tc>
        <w:tc>
          <w:tcPr>
            <w:tcW w:w="1072" w:type="dxa"/>
            <w:shd w:val="clear" w:color="auto" w:fill="auto"/>
          </w:tcPr>
          <w:p w14:paraId="0D4C651E" w14:textId="77777777" w:rsidR="00AE4484" w:rsidRDefault="00F10B87">
            <w:pPr>
              <w:adjustRightInd w:val="0"/>
              <w:snapToGrid w:val="0"/>
              <w:jc w:val="center"/>
              <w:rPr>
                <w:rFonts w:ascii="Times New Roman" w:hAnsi="Times New Roman" w:cs="Times New Roman"/>
                <w:b/>
                <w:bCs/>
                <w:color w:val="000000"/>
                <w:kern w:val="24"/>
                <w:sz w:val="18"/>
                <w:szCs w:val="18"/>
                <w14:ligatures w14:val="standardContextual"/>
              </w:rPr>
            </w:pPr>
            <w:r>
              <w:rPr>
                <w:rFonts w:ascii="Times New Roman" w:hAnsi="Times New Roman" w:cs="Times New Roman"/>
                <w:b/>
                <w:bCs/>
                <w:color w:val="000000"/>
                <w:kern w:val="24"/>
                <w:sz w:val="18"/>
                <w:szCs w:val="18"/>
                <w14:ligatures w14:val="standardContextual"/>
              </w:rPr>
              <w:t>3.4%</w:t>
            </w:r>
          </w:p>
        </w:tc>
        <w:tc>
          <w:tcPr>
            <w:tcW w:w="1079" w:type="dxa"/>
            <w:shd w:val="clear" w:color="auto" w:fill="auto"/>
          </w:tcPr>
          <w:p w14:paraId="46CFE22D" w14:textId="77777777" w:rsidR="00AE4484" w:rsidRDefault="00F10B87">
            <w:pPr>
              <w:adjustRightInd w:val="0"/>
              <w:snapToGrid w:val="0"/>
              <w:jc w:val="center"/>
              <w:rPr>
                <w:rFonts w:ascii="Times New Roman" w:hAnsi="Times New Roman" w:cs="Times New Roman"/>
                <w:b/>
                <w:bCs/>
                <w:color w:val="000000"/>
                <w:kern w:val="24"/>
                <w:sz w:val="18"/>
                <w:szCs w:val="18"/>
                <w14:ligatures w14:val="standardContextual"/>
              </w:rPr>
            </w:pPr>
            <w:r>
              <w:rPr>
                <w:rFonts w:ascii="Times New Roman" w:hAnsi="Times New Roman" w:cs="Times New Roman"/>
                <w:b/>
                <w:bCs/>
                <w:color w:val="000000"/>
                <w:kern w:val="24"/>
                <w:sz w:val="18"/>
                <w:szCs w:val="18"/>
                <w14:ligatures w14:val="standardContextual"/>
              </w:rPr>
              <w:t>2.8%</w:t>
            </w:r>
          </w:p>
        </w:tc>
        <w:tc>
          <w:tcPr>
            <w:tcW w:w="1072" w:type="dxa"/>
            <w:shd w:val="clear" w:color="auto" w:fill="auto"/>
          </w:tcPr>
          <w:p w14:paraId="3024AD9E" w14:textId="77777777" w:rsidR="00AE4484" w:rsidRDefault="00F10B87">
            <w:pPr>
              <w:adjustRightInd w:val="0"/>
              <w:snapToGrid w:val="0"/>
              <w:jc w:val="center"/>
              <w:rPr>
                <w:rFonts w:ascii="Times New Roman" w:hAnsi="Times New Roman" w:cs="Times New Roman"/>
                <w:b/>
                <w:bCs/>
                <w:color w:val="000000"/>
                <w:kern w:val="24"/>
                <w:sz w:val="18"/>
                <w:szCs w:val="18"/>
                <w14:ligatures w14:val="standardContextual"/>
              </w:rPr>
            </w:pPr>
            <w:r>
              <w:rPr>
                <w:rFonts w:ascii="Times New Roman" w:hAnsi="Times New Roman" w:cs="Times New Roman"/>
                <w:b/>
                <w:bCs/>
                <w:color w:val="000000"/>
                <w:kern w:val="24"/>
                <w:sz w:val="18"/>
                <w:szCs w:val="18"/>
                <w14:ligatures w14:val="standardContextual"/>
              </w:rPr>
              <w:t>1.6%</w:t>
            </w:r>
          </w:p>
        </w:tc>
        <w:tc>
          <w:tcPr>
            <w:tcW w:w="1073" w:type="dxa"/>
            <w:shd w:val="clear" w:color="auto" w:fill="auto"/>
          </w:tcPr>
          <w:p w14:paraId="0A255500" w14:textId="77777777" w:rsidR="00AE4484" w:rsidRDefault="00F10B87">
            <w:pPr>
              <w:adjustRightInd w:val="0"/>
              <w:snapToGrid w:val="0"/>
              <w:jc w:val="center"/>
              <w:rPr>
                <w:rFonts w:ascii="Times New Roman" w:hAnsi="Times New Roman" w:cs="Times New Roman"/>
                <w:b/>
                <w:bCs/>
                <w:color w:val="000000"/>
                <w:kern w:val="24"/>
                <w:sz w:val="18"/>
                <w:szCs w:val="18"/>
                <w14:ligatures w14:val="standardContextual"/>
              </w:rPr>
            </w:pPr>
            <w:r>
              <w:rPr>
                <w:rFonts w:ascii="Times New Roman" w:hAnsi="Times New Roman" w:cs="Times New Roman"/>
                <w:b/>
                <w:bCs/>
                <w:color w:val="000000"/>
                <w:kern w:val="24"/>
                <w:sz w:val="18"/>
                <w:szCs w:val="18"/>
                <w14:ligatures w14:val="standardContextual"/>
              </w:rPr>
              <w:t>0.6%</w:t>
            </w:r>
          </w:p>
        </w:tc>
        <w:tc>
          <w:tcPr>
            <w:tcW w:w="1073" w:type="dxa"/>
            <w:shd w:val="clear" w:color="auto" w:fill="auto"/>
          </w:tcPr>
          <w:p w14:paraId="553AA93B" w14:textId="77777777" w:rsidR="00AE4484" w:rsidRDefault="00F10B87">
            <w:pPr>
              <w:adjustRightInd w:val="0"/>
              <w:snapToGrid w:val="0"/>
              <w:jc w:val="center"/>
              <w:rPr>
                <w:rFonts w:ascii="Times New Roman" w:hAnsi="Times New Roman" w:cs="Times New Roman"/>
                <w:b/>
                <w:bCs/>
                <w:color w:val="000000"/>
                <w:kern w:val="24"/>
                <w:sz w:val="18"/>
                <w:szCs w:val="18"/>
                <w14:ligatures w14:val="standardContextual"/>
              </w:rPr>
            </w:pPr>
            <w:r>
              <w:rPr>
                <w:rFonts w:ascii="Times New Roman" w:hAnsi="Times New Roman" w:cs="Times New Roman"/>
                <w:b/>
                <w:bCs/>
                <w:color w:val="000000"/>
                <w:kern w:val="24"/>
                <w:sz w:val="18"/>
                <w:szCs w:val="18"/>
                <w14:ligatures w14:val="standardContextual"/>
              </w:rPr>
              <w:t>0.6%</w:t>
            </w:r>
          </w:p>
        </w:tc>
      </w:tr>
      <w:bookmarkEnd w:id="0"/>
    </w:tbl>
    <w:p w14:paraId="7BA7C660" w14:textId="77777777" w:rsidR="00AE4484" w:rsidRDefault="00AE4484">
      <w:pPr>
        <w:spacing w:line="480" w:lineRule="auto"/>
        <w:ind w:firstLineChars="100" w:firstLine="210"/>
        <w:rPr>
          <w:rFonts w:ascii="Times New Roman" w:hAnsi="Times New Roman" w:cs="Times New Roman"/>
        </w:rPr>
      </w:pPr>
    </w:p>
    <w:p w14:paraId="6E723A26" w14:textId="77777777" w:rsidR="00AE4484" w:rsidRDefault="00F10B87">
      <w:pPr>
        <w:widowControl/>
        <w:spacing w:beforeLines="100" w:before="312" w:line="480" w:lineRule="auto"/>
        <w:jc w:val="left"/>
        <w:rPr>
          <w:rFonts w:ascii="Times New Roman" w:eastAsia="黑体" w:hAnsi="Times New Roman" w:cs="Times New Roman"/>
          <w:color w:val="000000"/>
          <w:kern w:val="24"/>
          <w:szCs w:val="21"/>
        </w:rPr>
      </w:pPr>
      <w:r>
        <w:rPr>
          <w:rFonts w:ascii="Times New Roman" w:eastAsia="黑体" w:hAnsi="Times New Roman" w:cs="Times New Roman"/>
          <w:b/>
          <w:color w:val="000000"/>
          <w:kern w:val="24"/>
          <w:sz w:val="24"/>
          <w:szCs w:val="24"/>
        </w:rPr>
        <w:t>Table S2</w:t>
      </w:r>
      <w:r>
        <w:rPr>
          <w:rFonts w:ascii="Times New Roman" w:eastAsia="黑体" w:hAnsi="Times New Roman" w:cs="Times New Roman"/>
          <w:color w:val="000000"/>
          <w:kern w:val="24"/>
          <w:sz w:val="24"/>
          <w:szCs w:val="24"/>
        </w:rPr>
        <w:t xml:space="preserve"> Activation Energy (</w:t>
      </w:r>
      <w:proofErr w:type="spellStart"/>
      <w:r>
        <w:rPr>
          <w:rFonts w:ascii="Times New Roman" w:eastAsia="黑体" w:hAnsi="Times New Roman" w:cs="Times New Roman"/>
          <w:color w:val="000000"/>
          <w:kern w:val="24"/>
          <w:sz w:val="24"/>
          <w:szCs w:val="24"/>
        </w:rPr>
        <w:t>Ea</w:t>
      </w:r>
      <w:proofErr w:type="spellEnd"/>
      <w:r>
        <w:rPr>
          <w:rFonts w:ascii="Times New Roman" w:eastAsia="黑体" w:hAnsi="Times New Roman" w:cs="Times New Roman"/>
          <w:color w:val="000000"/>
          <w:kern w:val="24"/>
          <w:sz w:val="24"/>
          <w:szCs w:val="24"/>
        </w:rPr>
        <w:t>) and Correlation Coefficient (R) by DAEM</w:t>
      </w:r>
      <w:r>
        <w:rPr>
          <w:rFonts w:ascii="Times New Roman" w:eastAsia="黑体" w:hAnsi="Times New Roman" w:cs="Times New Roman" w:hint="eastAsia"/>
          <w:color w:val="000000"/>
          <w:kern w:val="24"/>
          <w:sz w:val="24"/>
          <w:szCs w:val="21"/>
        </w:rPr>
        <w:t>.</w:t>
      </w:r>
    </w:p>
    <w:tbl>
      <w:tblPr>
        <w:tblStyle w:val="a"/>
        <w:tblW w:w="0" w:type="auto"/>
        <w:jc w:val="center"/>
        <w:tblLayout w:type="fixed"/>
        <w:tblLook w:val="04A0" w:firstRow="1" w:lastRow="0" w:firstColumn="1" w:lastColumn="0" w:noHBand="0" w:noVBand="1"/>
      </w:tblPr>
      <w:tblGrid>
        <w:gridCol w:w="567"/>
        <w:gridCol w:w="1264"/>
        <w:gridCol w:w="721"/>
        <w:gridCol w:w="144"/>
        <w:gridCol w:w="990"/>
        <w:gridCol w:w="850"/>
        <w:gridCol w:w="1341"/>
        <w:gridCol w:w="644"/>
        <w:gridCol w:w="1152"/>
        <w:gridCol w:w="639"/>
      </w:tblGrid>
      <w:tr w:rsidR="00AE4484" w14:paraId="167A9E37" w14:textId="77777777" w:rsidTr="00AE4484">
        <w:trPr>
          <w:cnfStyle w:val="100000000000" w:firstRow="1" w:lastRow="0" w:firstColumn="0" w:lastColumn="0" w:oddVBand="0" w:evenVBand="0" w:oddHBand="0" w:evenHBand="0" w:firstRowFirstColumn="0" w:firstRowLastColumn="0" w:lastRowFirstColumn="0" w:lastRowLastColumn="0"/>
          <w:jc w:val="center"/>
        </w:trPr>
        <w:tc>
          <w:tcPr>
            <w:tcW w:w="567" w:type="dxa"/>
            <w:vMerge w:val="restart"/>
            <w:vAlign w:val="center"/>
          </w:tcPr>
          <w:p w14:paraId="2F2DA596"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α</w:t>
            </w:r>
          </w:p>
        </w:tc>
        <w:tc>
          <w:tcPr>
            <w:tcW w:w="2129" w:type="dxa"/>
            <w:gridSpan w:val="3"/>
          </w:tcPr>
          <w:p w14:paraId="053646FC"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SR/G45</w:t>
            </w:r>
          </w:p>
        </w:tc>
        <w:tc>
          <w:tcPr>
            <w:tcW w:w="1840" w:type="dxa"/>
            <w:gridSpan w:val="2"/>
          </w:tcPr>
          <w:p w14:paraId="0E4DDCB5"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SR/Ce-GF</w:t>
            </w:r>
          </w:p>
        </w:tc>
        <w:tc>
          <w:tcPr>
            <w:tcW w:w="1985" w:type="dxa"/>
            <w:gridSpan w:val="2"/>
          </w:tcPr>
          <w:p w14:paraId="5C18D735"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SR/</w:t>
            </w:r>
            <w:proofErr w:type="spellStart"/>
            <w:r>
              <w:rPr>
                <w:b/>
                <w:bCs/>
                <w:color w:val="000000"/>
                <w:kern w:val="24"/>
                <w:sz w:val="18"/>
                <w:szCs w:val="18"/>
                <w14:ligatures w14:val="standardContextual"/>
              </w:rPr>
              <w:t>ZnB</w:t>
            </w:r>
            <w:proofErr w:type="spellEnd"/>
            <w:r>
              <w:rPr>
                <w:b/>
                <w:bCs/>
                <w:color w:val="000000"/>
                <w:kern w:val="24"/>
                <w:sz w:val="18"/>
                <w:szCs w:val="18"/>
                <w14:ligatures w14:val="standardContextual"/>
              </w:rPr>
              <w:t>-GF</w:t>
            </w:r>
          </w:p>
        </w:tc>
        <w:tc>
          <w:tcPr>
            <w:tcW w:w="1791" w:type="dxa"/>
            <w:gridSpan w:val="2"/>
          </w:tcPr>
          <w:p w14:paraId="4004E2B9"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SR/La-GF</w:t>
            </w:r>
          </w:p>
        </w:tc>
      </w:tr>
      <w:tr w:rsidR="00AE4484" w14:paraId="5A5335B4" w14:textId="77777777" w:rsidTr="00AE4484">
        <w:trPr>
          <w:jc w:val="center"/>
        </w:trPr>
        <w:tc>
          <w:tcPr>
            <w:tcW w:w="567" w:type="dxa"/>
            <w:vMerge/>
            <w:tcBorders>
              <w:bottom w:val="single" w:sz="4" w:space="0" w:color="auto"/>
            </w:tcBorders>
          </w:tcPr>
          <w:p w14:paraId="791450A2" w14:textId="77777777" w:rsidR="00AE4484" w:rsidRDefault="00AE4484">
            <w:pPr>
              <w:adjustRightInd w:val="0"/>
              <w:snapToGrid w:val="0"/>
              <w:jc w:val="center"/>
              <w:rPr>
                <w:b/>
                <w:bCs/>
                <w:color w:val="000000"/>
                <w:kern w:val="24"/>
                <w:sz w:val="18"/>
                <w:szCs w:val="18"/>
                <w14:ligatures w14:val="standardContextual"/>
              </w:rPr>
            </w:pPr>
          </w:p>
        </w:tc>
        <w:tc>
          <w:tcPr>
            <w:tcW w:w="1264" w:type="dxa"/>
            <w:tcBorders>
              <w:top w:val="single" w:sz="6" w:space="0" w:color="auto"/>
              <w:bottom w:val="single" w:sz="4" w:space="0" w:color="auto"/>
            </w:tcBorders>
          </w:tcPr>
          <w:p w14:paraId="1B6660F2"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Eα(kJ/mol)</w:t>
            </w:r>
          </w:p>
        </w:tc>
        <w:tc>
          <w:tcPr>
            <w:tcW w:w="721" w:type="dxa"/>
            <w:tcBorders>
              <w:top w:val="single" w:sz="6" w:space="0" w:color="auto"/>
              <w:bottom w:val="single" w:sz="4" w:space="0" w:color="auto"/>
            </w:tcBorders>
          </w:tcPr>
          <w:p w14:paraId="41A1F4C3"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R</w:t>
            </w:r>
          </w:p>
        </w:tc>
        <w:tc>
          <w:tcPr>
            <w:tcW w:w="1134" w:type="dxa"/>
            <w:gridSpan w:val="2"/>
            <w:tcBorders>
              <w:top w:val="single" w:sz="6" w:space="0" w:color="auto"/>
              <w:bottom w:val="single" w:sz="4" w:space="0" w:color="auto"/>
            </w:tcBorders>
          </w:tcPr>
          <w:p w14:paraId="7D37B64D"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Eα(kJ/mol)</w:t>
            </w:r>
          </w:p>
        </w:tc>
        <w:tc>
          <w:tcPr>
            <w:tcW w:w="850" w:type="dxa"/>
            <w:tcBorders>
              <w:top w:val="single" w:sz="6" w:space="0" w:color="auto"/>
              <w:bottom w:val="single" w:sz="4" w:space="0" w:color="auto"/>
            </w:tcBorders>
          </w:tcPr>
          <w:p w14:paraId="5D59A387"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R</w:t>
            </w:r>
          </w:p>
        </w:tc>
        <w:tc>
          <w:tcPr>
            <w:tcW w:w="1341" w:type="dxa"/>
            <w:tcBorders>
              <w:top w:val="single" w:sz="6" w:space="0" w:color="auto"/>
              <w:bottom w:val="single" w:sz="4" w:space="0" w:color="auto"/>
            </w:tcBorders>
          </w:tcPr>
          <w:p w14:paraId="52E3601D"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Eα(kJ/mol)</w:t>
            </w:r>
          </w:p>
        </w:tc>
        <w:tc>
          <w:tcPr>
            <w:tcW w:w="644" w:type="dxa"/>
            <w:tcBorders>
              <w:top w:val="single" w:sz="6" w:space="0" w:color="auto"/>
              <w:bottom w:val="single" w:sz="4" w:space="0" w:color="auto"/>
            </w:tcBorders>
          </w:tcPr>
          <w:p w14:paraId="77EB0BDA"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R</w:t>
            </w:r>
          </w:p>
        </w:tc>
        <w:tc>
          <w:tcPr>
            <w:tcW w:w="1152" w:type="dxa"/>
            <w:tcBorders>
              <w:top w:val="single" w:sz="6" w:space="0" w:color="auto"/>
              <w:bottom w:val="single" w:sz="4" w:space="0" w:color="auto"/>
            </w:tcBorders>
          </w:tcPr>
          <w:p w14:paraId="0F32A9CD"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Eα(kJ/mol)</w:t>
            </w:r>
          </w:p>
        </w:tc>
        <w:tc>
          <w:tcPr>
            <w:tcW w:w="639" w:type="dxa"/>
            <w:tcBorders>
              <w:top w:val="single" w:sz="6" w:space="0" w:color="auto"/>
              <w:bottom w:val="single" w:sz="4" w:space="0" w:color="auto"/>
            </w:tcBorders>
          </w:tcPr>
          <w:p w14:paraId="25A8DDD7"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R</w:t>
            </w:r>
          </w:p>
        </w:tc>
      </w:tr>
      <w:tr w:rsidR="00AE4484" w14:paraId="6B2D41C8" w14:textId="77777777" w:rsidTr="00AE4484">
        <w:trPr>
          <w:jc w:val="center"/>
        </w:trPr>
        <w:tc>
          <w:tcPr>
            <w:tcW w:w="567" w:type="dxa"/>
            <w:tcBorders>
              <w:top w:val="single" w:sz="4" w:space="0" w:color="auto"/>
            </w:tcBorders>
          </w:tcPr>
          <w:p w14:paraId="454027DC"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0.1</w:t>
            </w:r>
          </w:p>
        </w:tc>
        <w:tc>
          <w:tcPr>
            <w:tcW w:w="1264" w:type="dxa"/>
            <w:tcBorders>
              <w:top w:val="single" w:sz="4" w:space="0" w:color="auto"/>
            </w:tcBorders>
          </w:tcPr>
          <w:p w14:paraId="49460B39"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243.9</w:t>
            </w:r>
          </w:p>
        </w:tc>
        <w:tc>
          <w:tcPr>
            <w:tcW w:w="721" w:type="dxa"/>
            <w:tcBorders>
              <w:top w:val="single" w:sz="4" w:space="0" w:color="auto"/>
            </w:tcBorders>
          </w:tcPr>
          <w:p w14:paraId="1F295D8E"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-0.99</w:t>
            </w:r>
          </w:p>
        </w:tc>
        <w:tc>
          <w:tcPr>
            <w:tcW w:w="1134" w:type="dxa"/>
            <w:gridSpan w:val="2"/>
            <w:tcBorders>
              <w:top w:val="single" w:sz="4" w:space="0" w:color="auto"/>
            </w:tcBorders>
          </w:tcPr>
          <w:p w14:paraId="10F6CDE1"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 xml:space="preserve">235.037 </w:t>
            </w:r>
          </w:p>
        </w:tc>
        <w:tc>
          <w:tcPr>
            <w:tcW w:w="850" w:type="dxa"/>
            <w:tcBorders>
              <w:top w:val="single" w:sz="4" w:space="0" w:color="auto"/>
            </w:tcBorders>
          </w:tcPr>
          <w:p w14:paraId="6744FA8A"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-0.999</w:t>
            </w:r>
          </w:p>
        </w:tc>
        <w:tc>
          <w:tcPr>
            <w:tcW w:w="1341" w:type="dxa"/>
            <w:tcBorders>
              <w:top w:val="single" w:sz="4" w:space="0" w:color="auto"/>
            </w:tcBorders>
          </w:tcPr>
          <w:p w14:paraId="5C4C7D1D"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210.2</w:t>
            </w:r>
          </w:p>
        </w:tc>
        <w:tc>
          <w:tcPr>
            <w:tcW w:w="644" w:type="dxa"/>
            <w:tcBorders>
              <w:top w:val="single" w:sz="4" w:space="0" w:color="auto"/>
            </w:tcBorders>
          </w:tcPr>
          <w:p w14:paraId="7D689A79"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-0.99</w:t>
            </w:r>
          </w:p>
        </w:tc>
        <w:tc>
          <w:tcPr>
            <w:tcW w:w="1152" w:type="dxa"/>
            <w:tcBorders>
              <w:top w:val="single" w:sz="4" w:space="0" w:color="auto"/>
            </w:tcBorders>
          </w:tcPr>
          <w:p w14:paraId="30FB051A"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208.4</w:t>
            </w:r>
          </w:p>
        </w:tc>
        <w:tc>
          <w:tcPr>
            <w:tcW w:w="639" w:type="dxa"/>
            <w:tcBorders>
              <w:top w:val="single" w:sz="4" w:space="0" w:color="auto"/>
            </w:tcBorders>
          </w:tcPr>
          <w:p w14:paraId="28FF74B6"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-0.97</w:t>
            </w:r>
          </w:p>
        </w:tc>
      </w:tr>
      <w:tr w:rsidR="00AE4484" w14:paraId="7AFB38AE" w14:textId="77777777" w:rsidTr="00AE4484">
        <w:trPr>
          <w:jc w:val="center"/>
        </w:trPr>
        <w:tc>
          <w:tcPr>
            <w:tcW w:w="567" w:type="dxa"/>
          </w:tcPr>
          <w:p w14:paraId="4241836D"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0.2</w:t>
            </w:r>
          </w:p>
        </w:tc>
        <w:tc>
          <w:tcPr>
            <w:tcW w:w="1264" w:type="dxa"/>
          </w:tcPr>
          <w:p w14:paraId="665BCA7B"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272.3</w:t>
            </w:r>
          </w:p>
        </w:tc>
        <w:tc>
          <w:tcPr>
            <w:tcW w:w="721" w:type="dxa"/>
          </w:tcPr>
          <w:p w14:paraId="6A73C160"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-0.99</w:t>
            </w:r>
          </w:p>
        </w:tc>
        <w:tc>
          <w:tcPr>
            <w:tcW w:w="1134" w:type="dxa"/>
            <w:gridSpan w:val="2"/>
          </w:tcPr>
          <w:p w14:paraId="75CE60E7"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266.048</w:t>
            </w:r>
            <w:r>
              <w:rPr>
                <w:rFonts w:hint="eastAsia"/>
                <w:color w:val="000000"/>
                <w:kern w:val="24"/>
                <w:sz w:val="18"/>
                <w:szCs w:val="18"/>
                <w14:ligatures w14:val="standardContextual"/>
              </w:rPr>
              <w:t xml:space="preserve"> </w:t>
            </w:r>
          </w:p>
        </w:tc>
        <w:tc>
          <w:tcPr>
            <w:tcW w:w="850" w:type="dxa"/>
          </w:tcPr>
          <w:p w14:paraId="096886BE"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-0.998</w:t>
            </w:r>
          </w:p>
        </w:tc>
        <w:tc>
          <w:tcPr>
            <w:tcW w:w="1341" w:type="dxa"/>
          </w:tcPr>
          <w:p w14:paraId="0A05CE37"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169.6</w:t>
            </w:r>
          </w:p>
        </w:tc>
        <w:tc>
          <w:tcPr>
            <w:tcW w:w="644" w:type="dxa"/>
          </w:tcPr>
          <w:p w14:paraId="1BC4C762"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-0.98</w:t>
            </w:r>
          </w:p>
        </w:tc>
        <w:tc>
          <w:tcPr>
            <w:tcW w:w="1152" w:type="dxa"/>
          </w:tcPr>
          <w:p w14:paraId="6721C54E"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228.2</w:t>
            </w:r>
          </w:p>
        </w:tc>
        <w:tc>
          <w:tcPr>
            <w:tcW w:w="639" w:type="dxa"/>
          </w:tcPr>
          <w:p w14:paraId="159B1ED9"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-1.0</w:t>
            </w:r>
          </w:p>
        </w:tc>
      </w:tr>
      <w:tr w:rsidR="00AE4484" w14:paraId="3AA3E3FF" w14:textId="77777777" w:rsidTr="00AE4484">
        <w:trPr>
          <w:jc w:val="center"/>
        </w:trPr>
        <w:tc>
          <w:tcPr>
            <w:tcW w:w="567" w:type="dxa"/>
          </w:tcPr>
          <w:p w14:paraId="12BA60DA"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0.3</w:t>
            </w:r>
          </w:p>
        </w:tc>
        <w:tc>
          <w:tcPr>
            <w:tcW w:w="1264" w:type="dxa"/>
          </w:tcPr>
          <w:p w14:paraId="13224591"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218.8</w:t>
            </w:r>
          </w:p>
        </w:tc>
        <w:tc>
          <w:tcPr>
            <w:tcW w:w="721" w:type="dxa"/>
          </w:tcPr>
          <w:p w14:paraId="24D39243"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-0.97</w:t>
            </w:r>
          </w:p>
        </w:tc>
        <w:tc>
          <w:tcPr>
            <w:tcW w:w="1134" w:type="dxa"/>
            <w:gridSpan w:val="2"/>
          </w:tcPr>
          <w:p w14:paraId="639ECBDC"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 xml:space="preserve">250.335 </w:t>
            </w:r>
          </w:p>
        </w:tc>
        <w:tc>
          <w:tcPr>
            <w:tcW w:w="850" w:type="dxa"/>
          </w:tcPr>
          <w:p w14:paraId="5DFFA79D"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-0.999</w:t>
            </w:r>
          </w:p>
        </w:tc>
        <w:tc>
          <w:tcPr>
            <w:tcW w:w="1341" w:type="dxa"/>
          </w:tcPr>
          <w:p w14:paraId="33CE1312"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177.9</w:t>
            </w:r>
          </w:p>
        </w:tc>
        <w:tc>
          <w:tcPr>
            <w:tcW w:w="644" w:type="dxa"/>
          </w:tcPr>
          <w:p w14:paraId="03BE55A3"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-0.99</w:t>
            </w:r>
          </w:p>
        </w:tc>
        <w:tc>
          <w:tcPr>
            <w:tcW w:w="1152" w:type="dxa"/>
          </w:tcPr>
          <w:p w14:paraId="37E7F541"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203.7</w:t>
            </w:r>
          </w:p>
        </w:tc>
        <w:tc>
          <w:tcPr>
            <w:tcW w:w="639" w:type="dxa"/>
          </w:tcPr>
          <w:p w14:paraId="58B88A71"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0.99</w:t>
            </w:r>
          </w:p>
        </w:tc>
      </w:tr>
      <w:tr w:rsidR="00AE4484" w14:paraId="5EC111C9" w14:textId="77777777" w:rsidTr="00AE4484">
        <w:trPr>
          <w:jc w:val="center"/>
        </w:trPr>
        <w:tc>
          <w:tcPr>
            <w:tcW w:w="567" w:type="dxa"/>
          </w:tcPr>
          <w:p w14:paraId="3C6E8A66"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0.4</w:t>
            </w:r>
          </w:p>
        </w:tc>
        <w:tc>
          <w:tcPr>
            <w:tcW w:w="1264" w:type="dxa"/>
          </w:tcPr>
          <w:p w14:paraId="77C03FF2"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204.6</w:t>
            </w:r>
          </w:p>
        </w:tc>
        <w:tc>
          <w:tcPr>
            <w:tcW w:w="721" w:type="dxa"/>
          </w:tcPr>
          <w:p w14:paraId="25621F67"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-0.96</w:t>
            </w:r>
          </w:p>
        </w:tc>
        <w:tc>
          <w:tcPr>
            <w:tcW w:w="1134" w:type="dxa"/>
            <w:gridSpan w:val="2"/>
          </w:tcPr>
          <w:p w14:paraId="405B68E4"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 xml:space="preserve">229.882 </w:t>
            </w:r>
          </w:p>
        </w:tc>
        <w:tc>
          <w:tcPr>
            <w:tcW w:w="850" w:type="dxa"/>
          </w:tcPr>
          <w:p w14:paraId="0DD3CEB2"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-1.0</w:t>
            </w:r>
          </w:p>
        </w:tc>
        <w:tc>
          <w:tcPr>
            <w:tcW w:w="1341" w:type="dxa"/>
          </w:tcPr>
          <w:p w14:paraId="11AD2A4E"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157.7</w:t>
            </w:r>
          </w:p>
        </w:tc>
        <w:tc>
          <w:tcPr>
            <w:tcW w:w="644" w:type="dxa"/>
          </w:tcPr>
          <w:p w14:paraId="3B3CA92F"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-0.98</w:t>
            </w:r>
          </w:p>
        </w:tc>
        <w:tc>
          <w:tcPr>
            <w:tcW w:w="1152" w:type="dxa"/>
          </w:tcPr>
          <w:p w14:paraId="2133486B"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190.6</w:t>
            </w:r>
          </w:p>
        </w:tc>
        <w:tc>
          <w:tcPr>
            <w:tcW w:w="639" w:type="dxa"/>
          </w:tcPr>
          <w:p w14:paraId="476DEA44"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-0.98</w:t>
            </w:r>
          </w:p>
        </w:tc>
      </w:tr>
      <w:tr w:rsidR="00AE4484" w14:paraId="79C187C9" w14:textId="77777777" w:rsidTr="00AE4484">
        <w:trPr>
          <w:jc w:val="center"/>
        </w:trPr>
        <w:tc>
          <w:tcPr>
            <w:tcW w:w="567" w:type="dxa"/>
          </w:tcPr>
          <w:p w14:paraId="2FD4391E"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0.5</w:t>
            </w:r>
          </w:p>
        </w:tc>
        <w:tc>
          <w:tcPr>
            <w:tcW w:w="1264" w:type="dxa"/>
          </w:tcPr>
          <w:p w14:paraId="7B9FF95B"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214.0</w:t>
            </w:r>
          </w:p>
        </w:tc>
        <w:tc>
          <w:tcPr>
            <w:tcW w:w="721" w:type="dxa"/>
          </w:tcPr>
          <w:p w14:paraId="432E0082"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-0.95</w:t>
            </w:r>
          </w:p>
        </w:tc>
        <w:tc>
          <w:tcPr>
            <w:tcW w:w="1134" w:type="dxa"/>
            <w:gridSpan w:val="2"/>
          </w:tcPr>
          <w:p w14:paraId="56D65D28"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 xml:space="preserve">236.450 </w:t>
            </w:r>
          </w:p>
        </w:tc>
        <w:tc>
          <w:tcPr>
            <w:tcW w:w="850" w:type="dxa"/>
          </w:tcPr>
          <w:p w14:paraId="78C0B0E1"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-0.998</w:t>
            </w:r>
          </w:p>
        </w:tc>
        <w:tc>
          <w:tcPr>
            <w:tcW w:w="1341" w:type="dxa"/>
          </w:tcPr>
          <w:p w14:paraId="134E906B"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127.2</w:t>
            </w:r>
          </w:p>
        </w:tc>
        <w:tc>
          <w:tcPr>
            <w:tcW w:w="644" w:type="dxa"/>
          </w:tcPr>
          <w:p w14:paraId="480702E8"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-0.96</w:t>
            </w:r>
          </w:p>
        </w:tc>
        <w:tc>
          <w:tcPr>
            <w:tcW w:w="1152" w:type="dxa"/>
          </w:tcPr>
          <w:p w14:paraId="5007544C"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203.3</w:t>
            </w:r>
          </w:p>
        </w:tc>
        <w:tc>
          <w:tcPr>
            <w:tcW w:w="639" w:type="dxa"/>
          </w:tcPr>
          <w:p w14:paraId="4439D587"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-0.97</w:t>
            </w:r>
          </w:p>
        </w:tc>
      </w:tr>
      <w:tr w:rsidR="00AE4484" w14:paraId="343586CC" w14:textId="77777777" w:rsidTr="00AE4484">
        <w:trPr>
          <w:trHeight w:val="782"/>
          <w:jc w:val="center"/>
        </w:trPr>
        <w:tc>
          <w:tcPr>
            <w:tcW w:w="567" w:type="dxa"/>
          </w:tcPr>
          <w:p w14:paraId="108331DE"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0.6</w:t>
            </w:r>
          </w:p>
          <w:p w14:paraId="141CD144"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0.7</w:t>
            </w:r>
          </w:p>
          <w:p w14:paraId="3094D959"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0.8</w:t>
            </w:r>
          </w:p>
          <w:p w14:paraId="5962F549" w14:textId="77777777" w:rsidR="00AE4484" w:rsidRDefault="00F10B87">
            <w:pPr>
              <w:adjustRightInd w:val="0"/>
              <w:snapToGrid w:val="0"/>
              <w:jc w:val="center"/>
              <w:rPr>
                <w:b/>
                <w:bCs/>
                <w:color w:val="000000"/>
                <w:kern w:val="24"/>
                <w:sz w:val="18"/>
                <w:szCs w:val="18"/>
                <w14:ligatures w14:val="standardContextual"/>
              </w:rPr>
            </w:pPr>
            <w:r>
              <w:rPr>
                <w:b/>
                <w:bCs/>
                <w:color w:val="000000"/>
                <w:kern w:val="24"/>
                <w:sz w:val="18"/>
                <w:szCs w:val="18"/>
                <w14:ligatures w14:val="standardContextual"/>
              </w:rPr>
              <w:t>0.9</w:t>
            </w:r>
          </w:p>
        </w:tc>
        <w:tc>
          <w:tcPr>
            <w:tcW w:w="1264" w:type="dxa"/>
          </w:tcPr>
          <w:p w14:paraId="4468D613"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225.1</w:t>
            </w:r>
          </w:p>
          <w:p w14:paraId="04E9679B"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228.1</w:t>
            </w:r>
          </w:p>
          <w:p w14:paraId="09384A7A"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218.9</w:t>
            </w:r>
          </w:p>
          <w:p w14:paraId="4F8DE164"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214.9</w:t>
            </w:r>
          </w:p>
        </w:tc>
        <w:tc>
          <w:tcPr>
            <w:tcW w:w="721" w:type="dxa"/>
          </w:tcPr>
          <w:p w14:paraId="110CA694"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-0.96</w:t>
            </w:r>
          </w:p>
          <w:p w14:paraId="2D5F28CD"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-0.99</w:t>
            </w:r>
          </w:p>
          <w:p w14:paraId="36ACFA51"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-0.99</w:t>
            </w:r>
          </w:p>
          <w:p w14:paraId="250BD7F5"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-0.99</w:t>
            </w:r>
          </w:p>
        </w:tc>
        <w:tc>
          <w:tcPr>
            <w:tcW w:w="1134" w:type="dxa"/>
            <w:gridSpan w:val="2"/>
          </w:tcPr>
          <w:p w14:paraId="5268A65F"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 xml:space="preserve">255.905 </w:t>
            </w:r>
          </w:p>
          <w:p w14:paraId="13C37896"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 xml:space="preserve">268.459 </w:t>
            </w:r>
          </w:p>
          <w:p w14:paraId="4CF5BF73"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 xml:space="preserve">263.138 </w:t>
            </w:r>
          </w:p>
          <w:p w14:paraId="0ABE7805"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 xml:space="preserve">265.300 </w:t>
            </w:r>
          </w:p>
        </w:tc>
        <w:tc>
          <w:tcPr>
            <w:tcW w:w="850" w:type="dxa"/>
          </w:tcPr>
          <w:p w14:paraId="480F181B"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-0.998</w:t>
            </w:r>
          </w:p>
          <w:p w14:paraId="061C97CF"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-0.998</w:t>
            </w:r>
          </w:p>
          <w:p w14:paraId="11F88511"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-1.0</w:t>
            </w:r>
          </w:p>
          <w:p w14:paraId="06159EBE"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-0.997</w:t>
            </w:r>
          </w:p>
        </w:tc>
        <w:tc>
          <w:tcPr>
            <w:tcW w:w="1341" w:type="dxa"/>
          </w:tcPr>
          <w:p w14:paraId="06779008"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108.9</w:t>
            </w:r>
          </w:p>
          <w:p w14:paraId="33DD2E71"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102.2</w:t>
            </w:r>
          </w:p>
          <w:p w14:paraId="474B6CFB"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119.6</w:t>
            </w:r>
          </w:p>
          <w:p w14:paraId="33A0C169"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142.4</w:t>
            </w:r>
          </w:p>
        </w:tc>
        <w:tc>
          <w:tcPr>
            <w:tcW w:w="644" w:type="dxa"/>
          </w:tcPr>
          <w:p w14:paraId="3928A606"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-0.93</w:t>
            </w:r>
          </w:p>
          <w:p w14:paraId="6775F597"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-0.90</w:t>
            </w:r>
          </w:p>
          <w:p w14:paraId="335B91A6"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-0.94</w:t>
            </w:r>
          </w:p>
          <w:p w14:paraId="5AEF6771"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-0.98</w:t>
            </w:r>
          </w:p>
        </w:tc>
        <w:tc>
          <w:tcPr>
            <w:tcW w:w="1152" w:type="dxa"/>
          </w:tcPr>
          <w:p w14:paraId="2D604799"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223.6</w:t>
            </w:r>
          </w:p>
          <w:p w14:paraId="61A7817C"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224.6</w:t>
            </w:r>
          </w:p>
          <w:p w14:paraId="721F6822"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210.3</w:t>
            </w:r>
          </w:p>
          <w:p w14:paraId="39EAC462"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212.0</w:t>
            </w:r>
          </w:p>
        </w:tc>
        <w:tc>
          <w:tcPr>
            <w:tcW w:w="639" w:type="dxa"/>
          </w:tcPr>
          <w:p w14:paraId="7E7CA9F5"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-0.97</w:t>
            </w:r>
          </w:p>
          <w:p w14:paraId="0F910B5A"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-0.97</w:t>
            </w:r>
          </w:p>
          <w:p w14:paraId="4A6D2C2C"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-0.97</w:t>
            </w:r>
          </w:p>
          <w:p w14:paraId="594481D4" w14:textId="77777777" w:rsidR="00AE4484" w:rsidRDefault="00F10B87">
            <w:pPr>
              <w:adjustRightInd w:val="0"/>
              <w:snapToGrid w:val="0"/>
              <w:jc w:val="center"/>
              <w:rPr>
                <w:color w:val="000000"/>
                <w:kern w:val="24"/>
                <w:sz w:val="18"/>
                <w:szCs w:val="18"/>
                <w14:ligatures w14:val="standardContextual"/>
              </w:rPr>
            </w:pPr>
            <w:r>
              <w:rPr>
                <w:color w:val="000000"/>
                <w:kern w:val="24"/>
                <w:sz w:val="18"/>
                <w:szCs w:val="18"/>
                <w14:ligatures w14:val="standardContextual"/>
              </w:rPr>
              <w:t>-0.98</w:t>
            </w:r>
          </w:p>
        </w:tc>
      </w:tr>
    </w:tbl>
    <w:p w14:paraId="0480FF5A" w14:textId="77777777" w:rsidR="00AE4484" w:rsidRDefault="00AE4484">
      <w:pPr>
        <w:adjustRightInd w:val="0"/>
        <w:snapToGrid w:val="0"/>
        <w:jc w:val="center"/>
        <w:rPr>
          <w:rFonts w:ascii="Times New Roman" w:hAnsi="Times New Roman" w:cs="Times New Roman"/>
          <w:b/>
          <w:bCs/>
          <w:color w:val="000000"/>
          <w:kern w:val="24"/>
          <w:sz w:val="18"/>
          <w:szCs w:val="18"/>
        </w:rPr>
      </w:pPr>
    </w:p>
    <w:p w14:paraId="63D0DEDC" w14:textId="77777777" w:rsidR="00AE4484" w:rsidRDefault="00AE4484">
      <w:pPr>
        <w:adjustRightInd w:val="0"/>
        <w:snapToGrid w:val="0"/>
        <w:jc w:val="center"/>
        <w:rPr>
          <w:rFonts w:ascii="Times New Roman" w:hAnsi="Times New Roman" w:cs="Times New Roman"/>
          <w:b/>
          <w:bCs/>
          <w:color w:val="000000"/>
          <w:kern w:val="24"/>
          <w:sz w:val="18"/>
          <w:szCs w:val="18"/>
        </w:rPr>
      </w:pPr>
    </w:p>
    <w:sectPr w:rsidR="00AE448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E7E331" w14:textId="77777777" w:rsidR="00353ED3" w:rsidRDefault="00353ED3">
      <w:r>
        <w:separator/>
      </w:r>
    </w:p>
  </w:endnote>
  <w:endnote w:type="continuationSeparator" w:id="0">
    <w:p w14:paraId="64DD161D" w14:textId="77777777" w:rsidR="00353ED3" w:rsidRDefault="00353E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F2F0D7" w14:textId="77777777" w:rsidR="00353ED3" w:rsidRDefault="00353ED3">
      <w:r>
        <w:separator/>
      </w:r>
    </w:p>
  </w:footnote>
  <w:footnote w:type="continuationSeparator" w:id="0">
    <w:p w14:paraId="265480ED" w14:textId="77777777" w:rsidR="00353ED3" w:rsidRDefault="00353ED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A5C9D"/>
    <w:rsid w:val="00074DAF"/>
    <w:rsid w:val="0009419C"/>
    <w:rsid w:val="000A5F16"/>
    <w:rsid w:val="000B0F7A"/>
    <w:rsid w:val="00167B10"/>
    <w:rsid w:val="001D3BAA"/>
    <w:rsid w:val="00244501"/>
    <w:rsid w:val="00270E2A"/>
    <w:rsid w:val="0028799B"/>
    <w:rsid w:val="002A6701"/>
    <w:rsid w:val="00353ED3"/>
    <w:rsid w:val="00391DFC"/>
    <w:rsid w:val="003A039F"/>
    <w:rsid w:val="003A5C9D"/>
    <w:rsid w:val="003C2C76"/>
    <w:rsid w:val="003E26D3"/>
    <w:rsid w:val="003F5A85"/>
    <w:rsid w:val="00434D04"/>
    <w:rsid w:val="004840D0"/>
    <w:rsid w:val="004A7908"/>
    <w:rsid w:val="005D2F36"/>
    <w:rsid w:val="00606191"/>
    <w:rsid w:val="006F07F3"/>
    <w:rsid w:val="00702294"/>
    <w:rsid w:val="00732F84"/>
    <w:rsid w:val="0074681C"/>
    <w:rsid w:val="007801A1"/>
    <w:rsid w:val="00794E50"/>
    <w:rsid w:val="00795503"/>
    <w:rsid w:val="007C570F"/>
    <w:rsid w:val="007F12A7"/>
    <w:rsid w:val="0088265E"/>
    <w:rsid w:val="008C5811"/>
    <w:rsid w:val="009E38B4"/>
    <w:rsid w:val="00A030DE"/>
    <w:rsid w:val="00A86829"/>
    <w:rsid w:val="00AA2774"/>
    <w:rsid w:val="00AE4484"/>
    <w:rsid w:val="00B11F32"/>
    <w:rsid w:val="00BD2C3A"/>
    <w:rsid w:val="00C03A73"/>
    <w:rsid w:val="00C82716"/>
    <w:rsid w:val="00CC3C65"/>
    <w:rsid w:val="00CE7415"/>
    <w:rsid w:val="00DA45B4"/>
    <w:rsid w:val="00DB2B93"/>
    <w:rsid w:val="00DD6FC7"/>
    <w:rsid w:val="00EC68AA"/>
    <w:rsid w:val="00EF6069"/>
    <w:rsid w:val="00F10B87"/>
    <w:rsid w:val="00F80252"/>
    <w:rsid w:val="00FD5BC0"/>
    <w:rsid w:val="00FE49A8"/>
    <w:rsid w:val="00FF6D98"/>
    <w:rsid w:val="2DC50727"/>
    <w:rsid w:val="69FD213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E40187C"/>
  <w14:defaultImageDpi w14:val="32767"/>
  <w15:docId w15:val="{09B0354C-62D2-4C98-9C41-12A53BB178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jc w:val="both"/>
    </w:pPr>
    <w:rPr>
      <w:kern w:val="2"/>
      <w:sz w:val="21"/>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Pr>
      <w:sz w:val="18"/>
      <w:szCs w:val="18"/>
    </w:rPr>
  </w:style>
  <w:style w:type="paragraph" w:styleId="Footer">
    <w:name w:val="footer"/>
    <w:basedOn w:val="Normal"/>
    <w:link w:val="FooterChar"/>
    <w:uiPriority w:val="99"/>
    <w:unhideWhenUsed/>
    <w:pPr>
      <w:tabs>
        <w:tab w:val="center" w:pos="4153"/>
        <w:tab w:val="right" w:pos="8306"/>
      </w:tabs>
      <w:snapToGrid w:val="0"/>
      <w:jc w:val="left"/>
    </w:pPr>
    <w:rPr>
      <w:sz w:val="18"/>
      <w:szCs w:val="18"/>
    </w:rPr>
  </w:style>
  <w:style w:type="paragraph" w:styleId="Header">
    <w:name w:val="header"/>
    <w:basedOn w:val="Normal"/>
    <w:link w:val="HeaderChar"/>
    <w:uiPriority w:val="99"/>
    <w:unhideWhenUsed/>
    <w:pPr>
      <w:pBdr>
        <w:bottom w:val="single" w:sz="6" w:space="1" w:color="auto"/>
      </w:pBdr>
      <w:tabs>
        <w:tab w:val="center" w:pos="4153"/>
        <w:tab w:val="right" w:pos="8306"/>
      </w:tabs>
      <w:snapToGrid w:val="0"/>
      <w:jc w:val="center"/>
    </w:pPr>
    <w:rPr>
      <w:sz w:val="18"/>
      <w:szCs w:val="18"/>
    </w:rPr>
  </w:style>
  <w:style w:type="paragraph" w:styleId="FootnoteText">
    <w:name w:val="footnote text"/>
    <w:basedOn w:val="Normal"/>
    <w:link w:val="FootnoteTextChar"/>
    <w:uiPriority w:val="99"/>
    <w:pPr>
      <w:snapToGrid w:val="0"/>
      <w:jc w:val="left"/>
    </w:pPr>
    <w:rPr>
      <w:rFonts w:ascii="Times New Roman" w:eastAsia="宋体" w:hAnsi="Times New Roman" w:cs="Times New Roman"/>
      <w:sz w:val="18"/>
      <w:szCs w:val="20"/>
    </w:rPr>
  </w:style>
  <w:style w:type="character" w:styleId="FootnoteReference">
    <w:name w:val="footnote reference"/>
    <w:basedOn w:val="DefaultParagraphFont"/>
    <w:semiHidden/>
    <w:rPr>
      <w:vertAlign w:val="superscript"/>
    </w:rPr>
  </w:style>
  <w:style w:type="character" w:customStyle="1" w:styleId="HeaderChar">
    <w:name w:val="Header Char"/>
    <w:basedOn w:val="DefaultParagraphFont"/>
    <w:link w:val="Header"/>
    <w:uiPriority w:val="99"/>
    <w:rPr>
      <w:sz w:val="18"/>
      <w:szCs w:val="18"/>
    </w:rPr>
  </w:style>
  <w:style w:type="character" w:customStyle="1" w:styleId="FooterChar">
    <w:name w:val="Footer Char"/>
    <w:basedOn w:val="DefaultParagraphFont"/>
    <w:link w:val="Footer"/>
    <w:uiPriority w:val="99"/>
    <w:rPr>
      <w:sz w:val="18"/>
      <w:szCs w:val="18"/>
    </w:rPr>
  </w:style>
  <w:style w:type="table" w:customStyle="1" w:styleId="21">
    <w:name w:val="无格式表格 21"/>
    <w:basedOn w:val="TableNormal"/>
    <w:uiPriority w:val="42"/>
    <w:tblPr>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a">
    <w:name w:val="三线表"/>
    <w:basedOn w:val="TableNormal"/>
    <w:autoRedefine/>
    <w:qFormat/>
    <w:rPr>
      <w:rFonts w:ascii="Times New Roman" w:eastAsia="宋体" w:hAnsi="Times New Roman" w:cs="Times New Roman"/>
    </w:rPr>
    <w:tblPr>
      <w:tblBorders>
        <w:top w:val="single" w:sz="12" w:space="0" w:color="auto"/>
        <w:bottom w:val="single" w:sz="12" w:space="0" w:color="auto"/>
      </w:tblBorders>
    </w:tblPr>
    <w:tblStylePr w:type="firstRow">
      <w:rPr>
        <w:rFonts w:ascii="Times New Roman" w:eastAsia="宋体" w:hAnsi="Times New Roman"/>
        <w:b w:val="0"/>
        <w:i w:val="0"/>
        <w:sz w:val="21"/>
      </w:rPr>
      <w:tblPr/>
      <w:tcPr>
        <w:tcBorders>
          <w:top w:val="single" w:sz="12" w:space="0" w:color="auto"/>
          <w:left w:val="nil"/>
          <w:bottom w:val="single" w:sz="6" w:space="0" w:color="auto"/>
          <w:right w:val="nil"/>
          <w:insideH w:val="nil"/>
          <w:insideV w:val="nil"/>
          <w:tl2br w:val="nil"/>
          <w:tr2bl w:val="nil"/>
        </w:tcBorders>
      </w:tcPr>
    </w:tblStylePr>
  </w:style>
  <w:style w:type="character" w:customStyle="1" w:styleId="FootnoteTextChar">
    <w:name w:val="Footnote Text Char"/>
    <w:basedOn w:val="DefaultParagraphFont"/>
    <w:link w:val="FootnoteText"/>
    <w:uiPriority w:val="99"/>
    <w:rPr>
      <w:rFonts w:ascii="Times New Roman" w:eastAsia="宋体" w:hAnsi="Times New Roman" w:cs="Times New Roman"/>
      <w:sz w:val="18"/>
      <w:szCs w:val="20"/>
    </w:rPr>
  </w:style>
  <w:style w:type="paragraph" w:customStyle="1" w:styleId="1">
    <w:name w:val="列出段落1"/>
    <w:basedOn w:val="Normal"/>
    <w:uiPriority w:val="34"/>
    <w:qFormat/>
    <w:pPr>
      <w:ind w:firstLineChars="200" w:firstLine="420"/>
    </w:pPr>
    <w:rPr>
      <w:rFonts w:ascii="Calibri" w:eastAsia="宋体" w:hAnsi="Calibri" w:cs="Times New Roman"/>
    </w:rPr>
  </w:style>
  <w:style w:type="character" w:customStyle="1" w:styleId="BalloonTextChar">
    <w:name w:val="Balloon Text Char"/>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Pages>
  <Words>537</Words>
  <Characters>3320</Characters>
  <Application>Microsoft Office Word</Application>
  <DocSecurity>0</DocSecurity>
  <Lines>75</Lines>
  <Paragraphs>42</Paragraphs>
  <ScaleCrop>false</ScaleCrop>
  <Company/>
  <LinksUpToDate>false</LinksUpToDate>
  <CharactersWithSpaces>3815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HYB</dc:creator>
  <cp:lastModifiedBy>Tech Science Press</cp:lastModifiedBy>
  <cp:revision>3</cp:revision>
  <cp:lastPrinted>2024-06-07T07:06:00Z</cp:lastPrinted>
  <dcterms:created xsi:type="dcterms:W3CDTF">2025-04-28T12:20:00Z</dcterms:created>
  <dcterms:modified xsi:type="dcterms:W3CDTF">2025-06-06T07:55:00Z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eyJoZGlkIjoiYzZkNzQ4ZWFiZmQ4NTRhOWRkZTk3YTMwMjlmMmZhYmUiLCJ1c2VySWQiOiIxMzIzMTI2NDk4In0=</vt:lpwstr>
  </property>
  <property fmtid="{D5CDD505-2E9C-101B-9397-08002B2CF9AE}" pid="3" name="KSOProductBuildVer">
    <vt:lpwstr>2052-12.1.0.20305</vt:lpwstr>
  </property>
  <property fmtid="{D5CDD505-2E9C-101B-9397-08002B2CF9AE}" pid="4" name="ICV">
    <vt:lpwstr>EA4B5092D00B48A5ABDF9EB1A7EC5B5A_12</vt:lpwstr>
  </property>
</Properties>
</file>