
<file path=[Content_Types].xml><?xml version="1.0" encoding="utf-8"?>
<Types xmlns="http://schemas.openxmlformats.org/package/2006/content-types">
  <Default Extension="wmf" ContentType="image/x-wmf"/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0DF74">
      <w:pPr>
        <w:spacing w:line="480" w:lineRule="auto"/>
        <w:rPr>
          <w:rFonts w:ascii="Minion Pro" w:hAnsi="Minion Pro" w:cs="Minion Pro"/>
          <w:sz w:val="24"/>
          <w:szCs w:val="24"/>
        </w:rPr>
      </w:pPr>
      <w:r>
        <w:rPr>
          <w:rFonts w:hint="eastAsia" w:ascii="Minion Pro" w:hAnsi="Minion Pro" w:cs="Minion Pro"/>
          <w:sz w:val="24"/>
          <w:szCs w:val="24"/>
        </w:rPr>
        <w:t>Figure Legend:</w:t>
      </w:r>
    </w:p>
    <w:p w14:paraId="7A192DF6">
      <w:pPr>
        <w:spacing w:line="480" w:lineRule="auto"/>
        <w:rPr>
          <w:rFonts w:ascii="Minion Pro" w:hAnsi="Minion Pro" w:cs="Minion Pro"/>
          <w:b/>
          <w:bCs/>
          <w:sz w:val="24"/>
          <w:szCs w:val="24"/>
        </w:rPr>
      </w:pPr>
      <w:r>
        <w:rPr>
          <w:rFonts w:ascii="Minion Pro" w:hAnsi="Minion Pro" w:cs="Minion Pro"/>
          <w:sz w:val="24"/>
          <w:szCs w:val="24"/>
        </w:rPr>
        <w:drawing>
          <wp:inline distT="0" distB="0" distL="0" distR="0">
            <wp:extent cx="2374900" cy="2378710"/>
            <wp:effectExtent l="0" t="0" r="2540" b="13970"/>
            <wp:docPr id="38031720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317202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237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F47BE">
      <w:pPr>
        <w:widowControl/>
        <w:spacing w:line="480" w:lineRule="auto"/>
        <w:jc w:val="left"/>
        <w:rPr>
          <w:rFonts w:ascii="Minion Pro" w:hAnsi="Minion Pro" w:cs="Minion Pro"/>
          <w:b/>
          <w:bCs/>
          <w:sz w:val="24"/>
          <w:szCs w:val="24"/>
        </w:rPr>
      </w:pPr>
      <w:r>
        <w:rPr>
          <w:rFonts w:ascii="Minion Pro" w:hAnsi="Minion Pro" w:cs="Minion Pro"/>
          <w:b/>
          <w:bCs/>
          <w:sz w:val="24"/>
          <w:szCs w:val="24"/>
        </w:rPr>
        <w:t>Figure S1 Data-based Prediction Discovery of m6A Binding Sites on OTUD7B mRNA</w:t>
      </w:r>
    </w:p>
    <w:p w14:paraId="4DDEA373">
      <w:pPr>
        <w:spacing w:line="480" w:lineRule="auto"/>
        <w:rPr>
          <w:rFonts w:ascii="Minion Pro" w:hAnsi="Minion Pro" w:eastAsia="等线" w:cs="Minion Pro"/>
          <w:sz w:val="24"/>
          <w:szCs w:val="24"/>
        </w:rPr>
      </w:pPr>
      <w:r>
        <w:rPr>
          <w:rFonts w:ascii="Minion Pro" w:hAnsi="Minion Pro" w:cs="Minion Pro"/>
          <w:sz w:val="24"/>
          <w:szCs w:val="24"/>
        </w:rPr>
        <w:t xml:space="preserve">Sequence details of </w:t>
      </w:r>
      <w:r>
        <w:rPr>
          <w:rFonts w:ascii="Minion Pro" w:hAnsi="Minion Pro" w:eastAsia="等线" w:cs="Minion Pro"/>
          <w:sz w:val="24"/>
          <w:szCs w:val="24"/>
        </w:rPr>
        <w:t>the m6A binding sites located at site1829, site1856, site 2146, and site 2762 are provided.</w:t>
      </w:r>
    </w:p>
    <w:p w14:paraId="3CC1A5B1">
      <w:pPr>
        <w:spacing w:line="480" w:lineRule="auto"/>
        <w:rPr>
          <w:rFonts w:ascii="Minion Pro" w:hAnsi="Minion Pro" w:cs="Minion Pro"/>
          <w:sz w:val="24"/>
          <w:szCs w:val="24"/>
        </w:rPr>
      </w:pPr>
      <w:r>
        <w:rPr>
          <w:rFonts w:ascii="Minion Pro" w:hAnsi="Minion Pro" w:cs="Minion Pro"/>
          <w:sz w:val="24"/>
          <w:szCs w:val="24"/>
        </w:rPr>
        <w:drawing>
          <wp:inline distT="0" distB="0" distL="0" distR="0">
            <wp:extent cx="5274310" cy="2905760"/>
            <wp:effectExtent l="19050" t="0" r="2540" b="0"/>
            <wp:docPr id="1" name="图片 1" descr="C:\Users\Administrator\Desktop\11.21 Oncology Research\第三次返修\Figures\Figure S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11.21 Oncology Research\第三次返修\Figures\Figure S2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06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68C429">
      <w:pPr>
        <w:spacing w:line="480" w:lineRule="auto"/>
        <w:rPr>
          <w:rFonts w:ascii="Minion Pro" w:hAnsi="Minion Pro" w:cs="Minion Pro"/>
          <w:sz w:val="24"/>
          <w:szCs w:val="24"/>
        </w:rPr>
      </w:pPr>
      <w:r>
        <w:rPr>
          <w:rFonts w:ascii="Minion Pro" w:hAnsi="Minion Pro" w:cs="Minion Pro"/>
          <w:b/>
          <w:bCs/>
          <w:sz w:val="24"/>
          <w:szCs w:val="24"/>
        </w:rPr>
        <w:t>Figure S2</w:t>
      </w:r>
      <w:r>
        <w:rPr>
          <w:rFonts w:hint="eastAsia" w:ascii="Minion Pro" w:hAnsi="Minion Pro" w:cs="Minion Pro"/>
          <w:b/>
          <w:bCs/>
          <w:sz w:val="24"/>
          <w:szCs w:val="24"/>
          <w:lang w:val="en-US" w:eastAsia="zh-CN"/>
        </w:rPr>
        <w:t>.</w:t>
      </w:r>
      <w:bookmarkStart w:id="0" w:name="_GoBack"/>
      <w:bookmarkEnd w:id="0"/>
      <w:r>
        <w:rPr>
          <w:rFonts w:ascii="Minion Pro" w:hAnsi="Minion Pro" w:cs="Minion Pro"/>
          <w:b/>
          <w:bCs/>
          <w:sz w:val="24"/>
          <w:szCs w:val="24"/>
        </w:rPr>
        <w:t xml:space="preserve"> Identification of m6A Modification Sites and Determination of their Roles in OTUD7B Stability and Translation Efficiency</w:t>
      </w:r>
      <w:r>
        <w:rPr>
          <w:rFonts w:hint="eastAsia" w:ascii="Minion Pro" w:hAnsi="Minion Pro" w:cs="Minion Pro"/>
          <w:b/>
          <w:bCs/>
          <w:sz w:val="24"/>
          <w:szCs w:val="24"/>
        </w:rPr>
        <w:t xml:space="preserve">. </w:t>
      </w:r>
      <w:r>
        <w:rPr>
          <w:rFonts w:ascii="Minion Pro" w:hAnsi="Minion Pro" w:cs="Minion Pro"/>
          <w:b/>
          <w:bCs/>
          <w:sz w:val="24"/>
          <w:szCs w:val="24"/>
        </w:rPr>
        <w:t>A</w:t>
      </w:r>
      <w:r>
        <w:rPr>
          <w:rFonts w:ascii="Minion Pro" w:hAnsi="Minion Pro" w:cs="Minion Pro"/>
          <w:sz w:val="24"/>
          <w:szCs w:val="24"/>
        </w:rPr>
        <w:t xml:space="preserve">: Gene-specific m6A-PCR evaluation of the m6A modification levels on the OTUD7B transcript in TE-8 cells transfected with </w:t>
      </w:r>
      <w:r>
        <w:rPr>
          <w:rFonts w:ascii="Minion Pro" w:hAnsi="Minion Pro" w:eastAsia="等线" w:cs="Minion Pro"/>
          <w:sz w:val="24"/>
          <w:szCs w:val="24"/>
        </w:rPr>
        <w:t>W</w:t>
      </w:r>
      <w:r>
        <w:rPr>
          <w:rFonts w:ascii="Minion Pro" w:hAnsi="Minion Pro" w:cs="Minion Pro"/>
          <w:sz w:val="24"/>
          <w:szCs w:val="24"/>
        </w:rPr>
        <w:t>T, 1829mut, 1856mut, 2146mut, and 2762mut.</w:t>
      </w:r>
      <w:r>
        <w:rPr>
          <w:rFonts w:hint="eastAsia" w:ascii="Minion Pro" w:hAnsi="Minion Pro" w:cs="Minion Pro"/>
          <w:sz w:val="24"/>
          <w:szCs w:val="24"/>
        </w:rPr>
        <w:t xml:space="preserve"> </w:t>
      </w:r>
      <w:r>
        <w:rPr>
          <w:rFonts w:ascii="Minion Pro" w:hAnsi="Minion Pro" w:cs="Minion Pro"/>
          <w:b/>
          <w:bCs/>
          <w:sz w:val="24"/>
          <w:szCs w:val="24"/>
        </w:rPr>
        <w:t>B-C</w:t>
      </w:r>
      <w:r>
        <w:rPr>
          <w:rFonts w:ascii="Minion Pro" w:hAnsi="Minion Pro" w:cs="Minion Pro"/>
          <w:sz w:val="24"/>
          <w:szCs w:val="24"/>
        </w:rPr>
        <w:t>: OTUD7B expression assessed by qRT-PCR (</w:t>
      </w:r>
      <w:r>
        <w:rPr>
          <w:rFonts w:ascii="Minion Pro" w:hAnsi="Minion Pro" w:cs="Minion Pro"/>
          <w:b/>
          <w:bCs/>
          <w:sz w:val="24"/>
          <w:szCs w:val="24"/>
        </w:rPr>
        <w:t>B</w:t>
      </w:r>
      <w:r>
        <w:rPr>
          <w:rFonts w:ascii="Minion Pro" w:hAnsi="Minion Pro" w:cs="Minion Pro"/>
          <w:sz w:val="24"/>
          <w:szCs w:val="24"/>
        </w:rPr>
        <w:t>) and western blot</w:t>
      </w:r>
      <w:r>
        <w:rPr>
          <w:rFonts w:ascii="Minion Pro" w:hAnsi="Minion Pro" w:eastAsia="等线" w:cs="Minion Pro"/>
          <w:sz w:val="24"/>
          <w:szCs w:val="24"/>
        </w:rPr>
        <w:t>ting (</w:t>
      </w:r>
      <w:r>
        <w:rPr>
          <w:rFonts w:ascii="Minion Pro" w:hAnsi="Minion Pro" w:eastAsia="等线" w:cs="Minion Pro"/>
          <w:b/>
          <w:bCs/>
          <w:sz w:val="24"/>
          <w:szCs w:val="24"/>
        </w:rPr>
        <w:t>C</w:t>
      </w:r>
      <w:r>
        <w:rPr>
          <w:rFonts w:ascii="Minion Pro" w:hAnsi="Minion Pro" w:eastAsia="等线" w:cs="Minion Pro"/>
          <w:sz w:val="24"/>
          <w:szCs w:val="24"/>
        </w:rPr>
        <w:t xml:space="preserve">) in </w:t>
      </w:r>
      <w:r>
        <w:rPr>
          <w:rFonts w:ascii="Minion Pro" w:hAnsi="Minion Pro" w:cs="Minion Pro"/>
          <w:sz w:val="24"/>
          <w:szCs w:val="24"/>
        </w:rPr>
        <w:t>cells transfected with WT, 1829mut, 1856mut, 2146mut, and 2762mut.</w:t>
      </w:r>
      <w:r>
        <w:rPr>
          <w:rFonts w:hint="eastAsia" w:ascii="Minion Pro" w:hAnsi="Minion Pro" w:cs="Minion Pro"/>
          <w:sz w:val="24"/>
          <w:szCs w:val="24"/>
        </w:rPr>
        <w:t xml:space="preserve"> </w:t>
      </w:r>
      <w:r>
        <w:rPr>
          <w:rFonts w:ascii="Minion Pro" w:hAnsi="Minion Pro" w:cs="Minion Pro"/>
          <w:b/>
          <w:bCs/>
          <w:sz w:val="24"/>
          <w:szCs w:val="24"/>
        </w:rPr>
        <w:t>D</w:t>
      </w:r>
      <w:r>
        <w:rPr>
          <w:rFonts w:ascii="Minion Pro" w:hAnsi="Minion Pro" w:cs="Minion Pro"/>
          <w:sz w:val="24"/>
          <w:szCs w:val="24"/>
        </w:rPr>
        <w:t>: Determination of the degradation rate of OTUD7B mRNA at various time points by RT-qPCR after mutation of site 2762 in OTUD7B of TE-8 cells, followed by treatment with actinomycin D (Act D, 5 μg/mL).</w:t>
      </w:r>
      <w:r>
        <w:rPr>
          <w:rFonts w:hint="eastAsia" w:ascii="Minion Pro" w:hAnsi="Minion Pro" w:cs="Minion Pro"/>
          <w:sz w:val="24"/>
          <w:szCs w:val="24"/>
        </w:rPr>
        <w:t xml:space="preserve"> </w:t>
      </w:r>
      <w:r>
        <w:rPr>
          <w:rFonts w:hint="eastAsia" w:ascii="Minion Pro" w:hAnsi="Minion Pro" w:cs="Minion Pro"/>
          <w:b/>
          <w:bCs/>
          <w:sz w:val="24"/>
          <w:szCs w:val="24"/>
        </w:rPr>
        <w:t>E</w:t>
      </w:r>
      <w:r>
        <w:rPr>
          <w:rFonts w:ascii="Minion Pro" w:hAnsi="Minion Pro" w:cs="Minion Pro"/>
          <w:sz w:val="24"/>
          <w:szCs w:val="24"/>
        </w:rPr>
        <w:t xml:space="preserve">: Co-immunoprecipitation-based confirmation of the direct interaction between OTUD7B and YTHDF1 in TE-8 cells </w:t>
      </w:r>
      <w:r>
        <w:rPr>
          <w:rFonts w:ascii="Minion Pro" w:hAnsi="Minion Pro" w:eastAsia="等线" w:cs="Minion Pro"/>
          <w:sz w:val="24"/>
          <w:szCs w:val="24"/>
        </w:rPr>
        <w:t>transfected with FLAG-tagged OTUD7B</w:t>
      </w:r>
      <w:r>
        <w:rPr>
          <w:rFonts w:ascii="Minion Pro" w:hAnsi="Minion Pro" w:cs="Minion Pro"/>
          <w:sz w:val="24"/>
          <w:szCs w:val="24"/>
        </w:rPr>
        <w:t xml:space="preserve"> or FLAG-tagged OTUD7B 2762mut along with HA-tagged YTHDF1.</w:t>
      </w:r>
      <w:r>
        <w:rPr>
          <w:rFonts w:hint="eastAsia" w:ascii="Minion Pro" w:hAnsi="Minion Pro" w:cs="Minion Pro"/>
          <w:sz w:val="24"/>
          <w:szCs w:val="24"/>
        </w:rPr>
        <w:t xml:space="preserve"> </w:t>
      </w:r>
      <w:r>
        <w:rPr>
          <w:rFonts w:ascii="Minion Pro" w:hAnsi="Minion Pro" w:cs="Minion Pro"/>
          <w:sz w:val="24"/>
          <w:szCs w:val="24"/>
        </w:rPr>
        <w:t>Data are expressed as mean ± SEM, n=3; **</w:t>
      </w:r>
      <w:r>
        <w:rPr>
          <w:rFonts w:ascii="Minion Pro" w:hAnsi="Minion Pro" w:cs="Minion Pro"/>
          <w:i/>
          <w:iCs/>
          <w:sz w:val="24"/>
          <w:szCs w:val="24"/>
        </w:rPr>
        <w:t>p</w:t>
      </w:r>
      <w:r>
        <w:rPr>
          <w:rFonts w:ascii="Minion Pro" w:hAnsi="Minion Pro" w:cs="Minion Pro"/>
          <w:sz w:val="24"/>
          <w:szCs w:val="24"/>
        </w:rPr>
        <w:t>＜0.01</w:t>
      </w:r>
      <w:r>
        <w:rPr>
          <w:rFonts w:hint="eastAsia" w:ascii="Minion Pro" w:hAnsi="Minion Pro" w:cs="Minion Pro"/>
          <w:sz w:val="24"/>
          <w:szCs w:val="24"/>
        </w:rPr>
        <w:t>,</w:t>
      </w:r>
      <w:r>
        <w:rPr>
          <w:rFonts w:ascii="Minion Pro" w:hAnsi="Minion Pro" w:cs="Minion Pro"/>
          <w:sz w:val="24"/>
          <w:szCs w:val="24"/>
        </w:rPr>
        <w:t>***</w:t>
      </w:r>
      <w:r>
        <w:rPr>
          <w:rFonts w:ascii="Minion Pro" w:hAnsi="Minion Pro" w:cs="Minion Pro"/>
          <w:i/>
          <w:iCs/>
          <w:sz w:val="24"/>
          <w:szCs w:val="24"/>
        </w:rPr>
        <w:t>p</w:t>
      </w:r>
      <w:r>
        <w:rPr>
          <w:rFonts w:ascii="Minion Pro" w:hAnsi="Minion Pro" w:cs="Minion Pro"/>
          <w:sz w:val="24"/>
          <w:szCs w:val="24"/>
        </w:rPr>
        <w:t>＜0.001.</w:t>
      </w:r>
    </w:p>
    <w:p w14:paraId="513CCE18">
      <w:pPr>
        <w:spacing w:line="480" w:lineRule="auto"/>
        <w:rPr>
          <w:rFonts w:ascii="Minion Pro" w:hAnsi="Minion Pro" w:eastAsia="等线" w:cs="Minion Pro"/>
          <w:sz w:val="24"/>
          <w:szCs w:val="24"/>
        </w:rPr>
      </w:pPr>
    </w:p>
    <w:p w14:paraId="465594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ion Pro">
    <w:panose1 w:val="02040503050201020203"/>
    <w:charset w:val="00"/>
    <w:family w:val="roman"/>
    <w:pitch w:val="default"/>
    <w:sig w:usb0="E00002AF" w:usb1="5000205B" w:usb2="00000000" w:usb3="00000000" w:csb0="0000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4524CEE"/>
    <w:rsid w:val="00186D98"/>
    <w:rsid w:val="002F25A0"/>
    <w:rsid w:val="00D821B8"/>
    <w:rsid w:val="00DF7968"/>
    <w:rsid w:val="24524CEE"/>
    <w:rsid w:val="42E0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169</Words>
  <Characters>949</Characters>
  <Lines>7</Lines>
  <Paragraphs>2</Paragraphs>
  <TotalTime>3</TotalTime>
  <ScaleCrop>false</ScaleCrop>
  <LinksUpToDate>false</LinksUpToDate>
  <CharactersWithSpaces>1110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2025-04-10T08:12:00Z</dcterms:created>
  <dc:creator>Mia</dc:creator>
  <cp:lastModifiedBy>Mia</cp:lastModifiedBy>
  <dcterms:modified xsi:type="dcterms:W3CDTF">2025-04-22T05:50:49Z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847AC64723934E4BA125724BCF66450A_11</vt:lpwstr>
  </property>
  <property fmtid="{D5CDD505-2E9C-101B-9397-08002B2CF9AE}" pid="4" name="KSOTemplateDocerSaveRecord">
    <vt:lpwstr>eyJoZGlkIjoiNGQzNmFmODQ1YWIwOTg1MjhlOTUyYjY3NDNjNjM1MDEiLCJ1c2VySWQiOiIyMTM1MjkzOTMifQ==</vt:lpwstr>
  </property>
</Properties>
</file>