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ED8F0C" w14:textId="77777777" w:rsidR="00D268F5" w:rsidRPr="00FB6261" w:rsidRDefault="00D268F5" w:rsidP="00D268F5">
      <w:pPr>
        <w:pStyle w:val="TSP52figure"/>
        <w:rPr>
          <w:rFonts w:eastAsia="等线"/>
        </w:rPr>
      </w:pPr>
      <w:r w:rsidRPr="00FB6261">
        <w:rPr>
          <w:noProof/>
        </w:rPr>
        <w:drawing>
          <wp:inline distT="0" distB="0" distL="0" distR="0" wp14:anchorId="774FB928" wp14:editId="487F2533">
            <wp:extent cx="5274310" cy="7456805"/>
            <wp:effectExtent l="0" t="0" r="2540" b="0"/>
            <wp:docPr id="1637533538" name="图片 4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7533538" name="图片 4" descr="图表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6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58891" w14:textId="77777777" w:rsidR="00D268F5" w:rsidRPr="00FB6261" w:rsidRDefault="00D268F5" w:rsidP="00D268F5">
      <w:pPr>
        <w:pStyle w:val="TSP31text"/>
        <w:rPr>
          <w:rFonts w:eastAsia="等线"/>
        </w:rPr>
      </w:pPr>
      <w:r w:rsidRPr="00FB6261">
        <w:rPr>
          <w:rFonts w:eastAsia="等线"/>
        </w:rPr>
        <w:t>Figure S1. K-M survival curve among different age (A), sex (B) and stages (C) based on the TCGA-STAD data. Evaluation of the prognostic prediction capability of the ERSRGs risk score signature compared with model 1 and model 2 using the ROC curve based on the TCGA-STAD data in 1-year (D), 3-year (E), 5-year (F).</w:t>
      </w:r>
    </w:p>
    <w:p w14:paraId="34A48495" w14:textId="77777777" w:rsidR="00D268F5" w:rsidRPr="00FB6261" w:rsidRDefault="00D268F5" w:rsidP="00D268F5">
      <w:pPr>
        <w:pStyle w:val="TSP52figure"/>
        <w:rPr>
          <w:rFonts w:eastAsia="等线"/>
        </w:rPr>
      </w:pPr>
      <w:r w:rsidRPr="00FB6261">
        <w:rPr>
          <w:noProof/>
        </w:rPr>
        <w:lastRenderedPageBreak/>
        <w:drawing>
          <wp:inline distT="0" distB="0" distL="0" distR="0" wp14:anchorId="50C2DE22" wp14:editId="5ED09890">
            <wp:extent cx="5274310" cy="7301230"/>
            <wp:effectExtent l="0" t="0" r="2540" b="0"/>
            <wp:docPr id="1871717305" name="图片 2" descr="图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717305" name="图片 2" descr="图表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0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837FD" w14:textId="77777777" w:rsidR="00D268F5" w:rsidRPr="00FB6261" w:rsidRDefault="00D268F5" w:rsidP="00D268F5">
      <w:pPr>
        <w:pStyle w:val="TSP31text"/>
        <w:rPr>
          <w:rFonts w:eastAsia="等线"/>
        </w:rPr>
      </w:pPr>
      <w:r w:rsidRPr="00FB6261">
        <w:rPr>
          <w:rFonts w:eastAsia="等线"/>
        </w:rPr>
        <w:t>Figure S2. Function Enrichment Analysis Based on ERSRGs Risk Score Signature.</w:t>
      </w:r>
    </w:p>
    <w:p w14:paraId="3168CBF0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>The expression level of the ER stress markers in the different risk groups based on the TCGA-STAD data;</w:t>
      </w:r>
    </w:p>
    <w:p w14:paraId="1C6486BD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The expression level of the ER stress markers in the different risk groups based on the GSE84437 data; </w:t>
      </w:r>
    </w:p>
    <w:p w14:paraId="5791BE40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>The GO enrichment analysis of the different risk groups based on the TCGA-STAD data</w:t>
      </w:r>
      <w:r w:rsidRPr="00FB6261">
        <w:rPr>
          <w:rFonts w:ascii="Minion Pro" w:eastAsia="等线" w:hAnsi="Minion Pro" w:hint="eastAsia"/>
        </w:rPr>
        <w:t>;</w:t>
      </w:r>
    </w:p>
    <w:p w14:paraId="0D3C82EE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The KEGG pathway enrichment analysis of the different risk groups based on the TCGA-STAD data; </w:t>
      </w:r>
    </w:p>
    <w:p w14:paraId="6577AA98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lastRenderedPageBreak/>
        <w:t xml:space="preserve">The GSEA analysis in the low-risk group based on the TCGA-STAD data; </w:t>
      </w:r>
    </w:p>
    <w:p w14:paraId="3AD863A8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The GSEA analysis in the high-risk group based on the TCGA-STAD data.  </w:t>
      </w:r>
    </w:p>
    <w:p w14:paraId="1A740717" w14:textId="77777777" w:rsidR="00D268F5" w:rsidRPr="00FB6261" w:rsidRDefault="00D268F5" w:rsidP="00D268F5">
      <w:pPr>
        <w:pStyle w:val="TSP31text"/>
        <w:rPr>
          <w:rFonts w:eastAsia="等线"/>
        </w:rPr>
      </w:pPr>
      <w:r w:rsidRPr="00FB6261">
        <w:rPr>
          <w:rFonts w:eastAsia="等线"/>
        </w:rPr>
        <w:t xml:space="preserve">ns, no significance, * </w:t>
      </w:r>
      <w:r w:rsidRPr="00FB6261">
        <w:rPr>
          <w:rFonts w:eastAsia="等线"/>
          <w:i/>
          <w:iCs/>
        </w:rPr>
        <w:t>p</w:t>
      </w:r>
      <w:r w:rsidRPr="00FB6261">
        <w:rPr>
          <w:rFonts w:eastAsia="等线"/>
        </w:rPr>
        <w:t xml:space="preserve">&lt;0.05, ** </w:t>
      </w:r>
      <w:r w:rsidRPr="00FB6261">
        <w:rPr>
          <w:rFonts w:eastAsia="等线"/>
          <w:i/>
          <w:iCs/>
        </w:rPr>
        <w:t>p</w:t>
      </w:r>
      <w:r w:rsidRPr="00FB6261">
        <w:rPr>
          <w:rFonts w:eastAsia="等线"/>
        </w:rPr>
        <w:t xml:space="preserve">&lt;0.01, *** </w:t>
      </w:r>
      <w:r w:rsidRPr="00FB6261">
        <w:rPr>
          <w:rFonts w:eastAsia="等线"/>
          <w:i/>
          <w:iCs/>
        </w:rPr>
        <w:t>p</w:t>
      </w:r>
      <w:r w:rsidRPr="00FB6261">
        <w:rPr>
          <w:rFonts w:eastAsia="等线"/>
        </w:rPr>
        <w:t>&lt;0.001</w:t>
      </w:r>
    </w:p>
    <w:p w14:paraId="7D8A6483" w14:textId="77777777" w:rsidR="00D268F5" w:rsidRPr="00FB6261" w:rsidRDefault="00D268F5" w:rsidP="00D268F5">
      <w:pPr>
        <w:pStyle w:val="TSP52figure"/>
        <w:rPr>
          <w:rFonts w:eastAsia="等线"/>
        </w:rPr>
      </w:pPr>
      <w:r w:rsidRPr="00FB6261">
        <w:rPr>
          <w:noProof/>
        </w:rPr>
        <w:drawing>
          <wp:inline distT="0" distB="0" distL="0" distR="0" wp14:anchorId="0379C0D4" wp14:editId="70E749CC">
            <wp:extent cx="5243830" cy="3600450"/>
            <wp:effectExtent l="0" t="0" r="0" b="0"/>
            <wp:docPr id="529381155" name="图片 3" descr="图片包含 日程表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381155" name="图片 3" descr="图片包含 日程表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383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EF1E5" w14:textId="77777777" w:rsidR="00D268F5" w:rsidRPr="00FB6261" w:rsidRDefault="00D268F5" w:rsidP="00D268F5">
      <w:pPr>
        <w:pStyle w:val="TSP31text"/>
        <w:rPr>
          <w:rFonts w:eastAsia="等线"/>
        </w:rPr>
      </w:pPr>
      <w:r w:rsidRPr="00FB6261">
        <w:rPr>
          <w:rFonts w:eastAsia="等线"/>
        </w:rPr>
        <w:t>Fig S3. Heatmap of the difference in infiltrating immune cells between the high- and low-risk groups based on the TCGA-STAD data.</w:t>
      </w:r>
    </w:p>
    <w:p w14:paraId="6ED2836B" w14:textId="77777777" w:rsidR="00D268F5" w:rsidRPr="00FB6261" w:rsidRDefault="00D268F5" w:rsidP="00D268F5">
      <w:pPr>
        <w:pStyle w:val="TSP52figure"/>
        <w:rPr>
          <w:rFonts w:eastAsia="等线"/>
        </w:rPr>
      </w:pPr>
      <w:r w:rsidRPr="00FB6261">
        <w:rPr>
          <w:rFonts w:eastAsia="等线"/>
        </w:rPr>
        <w:lastRenderedPageBreak/>
        <w:drawing>
          <wp:inline distT="0" distB="0" distL="0" distR="0" wp14:anchorId="74070D91" wp14:editId="73F43D6A">
            <wp:extent cx="5273675" cy="6950075"/>
            <wp:effectExtent l="0" t="0" r="0" b="0"/>
            <wp:docPr id="6372194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219448" name="图片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5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96FC8E" w14:textId="77777777" w:rsidR="00D268F5" w:rsidRPr="00FB6261" w:rsidRDefault="00D268F5" w:rsidP="00D268F5">
      <w:pPr>
        <w:pStyle w:val="TSP31text"/>
        <w:rPr>
          <w:rFonts w:eastAsia="等线"/>
        </w:rPr>
      </w:pPr>
      <w:r w:rsidRPr="00FB6261">
        <w:rPr>
          <w:rFonts w:eastAsia="等线"/>
        </w:rPr>
        <w:t>Figure S4. The expression of eleven immune checkpoint genes was positively correlated with the risk score in TCGA-STAD dataset (A) and GSE84437 dataset (B).</w:t>
      </w:r>
    </w:p>
    <w:p w14:paraId="56D9AF93" w14:textId="77777777" w:rsidR="00D268F5" w:rsidRPr="00FB6261" w:rsidRDefault="00D268F5" w:rsidP="00D268F5">
      <w:pPr>
        <w:pStyle w:val="TSP52figure"/>
        <w:rPr>
          <w:rFonts w:eastAsia="等线"/>
        </w:rPr>
      </w:pPr>
      <w:r w:rsidRPr="00FB6261">
        <w:rPr>
          <w:noProof/>
          <w:lang w:eastAsia="en-US"/>
        </w:rPr>
        <w:lastRenderedPageBreak/>
        <w:drawing>
          <wp:inline distT="0" distB="0" distL="0" distR="0" wp14:anchorId="208D04D9" wp14:editId="6D9B9FA6">
            <wp:extent cx="5274310" cy="5200650"/>
            <wp:effectExtent l="0" t="0" r="0" b="0"/>
            <wp:docPr id="231183415" name="图片 6" descr="图示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183415" name="图片 6" descr="图示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2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6261">
        <w:rPr>
          <w:rFonts w:eastAsia="等线"/>
        </w:rPr>
        <w:t>\</w:t>
      </w:r>
    </w:p>
    <w:p w14:paraId="3586FEA0" w14:textId="77777777" w:rsidR="00D268F5" w:rsidRPr="00FB6261" w:rsidRDefault="00D268F5" w:rsidP="00D268F5">
      <w:pPr>
        <w:pStyle w:val="TSP31text"/>
        <w:rPr>
          <w:rFonts w:eastAsia="等线"/>
        </w:rPr>
      </w:pPr>
      <w:r w:rsidRPr="00FB6261">
        <w:rPr>
          <w:rFonts w:eastAsia="等线"/>
        </w:rPr>
        <w:t xml:space="preserve">Figure S5. (A-C) Data filtering process of </w:t>
      </w:r>
      <w:proofErr w:type="spellStart"/>
      <w:r w:rsidRPr="00FB6261">
        <w:rPr>
          <w:rFonts w:eastAsia="等线"/>
        </w:rPr>
        <w:t>scRNA</w:t>
      </w:r>
      <w:proofErr w:type="spellEnd"/>
      <w:r w:rsidRPr="00FB6261">
        <w:rPr>
          <w:rFonts w:eastAsia="等线"/>
        </w:rPr>
        <w:t>-seq analysis. (D-F) Analysis of sequencing depth and PCA.</w:t>
      </w:r>
    </w:p>
    <w:p w14:paraId="2DD92ABB" w14:textId="77777777" w:rsidR="00D268F5" w:rsidRPr="00FB6261" w:rsidRDefault="00D268F5" w:rsidP="00D268F5">
      <w:pPr>
        <w:widowControl/>
        <w:adjustRightInd w:val="0"/>
        <w:snapToGrid w:val="0"/>
        <w:spacing w:after="0" w:line="228" w:lineRule="auto"/>
        <w:ind w:left="425" w:hanging="425"/>
        <w:rPr>
          <w:rFonts w:ascii="Minion Pro" w:eastAsia="等线" w:hAnsi="Minion Pro"/>
          <w:sz w:val="20"/>
        </w:rPr>
      </w:pPr>
      <w:r w:rsidRPr="00FB6261">
        <w:rPr>
          <w:rFonts w:ascii="Minion Pro" w:eastAsia="等线" w:hAnsi="Minion Pro"/>
          <w:sz w:val="20"/>
        </w:rPr>
        <w:lastRenderedPageBreak/>
        <w:drawing>
          <wp:inline distT="0" distB="0" distL="0" distR="0" wp14:anchorId="5A64E322" wp14:editId="32B6392B">
            <wp:extent cx="5274310" cy="6929120"/>
            <wp:effectExtent l="0" t="0" r="0" b="0"/>
            <wp:docPr id="1442791570" name="图片 7" descr="地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791570" name="图片 7" descr="地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07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2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09A91" w14:textId="77777777" w:rsidR="00D268F5" w:rsidRPr="00FB6261" w:rsidRDefault="00D268F5" w:rsidP="00D268F5">
      <w:pPr>
        <w:pStyle w:val="TSP31text"/>
        <w:rPr>
          <w:rFonts w:eastAsia="等线"/>
        </w:rPr>
      </w:pPr>
      <w:r w:rsidRPr="00FB6261">
        <w:rPr>
          <w:rFonts w:eastAsia="等线"/>
        </w:rPr>
        <w:t xml:space="preserve">Figure S6. The results of cell trajectory analysis in normal gastric tissues, superficial layer and deep layer tissues of gastric cancer. </w:t>
      </w:r>
    </w:p>
    <w:p w14:paraId="2F568CE3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The cell trajectory analysis to trace the developmental pathways of normal gastric tissue. </w:t>
      </w:r>
    </w:p>
    <w:p w14:paraId="26679CA2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t-SNE clustering was utilized to categorize cells based on gene expression patterns in normal gastric tissues. </w:t>
      </w:r>
    </w:p>
    <w:p w14:paraId="6FF0C738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The cell trajectory analysis to trace the developmental pathways of superficial layer tissues of GC. </w:t>
      </w:r>
    </w:p>
    <w:p w14:paraId="03179D6B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t-SNE clustering was utilized to categorize cells based on gene expression patterns in superficial layer tissues GC. </w:t>
      </w:r>
    </w:p>
    <w:p w14:paraId="3BFEBEE7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 xml:space="preserve">The cell trajectory analysis to trace the developmental pathways of deep layer tissues of GC. </w:t>
      </w:r>
    </w:p>
    <w:p w14:paraId="36EE8421" w14:textId="77777777" w:rsidR="00D268F5" w:rsidRPr="00FB6261" w:rsidRDefault="00D268F5" w:rsidP="00D268F5">
      <w:pPr>
        <w:pStyle w:val="a7"/>
        <w:numPr>
          <w:ilvl w:val="1"/>
          <w:numId w:val="5"/>
        </w:numPr>
        <w:adjustRightInd w:val="0"/>
        <w:snapToGrid w:val="0"/>
        <w:spacing w:line="228" w:lineRule="auto"/>
        <w:ind w:left="425" w:firstLineChars="0" w:hanging="425"/>
        <w:rPr>
          <w:rFonts w:ascii="Minion Pro" w:eastAsia="等线" w:hAnsi="Minion Pro"/>
        </w:rPr>
      </w:pPr>
      <w:r w:rsidRPr="00FB6261">
        <w:rPr>
          <w:rFonts w:ascii="Minion Pro" w:eastAsia="等线" w:hAnsi="Minion Pro"/>
        </w:rPr>
        <w:t>t-SNE clustering was utilized to categorize cells based on gene expression patterns in deep layer tissues of GC.</w:t>
      </w:r>
      <w:bookmarkStart w:id="0" w:name="_GoBack"/>
      <w:bookmarkEnd w:id="0"/>
    </w:p>
    <w:sectPr w:rsidR="00D268F5" w:rsidRPr="00FB6261" w:rsidSect="002F159E">
      <w:pgSz w:w="11906" w:h="16838"/>
      <w:pgMar w:top="1440" w:right="1800" w:bottom="1440" w:left="180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E29827A" w14:textId="77777777" w:rsidR="001659E5" w:rsidRDefault="001659E5" w:rsidP="00D268F5">
      <w:pPr>
        <w:spacing w:after="0" w:line="240" w:lineRule="auto"/>
      </w:pPr>
      <w:r>
        <w:separator/>
      </w:r>
    </w:p>
  </w:endnote>
  <w:endnote w:type="continuationSeparator" w:id="0">
    <w:p w14:paraId="7305A4D6" w14:textId="77777777" w:rsidR="001659E5" w:rsidRDefault="001659E5" w:rsidP="00D268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5728B3" w14:textId="77777777" w:rsidR="001659E5" w:rsidRDefault="001659E5" w:rsidP="00D268F5">
      <w:pPr>
        <w:spacing w:after="0" w:line="240" w:lineRule="auto"/>
      </w:pPr>
      <w:r>
        <w:separator/>
      </w:r>
    </w:p>
  </w:footnote>
  <w:footnote w:type="continuationSeparator" w:id="0">
    <w:p w14:paraId="791B631D" w14:textId="77777777" w:rsidR="001659E5" w:rsidRDefault="001659E5" w:rsidP="00D268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CC4E56EA"/>
    <w:lvl w:ilvl="0" w:tplc="E264CA32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C9F7F46"/>
    <w:multiLevelType w:val="hybridMultilevel"/>
    <w:tmpl w:val="07BAA3BC"/>
    <w:lvl w:ilvl="0" w:tplc="796A7BBE">
      <w:start w:val="1"/>
      <w:numFmt w:val="decimal"/>
      <w:lvlText w:val="%1."/>
      <w:lvlJc w:val="left"/>
      <w:pPr>
        <w:ind w:left="720" w:hanging="360"/>
      </w:pPr>
      <w:rPr>
        <w:rFonts w:hint="eastAsia"/>
        <w:b w:val="0"/>
        <w:i w:val="0"/>
        <w:sz w:val="18"/>
        <w:vertAlign w:val="baseline"/>
      </w:rPr>
    </w:lvl>
    <w:lvl w:ilvl="1" w:tplc="F40298B2">
      <w:start w:val="1"/>
      <w:numFmt w:val="upperLetter"/>
      <w:lvlText w:val="(%2)"/>
      <w:lvlJc w:val="left"/>
      <w:pPr>
        <w:ind w:left="1455" w:hanging="375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5F21"/>
    <w:rsid w:val="001659E5"/>
    <w:rsid w:val="002F159E"/>
    <w:rsid w:val="003A5F21"/>
    <w:rsid w:val="00BE0BA1"/>
    <w:rsid w:val="00C75F01"/>
    <w:rsid w:val="00D26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E82D540"/>
  <w15:chartTrackingRefBased/>
  <w15:docId w15:val="{2502FE99-4C30-405D-B5C2-012EED0076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SP11articletype">
    <w:name w:val="TSP_1.1_article_type"/>
    <w:next w:val="a"/>
    <w:qFormat/>
    <w:rsid w:val="00BE0BA1"/>
    <w:pPr>
      <w:adjustRightInd w:val="0"/>
      <w:snapToGrid w:val="0"/>
      <w:spacing w:before="240" w:after="0" w:line="240" w:lineRule="atLeast"/>
    </w:pPr>
    <w:rPr>
      <w:rFonts w:ascii="Minion Pro" w:eastAsia="Times New Roman" w:hAnsi="Minion Pro" w:cs="Times New Roman"/>
      <w:b/>
      <w:caps/>
      <w:snapToGrid w:val="0"/>
      <w:color w:val="000000"/>
      <w:sz w:val="18"/>
      <w:u w:val="single"/>
      <w:lang w:eastAsia="de-DE" w:bidi="en-US"/>
    </w:rPr>
  </w:style>
  <w:style w:type="paragraph" w:customStyle="1" w:styleId="TSP110doinum">
    <w:name w:val="TSP_1.10_doinum"/>
    <w:basedOn w:val="a"/>
    <w:qFormat/>
    <w:rsid w:val="00BE0BA1"/>
    <w:pPr>
      <w:widowControl/>
      <w:spacing w:after="240" w:line="60" w:lineRule="atLeast"/>
      <w:jc w:val="left"/>
    </w:pPr>
    <w:rPr>
      <w:rFonts w:ascii="Minion Pro" w:eastAsiaTheme="minorEastAsia" w:hAnsi="Minion Pro" w:cs="Times New Roman"/>
      <w:color w:val="000000"/>
      <w:kern w:val="2"/>
      <w:sz w:val="14"/>
      <w:szCs w:val="20"/>
      <w:lang w:eastAsia="zh-CN"/>
    </w:rPr>
  </w:style>
  <w:style w:type="paragraph" w:customStyle="1" w:styleId="TSP12title">
    <w:name w:val="TSP_1.2_title"/>
    <w:next w:val="a"/>
    <w:qFormat/>
    <w:rsid w:val="00BE0BA1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color w:val="000000"/>
      <w:sz w:val="28"/>
      <w:szCs w:val="20"/>
      <w:lang w:eastAsia="de-DE" w:bidi="en-US"/>
    </w:rPr>
  </w:style>
  <w:style w:type="paragraph" w:customStyle="1" w:styleId="TSP13authornames">
    <w:name w:val="TSP_1.3_authornames"/>
    <w:next w:val="a"/>
    <w:qFormat/>
    <w:rsid w:val="00BE0BA1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color w:val="000000"/>
      <w:lang w:eastAsia="de-DE" w:bidi="en-US"/>
    </w:rPr>
  </w:style>
  <w:style w:type="paragraph" w:customStyle="1" w:styleId="TSP14history">
    <w:name w:val="TSP_1.4_history"/>
    <w:basedOn w:val="a"/>
    <w:next w:val="a"/>
    <w:autoRedefine/>
    <w:qFormat/>
    <w:rsid w:val="00BE0BA1"/>
    <w:pPr>
      <w:widowControl/>
      <w:adjustRightInd w:val="0"/>
      <w:snapToGrid w:val="0"/>
      <w:spacing w:before="60" w:after="240" w:line="240" w:lineRule="atLeast"/>
      <w:jc w:val="left"/>
    </w:pPr>
    <w:rPr>
      <w:rFonts w:ascii="Minion Pro" w:eastAsia="Times New Roman" w:hAnsi="Minion Pro" w:cs="Times New Roman"/>
      <w:color w:val="000000"/>
      <w:sz w:val="18"/>
      <w:szCs w:val="20"/>
      <w:lang w:eastAsia="de-DE" w:bidi="en-US"/>
    </w:rPr>
  </w:style>
  <w:style w:type="paragraph" w:customStyle="1" w:styleId="TSP15academiceditor">
    <w:name w:val="TSP_1.5_academic_editor"/>
    <w:qFormat/>
    <w:rsid w:val="00BE0BA1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color w:val="000000"/>
      <w:sz w:val="18"/>
      <w:lang w:eastAsia="de-DE" w:bidi="en-US"/>
    </w:rPr>
  </w:style>
  <w:style w:type="paragraph" w:customStyle="1" w:styleId="TSP16affiliation">
    <w:name w:val="TSP_1.6_affiliation"/>
    <w:qFormat/>
    <w:rsid w:val="00BE0BA1"/>
    <w:pPr>
      <w:adjustRightInd w:val="0"/>
      <w:snapToGrid w:val="0"/>
      <w:spacing w:after="0" w:line="240" w:lineRule="atLeast"/>
      <w:ind w:left="57" w:hanging="57"/>
    </w:pPr>
    <w:rPr>
      <w:rFonts w:ascii="Minion Pro" w:eastAsia="Times New Roman" w:hAnsi="Minion Pro" w:cs="Times New Roman"/>
      <w:color w:val="000000"/>
      <w:sz w:val="18"/>
      <w:szCs w:val="18"/>
      <w:lang w:eastAsia="de-DE" w:bidi="en-US"/>
    </w:rPr>
  </w:style>
  <w:style w:type="paragraph" w:customStyle="1" w:styleId="TSP17abstract">
    <w:name w:val="TSP_1.7_abstract"/>
    <w:next w:val="a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color w:val="000000"/>
      <w:sz w:val="20"/>
      <w:lang w:eastAsia="de-DE" w:bidi="en-US"/>
    </w:rPr>
  </w:style>
  <w:style w:type="paragraph" w:customStyle="1" w:styleId="TSP18keywords">
    <w:name w:val="TSP_1.8_keywords"/>
    <w:next w:val="a"/>
    <w:qFormat/>
    <w:rsid w:val="00BE0BA1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color w:val="000000"/>
      <w:sz w:val="20"/>
      <w:lang w:eastAsia="de-DE" w:bidi="en-US"/>
    </w:rPr>
  </w:style>
  <w:style w:type="paragraph" w:customStyle="1" w:styleId="TSP19classification">
    <w:name w:val="TSP_1.9_classification"/>
    <w:qFormat/>
    <w:rsid w:val="00BE0BA1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color w:val="000000"/>
      <w:sz w:val="20"/>
      <w:lang w:eastAsia="de-DE" w:bidi="en-US"/>
    </w:rPr>
  </w:style>
  <w:style w:type="paragraph" w:customStyle="1" w:styleId="TSP19line">
    <w:name w:val="TSP_1.9_line"/>
    <w:qFormat/>
    <w:rsid w:val="00BE0BA1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sz w:val="20"/>
      <w:szCs w:val="24"/>
      <w:lang w:eastAsia="de-DE" w:bidi="en-US"/>
    </w:rPr>
  </w:style>
  <w:style w:type="paragraph" w:customStyle="1" w:styleId="TSP21heading1">
    <w:name w:val="TSP_2.1_heading1"/>
    <w:qFormat/>
    <w:rsid w:val="00BE0BA1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color w:val="000000"/>
      <w:lang w:eastAsia="de-DE" w:bidi="en-US"/>
    </w:rPr>
  </w:style>
  <w:style w:type="paragraph" w:customStyle="1" w:styleId="TSP22heading2">
    <w:name w:val="TSP_2.2_heading2"/>
    <w:qFormat/>
    <w:rsid w:val="00BE0BA1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color w:val="000000"/>
      <w:lang w:eastAsia="de-DE" w:bidi="en-US"/>
    </w:rPr>
  </w:style>
  <w:style w:type="paragraph" w:customStyle="1" w:styleId="TSP23heading3">
    <w:name w:val="TSP_2.3_heading3"/>
    <w:qFormat/>
    <w:rsid w:val="00BE0BA1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color w:val="000000"/>
      <w:lang w:eastAsia="de-DE" w:bidi="en-US"/>
    </w:rPr>
  </w:style>
  <w:style w:type="paragraph" w:customStyle="1" w:styleId="TSP31text">
    <w:name w:val="TSP_3.1_text"/>
    <w:qFormat/>
    <w:rsid w:val="00BE0BA1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2textnoindent">
    <w:name w:val="TSP_3.2_text_no_indent"/>
    <w:basedOn w:val="TSP31text"/>
    <w:qFormat/>
    <w:rsid w:val="00BE0BA1"/>
    <w:pPr>
      <w:ind w:firstLine="0"/>
    </w:pPr>
  </w:style>
  <w:style w:type="paragraph" w:customStyle="1" w:styleId="TSP33textspaceafter">
    <w:name w:val="TSP_3.3_text_space_after"/>
    <w:qFormat/>
    <w:rsid w:val="00BE0BA1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4textspacebefore">
    <w:name w:val="TSP_3.4_text_space_before"/>
    <w:qFormat/>
    <w:rsid w:val="00BE0BA1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5textbeforelist">
    <w:name w:val="TSP_3.5_text_before_list"/>
    <w:qFormat/>
    <w:rsid w:val="00BE0BA1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6textafterlist">
    <w:name w:val="TSP_3.6_text_after_list"/>
    <w:qFormat/>
    <w:rsid w:val="00BE0BA1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7itemize">
    <w:name w:val="TSP_3.7_itemize"/>
    <w:qFormat/>
    <w:rsid w:val="00BE0BA1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lang w:eastAsia="de-DE" w:bidi="en-US"/>
    </w:rPr>
  </w:style>
  <w:style w:type="paragraph" w:customStyle="1" w:styleId="TSP38bullet">
    <w:name w:val="TSP_3.8_bullet"/>
    <w:qFormat/>
    <w:rsid w:val="00BE0BA1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lang w:eastAsia="de-DE" w:bidi="en-US"/>
    </w:rPr>
  </w:style>
  <w:style w:type="paragraph" w:customStyle="1" w:styleId="TSP39equation">
    <w:name w:val="TSP_3.9_equation"/>
    <w:qFormat/>
    <w:rsid w:val="00BE0BA1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aequationnumber">
    <w:name w:val="TSP_3.a_equation_number"/>
    <w:qFormat/>
    <w:rsid w:val="00BE0BA1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411onetablecaption">
    <w:name w:val="TSP_4.1.1_one_table_caption"/>
    <w:qFormat/>
    <w:rsid w:val="00BE0BA1"/>
    <w:pPr>
      <w:adjustRightInd w:val="0"/>
      <w:snapToGrid w:val="0"/>
      <w:spacing w:before="240" w:after="120" w:line="240" w:lineRule="atLeast"/>
      <w:jc w:val="center"/>
    </w:pPr>
    <w:rPr>
      <w:rFonts w:ascii="Minion Pro" w:eastAsia="宋体" w:hAnsi="Minion Pro" w:cs="Cordia New"/>
      <w:noProof/>
      <w:color w:val="000000"/>
      <w:sz w:val="20"/>
      <w:lang w:eastAsia="zh-CN" w:bidi="en-US"/>
    </w:rPr>
  </w:style>
  <w:style w:type="paragraph" w:customStyle="1" w:styleId="TSP41tablecaption">
    <w:name w:val="TSP_4.1_table_caption"/>
    <w:qFormat/>
    <w:rsid w:val="00BE0BA1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sz w:val="20"/>
      <w:lang w:eastAsia="de-DE" w:bidi="en-US"/>
    </w:rPr>
  </w:style>
  <w:style w:type="paragraph" w:customStyle="1" w:styleId="TSP42tablebody">
    <w:name w:val="TSP_4.2_table_body"/>
    <w:qFormat/>
    <w:rsid w:val="00BE0BA1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color w:val="000000"/>
      <w:sz w:val="20"/>
      <w:szCs w:val="20"/>
      <w:lang w:eastAsia="de-DE" w:bidi="en-US"/>
    </w:rPr>
  </w:style>
  <w:style w:type="paragraph" w:customStyle="1" w:styleId="TSP43tablefooter">
    <w:name w:val="TSP_4.3_table_footer"/>
    <w:next w:val="TSP31text"/>
    <w:qFormat/>
    <w:rsid w:val="00BE0BA1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sz w:val="20"/>
      <w:lang w:eastAsia="de-DE" w:bidi="en-US"/>
    </w:rPr>
  </w:style>
  <w:style w:type="paragraph" w:customStyle="1" w:styleId="TSP511onefigurecaption">
    <w:name w:val="TSP_5.1.1_one_figure_caption"/>
    <w:qFormat/>
    <w:rsid w:val="00BE0BA1"/>
    <w:pPr>
      <w:adjustRightInd w:val="0"/>
      <w:snapToGrid w:val="0"/>
      <w:spacing w:before="120" w:after="240" w:line="240" w:lineRule="atLeast"/>
      <w:jc w:val="center"/>
    </w:pPr>
    <w:rPr>
      <w:rFonts w:ascii="Minion Pro" w:eastAsia="宋体" w:hAnsi="Minion Pro" w:cs="Times New Roman"/>
      <w:noProof/>
      <w:color w:val="000000"/>
      <w:sz w:val="20"/>
      <w:szCs w:val="20"/>
      <w:lang w:eastAsia="zh-CN" w:bidi="en-US"/>
    </w:rPr>
  </w:style>
  <w:style w:type="paragraph" w:customStyle="1" w:styleId="TSP51figurecaption">
    <w:name w:val="TSP_5.1_figure_caption"/>
    <w:qFormat/>
    <w:rsid w:val="00BE0BA1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color w:val="000000"/>
      <w:sz w:val="20"/>
      <w:szCs w:val="20"/>
      <w:lang w:eastAsia="de-DE" w:bidi="en-US"/>
    </w:rPr>
  </w:style>
  <w:style w:type="paragraph" w:customStyle="1" w:styleId="TSP52figure">
    <w:name w:val="TSP_5.2_figure"/>
    <w:qFormat/>
    <w:rsid w:val="00BE0BA1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color w:val="000000"/>
      <w:sz w:val="20"/>
      <w:szCs w:val="20"/>
      <w:lang w:eastAsia="de-DE" w:bidi="en-US"/>
    </w:rPr>
  </w:style>
  <w:style w:type="paragraph" w:customStyle="1" w:styleId="TSP61Citation">
    <w:name w:val="TSP_6.1_Citation"/>
    <w:qFormat/>
    <w:rsid w:val="00BE0BA1"/>
    <w:pPr>
      <w:adjustRightInd w:val="0"/>
      <w:snapToGrid w:val="0"/>
      <w:spacing w:after="0" w:line="240" w:lineRule="atLeast"/>
    </w:pPr>
    <w:rPr>
      <w:rFonts w:ascii="Minion Pro" w:eastAsia="宋体" w:hAnsi="Minion Pro" w:cs="Cordia New"/>
      <w:lang w:eastAsia="zh-CN"/>
    </w:rPr>
  </w:style>
  <w:style w:type="paragraph" w:customStyle="1" w:styleId="TSP62BackMatter">
    <w:name w:val="TSP_6.2_BackMatter"/>
    <w:qFormat/>
    <w:rsid w:val="00BE0BA1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color w:val="000000"/>
      <w:sz w:val="20"/>
      <w:szCs w:val="20"/>
      <w:lang w:bidi="en-US"/>
    </w:rPr>
  </w:style>
  <w:style w:type="paragraph" w:customStyle="1" w:styleId="TSP63Notes">
    <w:name w:val="TSP_6.3_Notes"/>
    <w:qFormat/>
    <w:rsid w:val="00BE0BA1"/>
    <w:pPr>
      <w:adjustRightInd w:val="0"/>
      <w:snapToGrid w:val="0"/>
      <w:spacing w:before="60" w:after="60" w:line="228" w:lineRule="auto"/>
      <w:jc w:val="both"/>
    </w:pPr>
    <w:rPr>
      <w:rFonts w:ascii="Minion Pro" w:eastAsia="宋体" w:hAnsi="Minion Pro" w:cs="Times New Roman"/>
      <w:snapToGrid w:val="0"/>
      <w:color w:val="000000"/>
      <w:sz w:val="18"/>
      <w:szCs w:val="20"/>
      <w:lang w:bidi="en-US"/>
    </w:rPr>
  </w:style>
  <w:style w:type="paragraph" w:customStyle="1" w:styleId="TSP71FootNotes">
    <w:name w:val="TSP_7.1_FootNotes"/>
    <w:qFormat/>
    <w:rsid w:val="00BE0BA1"/>
    <w:pPr>
      <w:numPr>
        <w:numId w:val="3"/>
      </w:numPr>
      <w:adjustRightInd w:val="0"/>
      <w:snapToGrid w:val="0"/>
      <w:spacing w:before="60" w:after="60" w:line="228" w:lineRule="auto"/>
      <w:jc w:val="both"/>
    </w:pPr>
    <w:rPr>
      <w:rFonts w:ascii="Minion Pro" w:eastAsiaTheme="minorEastAsia" w:hAnsi="Minion Pro" w:cs="Times New Roman"/>
      <w:noProof/>
      <w:color w:val="000000"/>
      <w:sz w:val="18"/>
      <w:szCs w:val="20"/>
      <w:lang w:eastAsia="zh-CN"/>
    </w:rPr>
  </w:style>
  <w:style w:type="paragraph" w:customStyle="1" w:styleId="TSP71References">
    <w:name w:val="TSP_7.1_References"/>
    <w:qFormat/>
    <w:rsid w:val="00BE0BA1"/>
    <w:pPr>
      <w:numPr>
        <w:numId w:val="4"/>
      </w:numPr>
      <w:adjustRightInd w:val="0"/>
      <w:snapToGrid w:val="0"/>
      <w:spacing w:after="0" w:line="228" w:lineRule="auto"/>
      <w:jc w:val="both"/>
    </w:pPr>
    <w:rPr>
      <w:rFonts w:ascii="Minion Pro" w:eastAsia="等线" w:hAnsi="Minion Pro" w:cs="Times New Roman"/>
      <w:color w:val="000000"/>
      <w:sz w:val="20"/>
      <w:szCs w:val="20"/>
      <w:lang w:eastAsia="de-DE" w:bidi="en-US"/>
    </w:rPr>
  </w:style>
  <w:style w:type="paragraph" w:customStyle="1" w:styleId="TSP72Copyright">
    <w:name w:val="TSP_7.2_Copyright"/>
    <w:qFormat/>
    <w:rsid w:val="00BE0BA1"/>
    <w:pPr>
      <w:adjustRightInd w:val="0"/>
      <w:snapToGrid w:val="0"/>
      <w:spacing w:after="0" w:line="192" w:lineRule="auto"/>
      <w:jc w:val="both"/>
    </w:pPr>
    <w:rPr>
      <w:rFonts w:ascii="Minion Pro" w:eastAsia="Times New Roman" w:hAnsi="Minion Pro" w:cs="Times New Roman"/>
      <w:noProof/>
      <w:snapToGrid w:val="0"/>
      <w:color w:val="000000"/>
      <w:sz w:val="18"/>
      <w:szCs w:val="20"/>
      <w:lang w:val="en-GB" w:eastAsia="en-GB"/>
    </w:rPr>
  </w:style>
  <w:style w:type="paragraph" w:customStyle="1" w:styleId="TSP73CopyrightImage">
    <w:name w:val="TSP_7.3_CopyrightImage"/>
    <w:qFormat/>
    <w:rsid w:val="00BE0BA1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color w:val="000000"/>
      <w:sz w:val="18"/>
      <w:szCs w:val="20"/>
      <w:lang w:eastAsia="de-CH"/>
    </w:rPr>
  </w:style>
  <w:style w:type="paragraph" w:customStyle="1" w:styleId="TSP81theorem">
    <w:name w:val="TSP_8.1_theorem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color w:val="000000"/>
      <w:lang w:eastAsia="de-DE" w:bidi="en-US"/>
    </w:rPr>
  </w:style>
  <w:style w:type="paragraph" w:customStyle="1" w:styleId="TSP82proof">
    <w:name w:val="TSP_8.2_proof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equationFram">
    <w:name w:val="TSP_equationFram"/>
    <w:qFormat/>
    <w:rsid w:val="00BE0BA1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footer">
    <w:name w:val="TSP_footer"/>
    <w:qFormat/>
    <w:rsid w:val="00BE0BA1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sz w:val="16"/>
      <w:szCs w:val="20"/>
      <w:lang w:eastAsia="de-DE"/>
    </w:rPr>
  </w:style>
  <w:style w:type="paragraph" w:customStyle="1" w:styleId="TSPfooterfirstpage">
    <w:name w:val="TSP_footer_firstpage"/>
    <w:qFormat/>
    <w:rsid w:val="00BE0BA1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sz w:val="16"/>
      <w:szCs w:val="20"/>
      <w:lang w:eastAsia="de-DE"/>
    </w:rPr>
  </w:style>
  <w:style w:type="paragraph" w:customStyle="1" w:styleId="TSPheader">
    <w:name w:val="TSP_header"/>
    <w:qFormat/>
    <w:rsid w:val="00BE0BA1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color w:val="000000"/>
      <w:sz w:val="16"/>
      <w:szCs w:val="20"/>
      <w:lang w:eastAsia="de-DE"/>
    </w:rPr>
  </w:style>
  <w:style w:type="paragraph" w:customStyle="1" w:styleId="TSPheadercitation">
    <w:name w:val="TSP_header_citation"/>
    <w:qFormat/>
    <w:rsid w:val="00BE0BA1"/>
    <w:pPr>
      <w:spacing w:after="0" w:line="228" w:lineRule="auto"/>
    </w:pPr>
    <w:rPr>
      <w:rFonts w:ascii="Minion Pro" w:eastAsia="Times New Roman" w:hAnsi="Minion Pro" w:cs="Times New Roman"/>
      <w:snapToGrid w:val="0"/>
      <w:color w:val="000000"/>
      <w:sz w:val="16"/>
      <w:szCs w:val="20"/>
      <w:lang w:eastAsia="de-DE" w:bidi="en-US"/>
    </w:rPr>
  </w:style>
  <w:style w:type="paragraph" w:customStyle="1" w:styleId="TSPheaderjournallogo">
    <w:name w:val="TSP_header_journal_logo"/>
    <w:qFormat/>
    <w:rsid w:val="00BE0BA1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lang w:eastAsia="de-CH"/>
    </w:rPr>
  </w:style>
  <w:style w:type="paragraph" w:customStyle="1" w:styleId="TSPheadertsplogo">
    <w:name w:val="TSP_header_tsp_logo"/>
    <w:qFormat/>
    <w:rsid w:val="00BE0BA1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color w:val="000000"/>
      <w:lang w:eastAsia="de-CH"/>
    </w:rPr>
  </w:style>
  <w:style w:type="paragraph" w:customStyle="1" w:styleId="TSPtext">
    <w:name w:val="TSP_text"/>
    <w:qFormat/>
    <w:rsid w:val="00BE0BA1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color w:val="000000"/>
      <w:lang w:eastAsia="de-DE" w:bidi="en-US"/>
    </w:rPr>
  </w:style>
  <w:style w:type="paragraph" w:customStyle="1" w:styleId="TSPtitle">
    <w:name w:val="TSP_title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color w:val="000000"/>
      <w:sz w:val="28"/>
      <w:szCs w:val="20"/>
      <w:lang w:eastAsia="de-DE" w:bidi="en-US"/>
    </w:rPr>
  </w:style>
  <w:style w:type="paragraph" w:styleId="a3">
    <w:name w:val="header"/>
    <w:basedOn w:val="a"/>
    <w:link w:val="a4"/>
    <w:uiPriority w:val="99"/>
    <w:unhideWhenUsed/>
    <w:rsid w:val="00D268F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4">
    <w:name w:val="页眉 字符"/>
    <w:basedOn w:val="a0"/>
    <w:link w:val="a3"/>
    <w:uiPriority w:val="99"/>
    <w:rsid w:val="00D268F5"/>
  </w:style>
  <w:style w:type="paragraph" w:styleId="a5">
    <w:name w:val="footer"/>
    <w:basedOn w:val="a"/>
    <w:link w:val="a6"/>
    <w:uiPriority w:val="99"/>
    <w:unhideWhenUsed/>
    <w:rsid w:val="00D268F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6">
    <w:name w:val="页脚 字符"/>
    <w:basedOn w:val="a0"/>
    <w:link w:val="a5"/>
    <w:uiPriority w:val="99"/>
    <w:rsid w:val="00D268F5"/>
  </w:style>
  <w:style w:type="paragraph" w:styleId="a7">
    <w:name w:val="List Paragraph"/>
    <w:basedOn w:val="a"/>
    <w:uiPriority w:val="1"/>
    <w:qFormat/>
    <w:rsid w:val="00D268F5"/>
    <w:pPr>
      <w:widowControl/>
      <w:spacing w:after="0" w:line="260" w:lineRule="atLeast"/>
      <w:ind w:firstLineChars="200" w:firstLine="420"/>
    </w:pPr>
    <w:rPr>
      <w:rFonts w:ascii="Palatino Linotype" w:eastAsiaTheme="minorEastAsia" w:hAnsi="Palatino Linotype" w:cs="Times New Roman"/>
      <w:color w:val="000000"/>
      <w:kern w:val="2"/>
      <w:sz w:val="20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321</Words>
  <Characters>1834</Characters>
  <Application>Microsoft Office Word</Application>
  <DocSecurity>0</DocSecurity>
  <Lines>15</Lines>
  <Paragraphs>4</Paragraphs>
  <ScaleCrop>false</ScaleCrop>
  <Company/>
  <LinksUpToDate>false</LinksUpToDate>
  <CharactersWithSpaces>2151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2</cp:revision>
  <dcterms:created xsi:type="dcterms:W3CDTF">2025-07-24T03:00:00Z</dcterms:created>
  <dcterms:modified xsi:type="dcterms:W3CDTF">2025-07-24T03:02:00Z</dcterms:modified>
</cp:coreProperties>
</file>