
<file path=[Content_Types].xml><?xml version="1.0" encoding="utf-8"?>
<Types xmlns="http://schemas.openxmlformats.org/package/2006/content-types">
  <Default Extension="tiff" ContentType="image/tif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AFFF77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drawing>
          <wp:inline distT="0" distB="0" distL="0" distR="0">
            <wp:extent cx="5274310" cy="3877945"/>
            <wp:effectExtent l="0" t="0" r="2540" b="8255"/>
            <wp:docPr id="113027925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027925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77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C61283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Supplementary Fig</w:t>
      </w:r>
      <w:r>
        <w:rPr>
          <w:rFonts w:hint="eastAsia" w:ascii="Times New Roman" w:hAnsi="Times New Roman"/>
          <w:b/>
          <w:bCs/>
          <w:sz w:val="24"/>
          <w:szCs w:val="24"/>
          <w:lang w:val="en-US" w:eastAsia="zh-CN"/>
        </w:rPr>
        <w:t xml:space="preserve">ure </w:t>
      </w:r>
      <w:r>
        <w:rPr>
          <w:rFonts w:ascii="Times New Roman" w:hAnsi="Times New Roman"/>
          <w:b/>
          <w:bCs/>
          <w:sz w:val="24"/>
          <w:szCs w:val="24"/>
        </w:rPr>
        <w:t>1.</w:t>
      </w:r>
      <w:r>
        <w:rPr>
          <w:rFonts w:hint="eastAsia" w:ascii="Times New Roman" w:hAnsi="Times New Roman"/>
          <w:sz w:val="24"/>
          <w:szCs w:val="24"/>
        </w:rPr>
        <w:t xml:space="preserve"> Survival correlation and GPX4 expression COAD. </w:t>
      </w:r>
      <w:r>
        <w:rPr>
          <w:rFonts w:ascii="Times New Roman" w:hAnsi="Times New Roman"/>
          <w:sz w:val="24"/>
          <w:szCs w:val="24"/>
        </w:rPr>
        <w:t xml:space="preserve">(A) The relationship between GPX4 expression levels and OS of various cancers was analyzed by using the Sangerbox database. </w:t>
      </w:r>
      <w:r>
        <w:rPr>
          <w:rFonts w:hint="eastAsia" w:ascii="Times New Roman" w:hAnsi="Times New Roman"/>
          <w:sz w:val="24"/>
          <w:szCs w:val="24"/>
        </w:rPr>
        <w:t xml:space="preserve">(B) </w:t>
      </w:r>
      <w:r>
        <w:rPr>
          <w:rFonts w:ascii="Times New Roman" w:hAnsi="Times New Roman"/>
          <w:sz w:val="24"/>
          <w:szCs w:val="24"/>
        </w:rPr>
        <w:t>The relationship between GPX4</w:t>
      </w:r>
      <w:r>
        <w:rPr>
          <w:rFonts w:hint="eastAsia"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expression levels and O</w:t>
      </w:r>
      <w:r>
        <w:rPr>
          <w:rFonts w:hint="eastAsia" w:ascii="Times New Roman" w:hAnsi="Times New Roman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 xml:space="preserve"> of pan-cancers was analyzed using the Sangerbox website.</w:t>
      </w:r>
    </w:p>
    <w:p w14:paraId="01C0E37E">
      <w:pPr>
        <w:ind w:firstLine="480" w:firstLineChars="200"/>
        <w:rPr>
          <w:rFonts w:ascii="Times New Roman" w:hAnsi="Times New Roman"/>
          <w:sz w:val="24"/>
          <w:szCs w:val="24"/>
        </w:rPr>
      </w:pPr>
    </w:p>
    <w:p w14:paraId="5FE3F937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drawing>
          <wp:inline distT="0" distB="0" distL="0" distR="0">
            <wp:extent cx="5274310" cy="4213225"/>
            <wp:effectExtent l="0" t="0" r="2540" b="0"/>
            <wp:docPr id="85604987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6049876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1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DCA5C6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Supplementary Fig</w:t>
      </w:r>
      <w:r>
        <w:rPr>
          <w:rFonts w:hint="eastAsia" w:ascii="Times New Roman" w:hAnsi="Times New Roman"/>
          <w:b/>
          <w:bCs/>
          <w:sz w:val="24"/>
          <w:szCs w:val="24"/>
          <w:lang w:val="en-US" w:eastAsia="zh-CN"/>
        </w:rPr>
        <w:t>ure</w:t>
      </w:r>
      <w:r>
        <w:rPr>
          <w:rFonts w:ascii="Times New Roman" w:hAnsi="Times New Roman"/>
          <w:b/>
          <w:bCs/>
          <w:sz w:val="24"/>
          <w:szCs w:val="24"/>
        </w:rPr>
        <w:t xml:space="preserve"> </w:t>
      </w:r>
      <w:r>
        <w:rPr>
          <w:rFonts w:hint="eastAsia" w:ascii="Times New Roman" w:hAnsi="Times New Roman"/>
          <w:b/>
          <w:bCs/>
          <w:sz w:val="24"/>
          <w:szCs w:val="24"/>
        </w:rPr>
        <w:t>2</w:t>
      </w:r>
      <w:r>
        <w:rPr>
          <w:rFonts w:ascii="Times New Roman" w:hAnsi="Times New Roman"/>
          <w:b/>
          <w:bCs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hint="eastAsia" w:ascii="Times New Roman" w:hAnsi="Times New Roman"/>
          <w:sz w:val="24"/>
          <w:szCs w:val="24"/>
        </w:rPr>
        <w:t xml:space="preserve">Correlation analysis of differentially expressed genes with GPX4 and quantitative results. </w:t>
      </w:r>
      <w:r>
        <w:rPr>
          <w:rFonts w:ascii="Times New Roman" w:hAnsi="Times New Roman"/>
          <w:sz w:val="24"/>
          <w:szCs w:val="24"/>
        </w:rPr>
        <w:t>(A) Gene expression distribution within the GSE40287 dataset</w:t>
      </w:r>
      <w:r>
        <w:rPr>
          <w:rFonts w:hint="eastAsia" w:ascii="Times New Roman" w:hAnsi="Times New Roman"/>
          <w:sz w:val="24"/>
          <w:szCs w:val="24"/>
        </w:rPr>
        <w:t>. Circles</w:t>
      </w:r>
      <w:r>
        <w:rPr>
          <w:rFonts w:ascii="Times New Roman" w:hAnsi="Times New Roman"/>
          <w:sz w:val="24"/>
          <w:szCs w:val="24"/>
        </w:rPr>
        <w:t>′</w:t>
      </w:r>
      <w:r>
        <w:rPr>
          <w:rFonts w:hint="eastAsia" w:ascii="Times New Roman" w:hAnsi="Times New Roman"/>
          <w:sz w:val="24"/>
          <w:szCs w:val="24"/>
        </w:rPr>
        <w:t xml:space="preserve"> size represents |log</w:t>
      </w:r>
      <w:r>
        <w:rPr>
          <w:rFonts w:hint="eastAsia" w:ascii="Times New Roman" w:hAnsi="Times New Roman"/>
          <w:sz w:val="24"/>
          <w:szCs w:val="24"/>
          <w:vertAlign w:val="subscript"/>
        </w:rPr>
        <w:t>2</w:t>
      </w:r>
      <w:r>
        <w:rPr>
          <w:rFonts w:hint="eastAsia" w:ascii="Times New Roman" w:hAnsi="Times New Roman"/>
          <w:sz w:val="24"/>
          <w:szCs w:val="24"/>
        </w:rPr>
        <w:t xml:space="preserve"> (fold change)| degree.</w:t>
      </w:r>
      <w:r>
        <w:rPr>
          <w:rFonts w:ascii="Times New Roman" w:hAnsi="Times New Roman"/>
          <w:sz w:val="24"/>
          <w:szCs w:val="24"/>
        </w:rPr>
        <w:t xml:space="preserve"> (B) Expression of 10 GPX4-related genes in patients with COAD. (C) GPX4-related genes expression relevance with the expression of GPX4 in COAD.</w:t>
      </w:r>
      <w:r>
        <w:rPr>
          <w:rFonts w:hint="eastAsia" w:ascii="Times New Roman" w:hAnsi="Times New Roman"/>
          <w:sz w:val="24"/>
          <w:szCs w:val="24"/>
        </w:rPr>
        <w:t xml:space="preserve"> (D) </w:t>
      </w:r>
      <w:r>
        <w:rPr>
          <w:rFonts w:ascii="Times New Roman" w:hAnsi="Times New Roman"/>
          <w:sz w:val="24"/>
          <w:szCs w:val="24"/>
        </w:rPr>
        <w:t>Representative results of 5-ethynyl-2′-deoxyuridine staining.</w:t>
      </w:r>
      <w:r>
        <w:rPr>
          <w:rFonts w:hint="eastAsia" w:ascii="Times New Roman" w:hAnsi="Times New Roman"/>
          <w:sz w:val="24"/>
          <w:szCs w:val="24"/>
        </w:rPr>
        <w:t xml:space="preserve"> (E) </w:t>
      </w:r>
      <w:r>
        <w:rPr>
          <w:rFonts w:ascii="Times New Roman" w:hAnsi="Times New Roman"/>
          <w:sz w:val="24"/>
          <w:szCs w:val="24"/>
        </w:rPr>
        <w:t xml:space="preserve">Representative results of </w:t>
      </w:r>
      <w:r>
        <w:rPr>
          <w:rFonts w:hint="eastAsia" w:ascii="Times New Roman" w:hAnsi="Times New Roman"/>
          <w:sz w:val="24"/>
          <w:szCs w:val="24"/>
        </w:rPr>
        <w:t>i</w:t>
      </w:r>
      <w:r>
        <w:rPr>
          <w:rFonts w:ascii="Times New Roman" w:hAnsi="Times New Roman"/>
          <w:sz w:val="24"/>
          <w:szCs w:val="24"/>
        </w:rPr>
        <w:t>mmunofluorescence staining</w:t>
      </w:r>
      <w:r>
        <w:rPr>
          <w:rFonts w:hint="eastAsia" w:ascii="Times New Roman" w:hAnsi="Times New Roman"/>
          <w:sz w:val="24"/>
          <w:szCs w:val="24"/>
        </w:rPr>
        <w:t xml:space="preserve"> (</w:t>
      </w:r>
      <w:r>
        <w:rPr>
          <w:rFonts w:ascii="Times New Roman" w:hAnsi="Times New Roman"/>
          <w:sz w:val="24"/>
          <w:szCs w:val="24"/>
        </w:rPr>
        <w:t>*</w:t>
      </w:r>
      <w:r>
        <w:rPr>
          <w:rFonts w:ascii="Times New Roman" w:hAnsi="Times New Roman"/>
          <w:i/>
          <w:iCs/>
          <w:sz w:val="24"/>
          <w:szCs w:val="24"/>
        </w:rPr>
        <w:t>p</w:t>
      </w:r>
      <w:r>
        <w:rPr>
          <w:rFonts w:ascii="Times New Roman" w:hAnsi="Times New Roman"/>
          <w:sz w:val="24"/>
          <w:szCs w:val="24"/>
        </w:rPr>
        <w:t xml:space="preserve"> &lt; 0.05; **</w:t>
      </w:r>
      <w:r>
        <w:rPr>
          <w:rFonts w:ascii="Times New Roman" w:hAnsi="Times New Roman"/>
          <w:i/>
          <w:iCs/>
          <w:sz w:val="24"/>
          <w:szCs w:val="24"/>
        </w:rPr>
        <w:t>p</w:t>
      </w:r>
      <w:r>
        <w:rPr>
          <w:rFonts w:ascii="Times New Roman" w:hAnsi="Times New Roman"/>
          <w:sz w:val="24"/>
          <w:szCs w:val="24"/>
        </w:rPr>
        <w:t xml:space="preserve"> &lt; 0.01</w:t>
      </w:r>
      <w:r>
        <w:rPr>
          <w:rFonts w:hint="eastAsia" w:ascii="Times New Roman" w:hAnsi="Times New Roman"/>
          <w:sz w:val="24"/>
          <w:szCs w:val="24"/>
        </w:rPr>
        <w:t>; ***</w:t>
      </w:r>
      <w:r>
        <w:rPr>
          <w:rFonts w:hint="eastAsia" w:ascii="Times New Roman" w:hAnsi="Times New Roman"/>
          <w:i/>
          <w:iCs/>
          <w:sz w:val="24"/>
          <w:szCs w:val="24"/>
        </w:rPr>
        <w:t>p</w:t>
      </w:r>
      <w:r>
        <w:rPr>
          <w:rFonts w:hint="eastAsia" w:ascii="Times New Roman" w:hAnsi="Times New Roman"/>
          <w:sz w:val="24"/>
          <w:szCs w:val="24"/>
        </w:rPr>
        <w:t xml:space="preserve"> &lt; 0.001)</w:t>
      </w:r>
      <w:r>
        <w:rPr>
          <w:rFonts w:ascii="Times New Roman" w:hAnsi="Times New Roman"/>
          <w:sz w:val="24"/>
          <w:szCs w:val="24"/>
        </w:rPr>
        <w:t>.</w:t>
      </w:r>
    </w:p>
    <w:p w14:paraId="76D071E5">
      <w:pPr>
        <w:rPr>
          <w:rFonts w:ascii="Times New Roman" w:hAnsi="Times New Roman"/>
          <w:sz w:val="24"/>
          <w:szCs w:val="24"/>
          <w:shd w:val="clear" w:color="auto" w:fill="B5C7EA" w:themeFill="accent1" w:themeFillTint="66"/>
        </w:rPr>
      </w:pPr>
    </w:p>
    <w:p w14:paraId="35AE5DA5">
      <w:pPr>
        <w:jc w:val="center"/>
        <w:rPr>
          <w:rFonts w:ascii="Times New Roman" w:hAnsi="Times New Roman"/>
          <w:sz w:val="24"/>
          <w:szCs w:val="24"/>
          <w:shd w:val="clear" w:color="auto" w:fill="B5C7EA" w:themeFill="accent1" w:themeFillTint="66"/>
        </w:rPr>
      </w:pPr>
      <w:r>
        <w:rPr>
          <w:rFonts w:ascii="Times New Roman" w:hAnsi="Times New Roman"/>
          <w:sz w:val="24"/>
          <w:szCs w:val="24"/>
          <w:shd w:val="clear" w:color="auto" w:fill="B5C7EA" w:themeFill="accent1" w:themeFillTint="66"/>
        </w:rPr>
        <w:drawing>
          <wp:inline distT="0" distB="0" distL="0" distR="0">
            <wp:extent cx="5274310" cy="6515100"/>
            <wp:effectExtent l="0" t="0" r="2540" b="0"/>
            <wp:docPr id="205475559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755592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51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4B5BBA">
      <w:r>
        <w:rPr>
          <w:rFonts w:ascii="Times New Roman" w:hAnsi="Times New Roman"/>
          <w:b/>
          <w:bCs/>
          <w:sz w:val="24"/>
          <w:szCs w:val="24"/>
        </w:rPr>
        <w:t>Supplementary Fig</w:t>
      </w:r>
      <w:r>
        <w:rPr>
          <w:rFonts w:hint="eastAsia" w:ascii="Times New Roman" w:hAnsi="Times New Roman"/>
          <w:b/>
          <w:bCs/>
          <w:sz w:val="24"/>
          <w:szCs w:val="24"/>
          <w:lang w:val="en-US" w:eastAsia="zh-CN"/>
        </w:rPr>
        <w:t>ure</w:t>
      </w:r>
      <w:r>
        <w:rPr>
          <w:rFonts w:ascii="Times New Roman" w:hAnsi="Times New Roman"/>
          <w:b/>
          <w:bCs/>
          <w:sz w:val="24"/>
          <w:szCs w:val="24"/>
        </w:rPr>
        <w:t xml:space="preserve"> </w:t>
      </w:r>
      <w:bookmarkStart w:id="0" w:name="_GoBack"/>
      <w:bookmarkEnd w:id="0"/>
      <w:r>
        <w:rPr>
          <w:rFonts w:hint="eastAsia" w:ascii="Times New Roman" w:hAnsi="Times New Roman"/>
          <w:b/>
          <w:bCs/>
          <w:sz w:val="24"/>
          <w:szCs w:val="24"/>
        </w:rPr>
        <w:t>3</w:t>
      </w:r>
      <w:r>
        <w:rPr>
          <w:rFonts w:ascii="Times New Roman" w:hAnsi="Times New Roman"/>
          <w:b/>
          <w:bCs/>
          <w:sz w:val="24"/>
          <w:szCs w:val="24"/>
        </w:rPr>
        <w:t>.</w:t>
      </w:r>
      <w:r>
        <w:rPr>
          <w:rFonts w:hint="eastAsia" w:ascii="Times New Roman" w:hAnsi="Times New Roman"/>
          <w:b/>
          <w:bCs/>
          <w:sz w:val="24"/>
          <w:szCs w:val="24"/>
        </w:rPr>
        <w:t xml:space="preserve"> </w:t>
      </w:r>
      <w:r>
        <w:rPr>
          <w:rFonts w:hint="eastAsia" w:ascii="Times New Roman" w:hAnsi="Times New Roman"/>
          <w:sz w:val="24"/>
          <w:szCs w:val="24"/>
        </w:rPr>
        <w:t>GPX4 contributes to multiple immune cell infiltration.</w:t>
      </w:r>
      <w:r>
        <w:rPr>
          <w:rFonts w:hint="eastAsia" w:ascii="Times New Roman" w:hAnsi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(A) Relationship between GPX4</w:t>
      </w:r>
      <w:r>
        <w:rPr>
          <w:rFonts w:hint="eastAsia"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expression and various immune cell types in colorectal adenocarcinoma analysis using the XIANTAO platform.</w:t>
      </w:r>
      <w:r>
        <w:rPr>
          <w:rFonts w:hint="eastAsia"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(B) O</w:t>
      </w:r>
      <w:r>
        <w:rPr>
          <w:rFonts w:hint="eastAsia" w:ascii="Times New Roman" w:hAnsi="Times New Roman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 xml:space="preserve"> of patients with cytotoxic T lymphocytes dysfunction and GPX4 protein expression based on GSE39582 and GSE12945 datasets</w:t>
      </w:r>
      <w:r>
        <w:rPr>
          <w:rFonts w:hint="eastAsia"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(ns</w:t>
      </w:r>
      <w:r>
        <w:rPr>
          <w:rFonts w:ascii="Times New Roman" w:hAnsi="Times New Roman"/>
          <w:color w:val="000000"/>
        </w:rPr>
        <w:t xml:space="preserve">, </w:t>
      </w:r>
      <w:r>
        <w:rPr>
          <w:rFonts w:hint="eastAsia" w:ascii="Times New Roman" w:hAnsi="Times New Roman"/>
          <w:color w:val="000000"/>
        </w:rPr>
        <w:t>*</w:t>
      </w:r>
      <w:r>
        <w:rPr>
          <w:rFonts w:ascii="Times New Roman" w:hAnsi="Times New Roman"/>
          <w:i/>
          <w:iCs/>
          <w:sz w:val="24"/>
          <w:szCs w:val="24"/>
        </w:rPr>
        <w:t>p</w:t>
      </w:r>
      <w:r>
        <w:rPr>
          <w:rFonts w:ascii="Times New Roman" w:hAnsi="Times New Roman"/>
          <w:sz w:val="24"/>
          <w:szCs w:val="24"/>
        </w:rPr>
        <w:t xml:space="preserve"> ≥ 0.05</w:t>
      </w:r>
      <w:r>
        <w:rPr>
          <w:rFonts w:hint="eastAsia" w:ascii="Times New Roman" w:hAnsi="Times New Roman"/>
          <w:sz w:val="24"/>
          <w:szCs w:val="24"/>
        </w:rPr>
        <w:t xml:space="preserve">; </w:t>
      </w:r>
      <w:r>
        <w:rPr>
          <w:rFonts w:ascii="Times New Roman" w:hAnsi="Times New Roman"/>
          <w:sz w:val="24"/>
          <w:szCs w:val="24"/>
        </w:rPr>
        <w:t>***</w:t>
      </w:r>
      <w:r>
        <w:rPr>
          <w:rFonts w:ascii="Times New Roman" w:hAnsi="Times New Roman"/>
          <w:i/>
          <w:iCs/>
          <w:sz w:val="24"/>
          <w:szCs w:val="24"/>
        </w:rPr>
        <w:t>p</w:t>
      </w:r>
      <w:r>
        <w:rPr>
          <w:rFonts w:ascii="Times New Roman" w:hAnsi="Times New Roman"/>
          <w:sz w:val="24"/>
          <w:szCs w:val="24"/>
        </w:rPr>
        <w:t xml:space="preserve"> &lt; 0.</w:t>
      </w:r>
      <w:r>
        <w:rPr>
          <w:rFonts w:hint="eastAsia" w:ascii="Times New Roman" w:hAnsi="Times New Roman"/>
          <w:sz w:val="24"/>
          <w:szCs w:val="24"/>
        </w:rPr>
        <w:t>0</w:t>
      </w:r>
      <w:r>
        <w:rPr>
          <w:rFonts w:ascii="Times New Roman" w:hAnsi="Times New Roman"/>
          <w:sz w:val="24"/>
          <w:szCs w:val="24"/>
        </w:rPr>
        <w:t>01</w:t>
      </w:r>
      <w:r>
        <w:rPr>
          <w:rFonts w:hint="eastAsia"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>.</w:t>
      </w:r>
    </w:p>
    <w:p w14:paraId="4F0AF823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8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319BF"/>
    <w:rsid w:val="000319BF"/>
    <w:rsid w:val="000E3EED"/>
    <w:rsid w:val="002F782F"/>
    <w:rsid w:val="00A905D8"/>
    <w:rsid w:val="00BA61BE"/>
    <w:rsid w:val="00C25737"/>
    <w:rsid w:val="0A6D7B38"/>
    <w:rsid w:val="22573150"/>
    <w:rsid w:val="2C811F9E"/>
    <w:rsid w:val="31061FC9"/>
    <w:rsid w:val="425F778B"/>
    <w:rsid w:val="47E35044"/>
    <w:rsid w:val="58CA63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4:defaultImageDpi w14:val="330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1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qFormat/>
    <w:uiPriority w:val="0"/>
    <w:pPr>
      <w:jc w:val="left"/>
    </w:pPr>
  </w:style>
  <w:style w:type="character" w:styleId="5">
    <w:name w:val="annotation reference"/>
    <w:basedOn w:val="4"/>
    <w:qFormat/>
    <w:uiPriority w:val="0"/>
    <w:rPr>
      <w:sz w:val="21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117</Words>
  <Characters>730</Characters>
  <Lines>8</Lines>
  <Paragraphs>2</Paragraphs>
  <TotalTime>41</TotalTime>
  <ScaleCrop>false</ScaleCrop>
  <LinksUpToDate>false</LinksUpToDate>
  <CharactersWithSpaces>845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2025-03-24T10:58:00Z</dcterms:created>
  <dc:creator>-</dc:creator>
  <cp:lastModifiedBy>Zephyrine</cp:lastModifiedBy>
  <dcterms:modified xsi:type="dcterms:W3CDTF">2025-03-26T02:26:26Z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KSOTemplateDocerSaveRecord">
    <vt:lpwstr>eyJoZGlkIjoiYzZkNzQ4ZWFiZmQ4NTRhOWRkZTk3YTMwMjlmMmZhYmUiLCJ1c2VySWQiOiI0NDYzNzMxNTMifQ==</vt:lpwstr>
  </property>
  <property fmtid="{D5CDD505-2E9C-101B-9397-08002B2CF9AE}" pid="4" name="ICV">
    <vt:lpwstr>8D388E0D2EC448AA92A220EF2FE412AB_12</vt:lpwstr>
  </property>
</Properties>
</file>