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2793C1"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drawing>
          <wp:inline distT="0" distB="0" distL="0" distR="0" wp14:anchorId="1FC399C5" wp14:editId="2DEED8C2">
            <wp:extent cx="5266690" cy="5018405"/>
            <wp:effectExtent l="0" t="0" r="0" b="0"/>
            <wp:docPr id="20435186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518653" name="图片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266690" cy="5018405"/>
                    </a:xfrm>
                    <a:prstGeom prst="rect">
                      <a:avLst/>
                    </a:prstGeom>
                    <a:noFill/>
                    <a:ln>
                      <a:noFill/>
                    </a:ln>
                  </pic:spPr>
                </pic:pic>
              </a:graphicData>
            </a:graphic>
          </wp:inline>
        </w:drawing>
      </w:r>
    </w:p>
    <w:p w14:paraId="4A5C2B87" w14:textId="3F6597CB" w:rsidR="00DF76E4" w:rsidRDefault="00DF76E4" w:rsidP="00DF76E4">
      <w:pPr>
        <w:spacing w:line="360" w:lineRule="auto"/>
        <w:rPr>
          <w:rFonts w:ascii="Times New Roman" w:hAnsi="Times New Roman"/>
          <w:b/>
          <w:bCs/>
          <w:sz w:val="24"/>
          <w:szCs w:val="24"/>
        </w:rPr>
      </w:pPr>
      <w:r>
        <w:rPr>
          <w:rFonts w:ascii="Times New Roman" w:hAnsi="Times New Roman"/>
          <w:b/>
          <w:bCs/>
          <w:sz w:val="24"/>
          <w:szCs w:val="24"/>
        </w:rPr>
        <w:t xml:space="preserve">Supplementary Figure </w:t>
      </w:r>
      <w:r w:rsidR="0029552E">
        <w:rPr>
          <w:rFonts w:ascii="Times New Roman" w:hAnsi="Times New Roman" w:hint="eastAsia"/>
          <w:b/>
          <w:bCs/>
          <w:sz w:val="24"/>
          <w:szCs w:val="24"/>
        </w:rPr>
        <w:t>S</w:t>
      </w:r>
      <w:r>
        <w:rPr>
          <w:rFonts w:ascii="Times New Roman" w:hAnsi="Times New Roman"/>
          <w:b/>
          <w:bCs/>
          <w:sz w:val="24"/>
          <w:szCs w:val="24"/>
        </w:rPr>
        <w:t>1</w:t>
      </w:r>
      <w:r>
        <w:rPr>
          <w:rFonts w:ascii="Times New Roman" w:hAnsi="Times New Roman" w:hint="eastAsia"/>
          <w:b/>
          <w:bCs/>
          <w:sz w:val="24"/>
          <w:szCs w:val="24"/>
        </w:rPr>
        <w:t>.</w:t>
      </w:r>
      <w:r>
        <w:rPr>
          <w:rFonts w:ascii="Times New Roman" w:hAnsi="Times New Roman"/>
          <w:b/>
          <w:bCs/>
          <w:sz w:val="24"/>
          <w:szCs w:val="24"/>
        </w:rPr>
        <w:t xml:space="preserve"> Identification of molecular subtypes in CRC based on DEGs from the GSE123390 dataset.</w:t>
      </w:r>
    </w:p>
    <w:p w14:paraId="4CFEC0C5" w14:textId="77777777" w:rsidR="00DF76E4" w:rsidRDefault="00DF76E4" w:rsidP="00DF76E4">
      <w:pPr>
        <w:spacing w:line="360" w:lineRule="auto"/>
        <w:rPr>
          <w:rFonts w:ascii="Times New Roman" w:hAnsi="Times New Roman"/>
          <w:sz w:val="24"/>
        </w:rPr>
      </w:pPr>
      <w:r>
        <w:rPr>
          <w:rFonts w:ascii="Times New Roman" w:hAnsi="Times New Roman"/>
          <w:sz w:val="24"/>
          <w:szCs w:val="24"/>
        </w:rPr>
        <w:t>(A) Cumulative distribution function (CDF) curves for k = 2 to k = 6 clusters. The CDF curve becomes smoother and more saturated as the number of clusters increases, indicating increasing stability.</w:t>
      </w:r>
    </w:p>
    <w:p w14:paraId="64362087" w14:textId="77777777" w:rsidR="00DF76E4" w:rsidRDefault="00DF76E4" w:rsidP="00DF76E4">
      <w:pPr>
        <w:spacing w:line="360" w:lineRule="auto"/>
        <w:rPr>
          <w:rFonts w:ascii="Times New Roman" w:hAnsi="Times New Roman"/>
          <w:sz w:val="24"/>
        </w:rPr>
      </w:pPr>
      <w:r>
        <w:rPr>
          <w:rFonts w:ascii="Times New Roman" w:hAnsi="Times New Roman"/>
          <w:sz w:val="24"/>
          <w:szCs w:val="24"/>
        </w:rPr>
        <w:t>(B) Delta area plot showing the relative change in the area under the CDF curve for each k. It is most significant at k = 3, and the curve flattens at k = 5, indicating that it is the optimal number of clusters.</w:t>
      </w:r>
    </w:p>
    <w:p w14:paraId="0B8AC884" w14:textId="77777777" w:rsidR="00DF76E4" w:rsidRDefault="00DF76E4" w:rsidP="00DF76E4">
      <w:pPr>
        <w:spacing w:line="360" w:lineRule="auto"/>
        <w:rPr>
          <w:rFonts w:ascii="Times New Roman" w:hAnsi="Times New Roman"/>
          <w:sz w:val="24"/>
        </w:rPr>
      </w:pPr>
      <w:r>
        <w:rPr>
          <w:rFonts w:ascii="Times New Roman" w:hAnsi="Times New Roman"/>
          <w:sz w:val="24"/>
          <w:szCs w:val="24"/>
        </w:rPr>
        <w:t>(C) Consensus heatmap for k = 5. Columns of different colors represent different categories (C1-C5).</w:t>
      </w:r>
    </w:p>
    <w:p w14:paraId="663B31E3" w14:textId="77777777" w:rsidR="00DF76E4" w:rsidRDefault="00DF76E4" w:rsidP="00DF76E4">
      <w:pPr>
        <w:spacing w:line="360" w:lineRule="auto"/>
        <w:rPr>
          <w:rFonts w:ascii="Times New Roman" w:hAnsi="Times New Roman"/>
          <w:sz w:val="24"/>
        </w:rPr>
      </w:pPr>
      <w:r>
        <w:rPr>
          <w:rFonts w:ascii="Times New Roman" w:hAnsi="Times New Roman"/>
          <w:sz w:val="24"/>
          <w:szCs w:val="24"/>
        </w:rPr>
        <w:t>(D) Heatmap of 441 genes in the C1 to C5 groupings. Columns represent samples, grouped by cluster assignment (C1 to C5), and rows represent genes. Red and blue represent high and low expression levels, respectively.</w:t>
      </w:r>
    </w:p>
    <w:p w14:paraId="07F5CBAD" w14:textId="77777777" w:rsidR="00DF76E4" w:rsidRDefault="00DF76E4" w:rsidP="00DF76E4">
      <w:pPr>
        <w:spacing w:line="360" w:lineRule="auto"/>
        <w:rPr>
          <w:rFonts w:ascii="Times New Roman" w:hAnsi="Times New Roman"/>
          <w:b/>
          <w:bCs/>
          <w:sz w:val="24"/>
          <w:szCs w:val="24"/>
        </w:rPr>
      </w:pPr>
    </w:p>
    <w:p w14:paraId="7B936923" w14:textId="77777777" w:rsidR="00DF76E4" w:rsidRDefault="00DF76E4" w:rsidP="00DF76E4">
      <w:pPr>
        <w:spacing w:line="360" w:lineRule="auto"/>
        <w:rPr>
          <w:rFonts w:ascii="Times New Roman" w:hAnsi="Times New Roman"/>
          <w:b/>
          <w:bCs/>
          <w:sz w:val="24"/>
          <w:szCs w:val="24"/>
        </w:rPr>
      </w:pPr>
      <w:r>
        <w:rPr>
          <w:rFonts w:ascii="Times New Roman" w:hAnsi="Times New Roman"/>
          <w:b/>
          <w:bCs/>
          <w:sz w:val="24"/>
          <w:szCs w:val="24"/>
        </w:rPr>
        <w:lastRenderedPageBreak/>
        <w:drawing>
          <wp:inline distT="0" distB="0" distL="114300" distR="114300" wp14:anchorId="3EFE5B2D" wp14:editId="3EFC98E0">
            <wp:extent cx="3575050" cy="1316990"/>
            <wp:effectExtent l="0" t="0" r="6350" b="16510"/>
            <wp:docPr id="12" name="图片 12" descr="Supplementary Figure 2-revis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Supplementary Figure 2-revised"/>
                    <pic:cNvPicPr>
                      <a:picLocks noChangeAspect="1"/>
                    </pic:cNvPicPr>
                  </pic:nvPicPr>
                  <pic:blipFill>
                    <a:blip r:embed="rId8"/>
                    <a:stretch>
                      <a:fillRect/>
                    </a:stretch>
                  </pic:blipFill>
                  <pic:spPr>
                    <a:xfrm>
                      <a:off x="0" y="0"/>
                      <a:ext cx="3575050" cy="1316990"/>
                    </a:xfrm>
                    <a:prstGeom prst="rect">
                      <a:avLst/>
                    </a:prstGeom>
                  </pic:spPr>
                </pic:pic>
              </a:graphicData>
            </a:graphic>
          </wp:inline>
        </w:drawing>
      </w:r>
    </w:p>
    <w:p w14:paraId="613553E1" w14:textId="3A63EEB9" w:rsidR="00DF76E4" w:rsidRDefault="00DF76E4" w:rsidP="00DF76E4">
      <w:pPr>
        <w:spacing w:line="360" w:lineRule="auto"/>
        <w:rPr>
          <w:rFonts w:ascii="Times New Roman" w:hAnsi="Times New Roman"/>
          <w:b/>
          <w:bCs/>
          <w:sz w:val="24"/>
          <w:szCs w:val="24"/>
        </w:rPr>
      </w:pPr>
      <w:r>
        <w:rPr>
          <w:rFonts w:ascii="Times New Roman" w:hAnsi="Times New Roman"/>
          <w:b/>
          <w:bCs/>
          <w:sz w:val="24"/>
          <w:szCs w:val="24"/>
        </w:rPr>
        <w:t xml:space="preserve">Supplementary Figure </w:t>
      </w:r>
      <w:r w:rsidR="00BB77A8">
        <w:rPr>
          <w:rFonts w:ascii="Times New Roman" w:hAnsi="Times New Roman" w:hint="eastAsia"/>
          <w:b/>
          <w:bCs/>
          <w:sz w:val="24"/>
          <w:szCs w:val="24"/>
        </w:rPr>
        <w:t>S</w:t>
      </w:r>
      <w:r>
        <w:rPr>
          <w:rFonts w:ascii="Times New Roman" w:hAnsi="Times New Roman"/>
          <w:b/>
          <w:bCs/>
          <w:sz w:val="24"/>
          <w:szCs w:val="24"/>
        </w:rPr>
        <w:t>2. Fluorescence images of transfection efficiency for MYH11 and ZEB1 overexpression plasmids in HT29 and HCT116 cell lines.</w:t>
      </w:r>
    </w:p>
    <w:p w14:paraId="55DFDBCB"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t>(A) HT29 and HCT116 cells were transfected with pcDNA-3.1-GFP-MYH11, and green fluorescence was observed under a fluorescence microscope after 48 hours, indicating successful transfection.</w:t>
      </w:r>
      <w:r>
        <w:rPr>
          <w:rFonts w:ascii="Times New Roman" w:hAnsi="Times New Roman" w:hint="eastAsia"/>
          <w:sz w:val="24"/>
          <w:szCs w:val="24"/>
        </w:rPr>
        <w:t xml:space="preserve"> </w:t>
      </w:r>
      <w:r>
        <w:rPr>
          <w:rFonts w:ascii="Times New Roman" w:hAnsi="Times New Roman"/>
          <w:sz w:val="24"/>
          <w:szCs w:val="24"/>
        </w:rPr>
        <w:t>Scale bar: 100μm.</w:t>
      </w:r>
    </w:p>
    <w:p w14:paraId="07FFDAA8"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t>(B) HT29 and HCT116 cells were transfected with pcDNA-3.1-GFP-ZEB1, and transfection efficiency was similarly evaluated based on GFP fluorescence.</w:t>
      </w:r>
      <w:r>
        <w:rPr>
          <w:rFonts w:ascii="Times New Roman" w:hAnsi="Times New Roman" w:hint="eastAsia"/>
          <w:sz w:val="24"/>
          <w:szCs w:val="24"/>
        </w:rPr>
        <w:t xml:space="preserve"> </w:t>
      </w:r>
      <w:r>
        <w:rPr>
          <w:rFonts w:ascii="Times New Roman" w:hAnsi="Times New Roman"/>
          <w:sz w:val="24"/>
          <w:szCs w:val="24"/>
        </w:rPr>
        <w:t>Scale bar: 100μm.</w:t>
      </w:r>
    </w:p>
    <w:p w14:paraId="7D7425AF" w14:textId="77777777" w:rsidR="00DF76E4" w:rsidRDefault="00DF76E4" w:rsidP="00DF76E4">
      <w:pPr>
        <w:spacing w:line="360" w:lineRule="auto"/>
        <w:rPr>
          <w:rFonts w:ascii="Times New Roman" w:hAnsi="Times New Roman"/>
          <w:b/>
          <w:bCs/>
          <w:sz w:val="24"/>
          <w:szCs w:val="24"/>
        </w:rPr>
      </w:pPr>
    </w:p>
    <w:p w14:paraId="6BD6B5CA"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drawing>
          <wp:inline distT="0" distB="0" distL="0" distR="0" wp14:anchorId="7B81A6CF" wp14:editId="37E94072">
            <wp:extent cx="5266690" cy="4981575"/>
            <wp:effectExtent l="0" t="0" r="0" b="9525"/>
            <wp:docPr id="212590674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906746" name="图片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266690" cy="4981575"/>
                    </a:xfrm>
                    <a:prstGeom prst="rect">
                      <a:avLst/>
                    </a:prstGeom>
                    <a:noFill/>
                    <a:ln>
                      <a:noFill/>
                    </a:ln>
                  </pic:spPr>
                </pic:pic>
              </a:graphicData>
            </a:graphic>
          </wp:inline>
        </w:drawing>
      </w:r>
    </w:p>
    <w:p w14:paraId="2708F31B" w14:textId="4E97DF7E" w:rsidR="00DF76E4" w:rsidRDefault="00DF76E4" w:rsidP="00DF76E4">
      <w:pPr>
        <w:spacing w:line="360" w:lineRule="auto"/>
        <w:rPr>
          <w:rFonts w:ascii="Times New Roman" w:hAnsi="Times New Roman"/>
          <w:b/>
          <w:bCs/>
          <w:sz w:val="24"/>
          <w:szCs w:val="24"/>
        </w:rPr>
      </w:pPr>
      <w:r>
        <w:rPr>
          <w:rFonts w:ascii="Times New Roman" w:hAnsi="Times New Roman"/>
          <w:b/>
          <w:bCs/>
          <w:sz w:val="24"/>
          <w:szCs w:val="24"/>
        </w:rPr>
        <w:lastRenderedPageBreak/>
        <w:t xml:space="preserve">Supplementary Figure </w:t>
      </w:r>
      <w:r w:rsidR="003172E3">
        <w:rPr>
          <w:rFonts w:ascii="Times New Roman" w:hAnsi="Times New Roman" w:hint="eastAsia"/>
          <w:b/>
          <w:bCs/>
          <w:sz w:val="24"/>
          <w:szCs w:val="24"/>
        </w:rPr>
        <w:t>S</w:t>
      </w:r>
      <w:r>
        <w:rPr>
          <w:rFonts w:ascii="Times New Roman" w:hAnsi="Times New Roman" w:hint="eastAsia"/>
          <w:b/>
          <w:bCs/>
          <w:sz w:val="24"/>
          <w:szCs w:val="24"/>
        </w:rPr>
        <w:t>3</w:t>
      </w:r>
      <w:r>
        <w:rPr>
          <w:rFonts w:ascii="Times New Roman" w:hAnsi="Times New Roman"/>
          <w:b/>
          <w:bCs/>
          <w:sz w:val="24"/>
          <w:szCs w:val="24"/>
        </w:rPr>
        <w:t xml:space="preserve">. Knockdown of </w:t>
      </w:r>
      <w:r>
        <w:rPr>
          <w:rFonts w:ascii="Times New Roman" w:hAnsi="Times New Roman"/>
          <w:b/>
          <w:bCs/>
          <w:i/>
          <w:iCs/>
          <w:sz w:val="24"/>
          <w:szCs w:val="24"/>
        </w:rPr>
        <w:t>MYH11</w:t>
      </w:r>
      <w:r>
        <w:rPr>
          <w:rFonts w:ascii="Times New Roman" w:hAnsi="Times New Roman"/>
          <w:b/>
          <w:bCs/>
          <w:sz w:val="24"/>
          <w:szCs w:val="24"/>
        </w:rPr>
        <w:t xml:space="preserve"> promotes EMT in CRC cells.</w:t>
      </w:r>
    </w:p>
    <w:p w14:paraId="1D631BDE"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t xml:space="preserve">(A) qRT-PCR detected </w:t>
      </w:r>
      <w:r>
        <w:rPr>
          <w:rFonts w:ascii="Times New Roman" w:hAnsi="Times New Roman"/>
          <w:i/>
          <w:iCs/>
          <w:sz w:val="24"/>
          <w:szCs w:val="24"/>
        </w:rPr>
        <w:t>MYH11</w:t>
      </w:r>
      <w:r>
        <w:rPr>
          <w:rFonts w:ascii="Times New Roman" w:hAnsi="Times New Roman"/>
          <w:sz w:val="24"/>
          <w:szCs w:val="24"/>
        </w:rPr>
        <w:t xml:space="preserve"> mRNA expression in CRC cells with </w:t>
      </w:r>
      <w:r>
        <w:rPr>
          <w:rFonts w:ascii="Times New Roman" w:hAnsi="Times New Roman"/>
          <w:i/>
          <w:iCs/>
          <w:sz w:val="24"/>
          <w:szCs w:val="24"/>
        </w:rPr>
        <w:t xml:space="preserve">MYH11 </w:t>
      </w:r>
      <w:r>
        <w:rPr>
          <w:rFonts w:ascii="Times New Roman" w:hAnsi="Times New Roman"/>
          <w:sz w:val="24"/>
          <w:szCs w:val="24"/>
        </w:rPr>
        <w:t xml:space="preserve">knockdown. (B and C) WB detected the protein expression level of MYH11 in CRC cells with </w:t>
      </w:r>
      <w:r>
        <w:rPr>
          <w:rFonts w:ascii="Times New Roman" w:hAnsi="Times New Roman"/>
          <w:i/>
          <w:iCs/>
          <w:sz w:val="24"/>
          <w:szCs w:val="24"/>
        </w:rPr>
        <w:t xml:space="preserve">MYH11 </w:t>
      </w:r>
      <w:r>
        <w:rPr>
          <w:rFonts w:ascii="Times New Roman" w:hAnsi="Times New Roman"/>
          <w:sz w:val="24"/>
          <w:szCs w:val="24"/>
        </w:rPr>
        <w:t xml:space="preserve">knockdown, and performed quantitative analysis. (D and F) WB detected the protein expression levels of EMT-related proteins (E-cadherin, N-cadherin, Vimentin, and ZEB1) in HT29 (D) and HCT116 (F) cells with </w:t>
      </w:r>
      <w:r>
        <w:rPr>
          <w:rFonts w:ascii="Times New Roman" w:hAnsi="Times New Roman"/>
          <w:i/>
          <w:iCs/>
          <w:sz w:val="24"/>
          <w:szCs w:val="24"/>
        </w:rPr>
        <w:t xml:space="preserve">MYH11 </w:t>
      </w:r>
      <w:r>
        <w:rPr>
          <w:rFonts w:ascii="Times New Roman" w:hAnsi="Times New Roman"/>
          <w:sz w:val="24"/>
          <w:szCs w:val="24"/>
        </w:rPr>
        <w:t>knockdown, and quantitative analysis (E and G). *</w:t>
      </w:r>
      <w:r>
        <w:rPr>
          <w:rFonts w:ascii="Times New Roman" w:hAnsi="Times New Roman"/>
          <w:i/>
          <w:iCs/>
          <w:sz w:val="24"/>
          <w:szCs w:val="24"/>
        </w:rPr>
        <w:t>p</w:t>
      </w:r>
      <w:r>
        <w:rPr>
          <w:rFonts w:ascii="Times New Roman" w:hAnsi="Times New Roman"/>
          <w:sz w:val="24"/>
          <w:szCs w:val="24"/>
        </w:rPr>
        <w:t>&lt;0.05, **</w:t>
      </w:r>
      <w:r>
        <w:rPr>
          <w:rFonts w:ascii="Times New Roman" w:hAnsi="Times New Roman"/>
          <w:i/>
          <w:iCs/>
          <w:sz w:val="24"/>
          <w:szCs w:val="24"/>
        </w:rPr>
        <w:t>p</w:t>
      </w:r>
      <w:r>
        <w:rPr>
          <w:rFonts w:ascii="Times New Roman" w:hAnsi="Times New Roman"/>
          <w:sz w:val="24"/>
          <w:szCs w:val="24"/>
        </w:rPr>
        <w:t>&lt;0.01. CRC: Colorectal cancer, WB: Western blotting, EMT: Epithelial-mesenchymal transition.</w:t>
      </w:r>
    </w:p>
    <w:p w14:paraId="7E30CAF1" w14:textId="77777777" w:rsidR="00DF76E4" w:rsidRDefault="00DF76E4" w:rsidP="00DF76E4">
      <w:pPr>
        <w:spacing w:line="360" w:lineRule="auto"/>
        <w:rPr>
          <w:rFonts w:ascii="Times New Roman" w:hAnsi="Times New Roman"/>
          <w:sz w:val="24"/>
          <w:szCs w:val="24"/>
        </w:rPr>
      </w:pPr>
    </w:p>
    <w:p w14:paraId="30E681B4" w14:textId="77777777" w:rsidR="00DF76E4" w:rsidRDefault="00DF76E4" w:rsidP="00DF76E4">
      <w:pPr>
        <w:spacing w:line="360" w:lineRule="auto"/>
        <w:rPr>
          <w:rFonts w:ascii="Times New Roman" w:hAnsi="Times New Roman"/>
          <w:sz w:val="24"/>
          <w:szCs w:val="24"/>
        </w:rPr>
      </w:pPr>
      <w:r>
        <w:rPr>
          <w:rFonts w:ascii="Times New Roman" w:hAnsi="Times New Roman" w:hint="eastAsia"/>
          <w:sz w:val="24"/>
          <w:szCs w:val="24"/>
        </w:rPr>
        <w:drawing>
          <wp:inline distT="0" distB="0" distL="114300" distR="114300" wp14:anchorId="0A5A28F6" wp14:editId="3FE22D26">
            <wp:extent cx="5130978" cy="31496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30978" cy="3149600"/>
                    </a:xfrm>
                    <a:prstGeom prst="rect">
                      <a:avLst/>
                    </a:prstGeom>
                  </pic:spPr>
                </pic:pic>
              </a:graphicData>
            </a:graphic>
          </wp:inline>
        </w:drawing>
      </w:r>
    </w:p>
    <w:p w14:paraId="160A9D80" w14:textId="633735C1" w:rsidR="00DF76E4" w:rsidRDefault="00DF76E4" w:rsidP="00DF76E4">
      <w:pPr>
        <w:spacing w:line="360" w:lineRule="auto"/>
        <w:rPr>
          <w:rFonts w:ascii="Times New Roman" w:hAnsi="Times New Roman"/>
          <w:sz w:val="24"/>
          <w:szCs w:val="24"/>
        </w:rPr>
      </w:pPr>
      <w:r>
        <w:rPr>
          <w:rFonts w:ascii="Times New Roman" w:hAnsi="Times New Roman"/>
          <w:b/>
          <w:bCs/>
          <w:sz w:val="24"/>
          <w:szCs w:val="24"/>
        </w:rPr>
        <w:t xml:space="preserve">Supplementary Figure </w:t>
      </w:r>
      <w:r w:rsidR="00A83CB3">
        <w:rPr>
          <w:rFonts w:ascii="Times New Roman" w:hAnsi="Times New Roman" w:hint="eastAsia"/>
          <w:b/>
          <w:bCs/>
          <w:sz w:val="24"/>
          <w:szCs w:val="24"/>
        </w:rPr>
        <w:t>S</w:t>
      </w:r>
      <w:r>
        <w:rPr>
          <w:rFonts w:ascii="Times New Roman" w:hAnsi="Times New Roman" w:hint="eastAsia"/>
          <w:b/>
          <w:bCs/>
          <w:sz w:val="24"/>
          <w:szCs w:val="24"/>
        </w:rPr>
        <w:t>4.</w:t>
      </w:r>
      <w:r>
        <w:rPr>
          <w:rFonts w:ascii="Times New Roman" w:hAnsi="Times New Roman"/>
          <w:b/>
          <w:bCs/>
          <w:sz w:val="24"/>
          <w:szCs w:val="24"/>
        </w:rPr>
        <w:t xml:space="preserve"> The co-knockdown of </w:t>
      </w:r>
      <w:r>
        <w:rPr>
          <w:rFonts w:ascii="Times New Roman" w:hAnsi="Times New Roman"/>
          <w:b/>
          <w:bCs/>
          <w:i/>
          <w:sz w:val="24"/>
          <w:szCs w:val="24"/>
        </w:rPr>
        <w:t>MYH11</w:t>
      </w:r>
      <w:r>
        <w:rPr>
          <w:rFonts w:ascii="Times New Roman" w:hAnsi="Times New Roman"/>
          <w:b/>
          <w:bCs/>
          <w:sz w:val="24"/>
          <w:szCs w:val="24"/>
        </w:rPr>
        <w:t xml:space="preserve"> and </w:t>
      </w:r>
      <w:r>
        <w:rPr>
          <w:rFonts w:ascii="Times New Roman" w:hAnsi="Times New Roman"/>
          <w:b/>
          <w:bCs/>
          <w:i/>
          <w:sz w:val="24"/>
          <w:szCs w:val="24"/>
        </w:rPr>
        <w:t>ZEB1</w:t>
      </w:r>
      <w:r>
        <w:rPr>
          <w:rFonts w:ascii="Times New Roman" w:hAnsi="Times New Roman"/>
          <w:b/>
          <w:bCs/>
          <w:sz w:val="24"/>
          <w:szCs w:val="24"/>
        </w:rPr>
        <w:t xml:space="preserve"> alters EMT-related proteins expression in HT29 and HCT116 cells.</w:t>
      </w:r>
    </w:p>
    <w:p w14:paraId="3048F970" w14:textId="77777777" w:rsidR="00DF76E4" w:rsidRDefault="00DF76E4" w:rsidP="00DF76E4">
      <w:pPr>
        <w:spacing w:line="360" w:lineRule="auto"/>
        <w:rPr>
          <w:rFonts w:ascii="Times New Roman" w:hAnsi="Times New Roman"/>
          <w:sz w:val="24"/>
          <w:szCs w:val="24"/>
        </w:rPr>
      </w:pPr>
      <w:r>
        <w:rPr>
          <w:rFonts w:ascii="Times New Roman" w:hAnsi="Times New Roman"/>
          <w:sz w:val="24"/>
          <w:szCs w:val="24"/>
        </w:rPr>
        <w:t xml:space="preserve">(A) qRT-PCR detected </w:t>
      </w:r>
      <w:r>
        <w:rPr>
          <w:rFonts w:ascii="Times New Roman" w:hAnsi="Times New Roman" w:hint="eastAsia"/>
          <w:i/>
          <w:iCs/>
          <w:sz w:val="24"/>
          <w:szCs w:val="24"/>
        </w:rPr>
        <w:t>ZEB1</w:t>
      </w:r>
      <w:r>
        <w:rPr>
          <w:rFonts w:ascii="Times New Roman" w:hAnsi="Times New Roman"/>
          <w:sz w:val="24"/>
          <w:szCs w:val="24"/>
        </w:rPr>
        <w:t xml:space="preserve"> mRNA expression in CRC cells with </w:t>
      </w:r>
      <w:r>
        <w:rPr>
          <w:rFonts w:ascii="Times New Roman" w:hAnsi="Times New Roman" w:hint="eastAsia"/>
          <w:i/>
          <w:iCs/>
          <w:sz w:val="24"/>
          <w:szCs w:val="24"/>
        </w:rPr>
        <w:t xml:space="preserve">ZEB1 </w:t>
      </w:r>
      <w:r>
        <w:rPr>
          <w:rFonts w:ascii="Times New Roman" w:hAnsi="Times New Roman"/>
          <w:sz w:val="24"/>
          <w:szCs w:val="24"/>
        </w:rPr>
        <w:t xml:space="preserve">knockdown. (B and C) WB detected the protein expression level of ZEB1 in CRC cells with </w:t>
      </w:r>
      <w:r>
        <w:rPr>
          <w:rFonts w:ascii="Times New Roman" w:hAnsi="Times New Roman" w:hint="eastAsia"/>
          <w:i/>
          <w:iCs/>
          <w:sz w:val="24"/>
          <w:szCs w:val="24"/>
        </w:rPr>
        <w:t xml:space="preserve">ZEB1 </w:t>
      </w:r>
      <w:r>
        <w:rPr>
          <w:rFonts w:ascii="Times New Roman" w:hAnsi="Times New Roman"/>
          <w:sz w:val="24"/>
          <w:szCs w:val="24"/>
        </w:rPr>
        <w:t>knockdown, and performed quantitative analysis.</w:t>
      </w:r>
      <w:r>
        <w:rPr>
          <w:rFonts w:ascii="Times New Roman" w:hAnsi="Times New Roman" w:hint="eastAsia"/>
          <w:sz w:val="24"/>
          <w:szCs w:val="24"/>
        </w:rPr>
        <w:t xml:space="preserve"> </w:t>
      </w:r>
      <w:r>
        <w:rPr>
          <w:rFonts w:ascii="Times New Roman" w:hAnsi="Times New Roman"/>
          <w:sz w:val="24"/>
          <w:szCs w:val="24"/>
        </w:rPr>
        <w:t xml:space="preserve">(D) WB analysis of EMT markers (E-cadherin, N-cadherin, ZEB1, and Vimentin) in HT29 </w:t>
      </w:r>
      <w:r>
        <w:rPr>
          <w:rFonts w:ascii="Times New Roman" w:hAnsi="Times New Roman" w:hint="eastAsia"/>
          <w:sz w:val="24"/>
          <w:szCs w:val="24"/>
        </w:rPr>
        <w:t xml:space="preserve">and </w:t>
      </w:r>
      <w:r>
        <w:rPr>
          <w:rFonts w:ascii="Times New Roman" w:hAnsi="Times New Roman"/>
          <w:sz w:val="24"/>
          <w:szCs w:val="24"/>
        </w:rPr>
        <w:t>HCT116</w:t>
      </w:r>
      <w:r>
        <w:rPr>
          <w:rFonts w:ascii="Times New Roman" w:hAnsi="Times New Roman" w:hint="eastAsia"/>
          <w:sz w:val="24"/>
          <w:szCs w:val="24"/>
        </w:rPr>
        <w:t xml:space="preserve"> </w:t>
      </w:r>
      <w:r>
        <w:rPr>
          <w:rFonts w:ascii="Times New Roman" w:hAnsi="Times New Roman"/>
          <w:sz w:val="24"/>
          <w:szCs w:val="24"/>
        </w:rPr>
        <w:t xml:space="preserve">cells transfected with </w:t>
      </w:r>
      <w:r>
        <w:rPr>
          <w:rFonts w:ascii="Times New Roman" w:hAnsi="Times New Roman" w:hint="eastAsia"/>
          <w:sz w:val="24"/>
          <w:szCs w:val="24"/>
        </w:rPr>
        <w:t>si-</w:t>
      </w:r>
      <w:r>
        <w:rPr>
          <w:rFonts w:ascii="Times New Roman" w:hAnsi="Times New Roman"/>
          <w:i/>
          <w:iCs/>
          <w:sz w:val="24"/>
          <w:szCs w:val="24"/>
        </w:rPr>
        <w:t>MYH11</w:t>
      </w:r>
      <w:r>
        <w:rPr>
          <w:rFonts w:ascii="Times New Roman" w:hAnsi="Times New Roman"/>
          <w:sz w:val="24"/>
          <w:szCs w:val="24"/>
        </w:rPr>
        <w:t xml:space="preserve"> alone or co-transfected with </w:t>
      </w:r>
      <w:r>
        <w:rPr>
          <w:rFonts w:ascii="Times New Roman" w:hAnsi="Times New Roman" w:hint="eastAsia"/>
          <w:sz w:val="24"/>
          <w:szCs w:val="24"/>
        </w:rPr>
        <w:t>si-</w:t>
      </w:r>
      <w:r>
        <w:rPr>
          <w:rFonts w:ascii="Times New Roman" w:hAnsi="Times New Roman"/>
          <w:i/>
          <w:iCs/>
          <w:sz w:val="24"/>
          <w:szCs w:val="24"/>
        </w:rPr>
        <w:t>MYH11</w:t>
      </w:r>
      <w:r>
        <w:rPr>
          <w:rFonts w:ascii="Times New Roman" w:hAnsi="Times New Roman"/>
          <w:sz w:val="24"/>
          <w:szCs w:val="24"/>
        </w:rPr>
        <w:t xml:space="preserve"> and </w:t>
      </w:r>
      <w:r>
        <w:rPr>
          <w:rFonts w:ascii="Times New Roman" w:hAnsi="Times New Roman" w:hint="eastAsia"/>
          <w:sz w:val="24"/>
          <w:szCs w:val="24"/>
        </w:rPr>
        <w:t>si-</w:t>
      </w:r>
      <w:r>
        <w:rPr>
          <w:rFonts w:ascii="Times New Roman" w:hAnsi="Times New Roman"/>
          <w:i/>
          <w:iCs/>
          <w:sz w:val="24"/>
          <w:szCs w:val="24"/>
        </w:rPr>
        <w:t>ZEB1</w:t>
      </w:r>
      <w:r>
        <w:rPr>
          <w:rFonts w:ascii="Times New Roman" w:hAnsi="Times New Roman"/>
          <w:sz w:val="24"/>
          <w:szCs w:val="24"/>
        </w:rPr>
        <w:t>. (E) Quantitative analysis of protein expression levels in HT29 cells. (</w:t>
      </w:r>
      <w:r>
        <w:rPr>
          <w:rFonts w:ascii="Times New Roman" w:hAnsi="Times New Roman" w:hint="eastAsia"/>
          <w:sz w:val="24"/>
          <w:szCs w:val="24"/>
        </w:rPr>
        <w:t>F</w:t>
      </w:r>
      <w:r>
        <w:rPr>
          <w:rFonts w:ascii="Times New Roman" w:hAnsi="Times New Roman"/>
          <w:sz w:val="24"/>
          <w:szCs w:val="24"/>
        </w:rPr>
        <w:t>) Quantitative analysis of protein expression levels in HCT116 cells. *</w:t>
      </w:r>
      <w:r>
        <w:rPr>
          <w:rFonts w:ascii="Times New Roman" w:hAnsi="Times New Roman"/>
          <w:i/>
          <w:iCs/>
          <w:sz w:val="24"/>
          <w:szCs w:val="24"/>
        </w:rPr>
        <w:t>p</w:t>
      </w:r>
      <w:r>
        <w:rPr>
          <w:rFonts w:ascii="Times New Roman" w:hAnsi="Times New Roman"/>
          <w:sz w:val="24"/>
          <w:szCs w:val="24"/>
        </w:rPr>
        <w:t>&lt;0.05,</w:t>
      </w:r>
      <w:r>
        <w:rPr>
          <w:rFonts w:ascii="Times New Roman" w:hAnsi="Times New Roman" w:hint="eastAsia"/>
          <w:sz w:val="24"/>
          <w:szCs w:val="24"/>
        </w:rPr>
        <w:t xml:space="preserve"> **</w:t>
      </w:r>
      <w:r>
        <w:rPr>
          <w:rFonts w:ascii="Times New Roman" w:hAnsi="Times New Roman" w:hint="eastAsia"/>
          <w:i/>
          <w:iCs/>
          <w:sz w:val="24"/>
          <w:szCs w:val="24"/>
        </w:rPr>
        <w:t>p</w:t>
      </w:r>
      <w:r>
        <w:rPr>
          <w:rFonts w:ascii="Times New Roman" w:hAnsi="Times New Roman" w:hint="eastAsia"/>
          <w:sz w:val="24"/>
          <w:szCs w:val="24"/>
        </w:rPr>
        <w:t>&lt;0.01,</w:t>
      </w:r>
      <w:r>
        <w:rPr>
          <w:rFonts w:ascii="Times New Roman" w:hAnsi="Times New Roman"/>
          <w:sz w:val="24"/>
          <w:szCs w:val="24"/>
        </w:rPr>
        <w:t xml:space="preserve"> ***</w:t>
      </w:r>
      <w:r>
        <w:rPr>
          <w:rFonts w:ascii="Times New Roman" w:hAnsi="Times New Roman"/>
          <w:i/>
          <w:iCs/>
          <w:sz w:val="24"/>
          <w:szCs w:val="24"/>
        </w:rPr>
        <w:t>p</w:t>
      </w:r>
      <w:r>
        <w:rPr>
          <w:rFonts w:ascii="Times New Roman" w:hAnsi="Times New Roman"/>
          <w:sz w:val="24"/>
          <w:szCs w:val="24"/>
        </w:rPr>
        <w:t xml:space="preserve">&lt;0.001 </w:t>
      </w:r>
      <w:r>
        <w:rPr>
          <w:rFonts w:ascii="Times New Roman" w:hAnsi="Times New Roman"/>
          <w:i/>
          <w:iCs/>
          <w:sz w:val="24"/>
          <w:szCs w:val="24"/>
        </w:rPr>
        <w:t>vs.</w:t>
      </w:r>
      <w:r>
        <w:rPr>
          <w:rFonts w:ascii="Times New Roman" w:hAnsi="Times New Roman"/>
          <w:sz w:val="24"/>
          <w:szCs w:val="24"/>
        </w:rPr>
        <w:t xml:space="preserve"> si-NC. </w:t>
      </w:r>
      <w:r>
        <w:rPr>
          <w:rFonts w:ascii="Times New Roman" w:hAnsi="Times New Roman"/>
          <w:sz w:val="24"/>
          <w:szCs w:val="24"/>
          <w:vertAlign w:val="superscript"/>
        </w:rPr>
        <w:t>#</w:t>
      </w:r>
      <w:r>
        <w:rPr>
          <w:rFonts w:ascii="Times New Roman" w:hAnsi="Times New Roman"/>
          <w:i/>
          <w:iCs/>
          <w:sz w:val="24"/>
          <w:szCs w:val="24"/>
        </w:rPr>
        <w:t>p</w:t>
      </w:r>
      <w:r>
        <w:rPr>
          <w:rFonts w:ascii="Times New Roman" w:hAnsi="Times New Roman"/>
          <w:sz w:val="24"/>
          <w:szCs w:val="24"/>
        </w:rPr>
        <w:t xml:space="preserve">&lt;0.05. CRC: Colorectal cancer, WB: Western blotting, EMT: Epithelial-mesenchymal transition. </w:t>
      </w:r>
    </w:p>
    <w:p w14:paraId="245EBDCB" w14:textId="77777777" w:rsidR="00C75F01" w:rsidRDefault="00C75F01"/>
    <w:sectPr w:rsidR="00C75F01" w:rsidSect="002F159E">
      <w:pgSz w:w="11906" w:h="16838"/>
      <w:pgMar w:top="1440" w:right="1800" w:bottom="1440" w:left="180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7D9668" w14:textId="77777777" w:rsidR="00151C06" w:rsidRDefault="00151C06" w:rsidP="00DF76E4">
      <w:pPr>
        <w:spacing w:line="240" w:lineRule="auto"/>
      </w:pPr>
      <w:r>
        <w:separator/>
      </w:r>
    </w:p>
  </w:endnote>
  <w:endnote w:type="continuationSeparator" w:id="0">
    <w:p w14:paraId="3B80ACAD" w14:textId="77777777" w:rsidR="00151C06" w:rsidRDefault="00151C06" w:rsidP="00DF76E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inion Pro">
    <w:panose1 w:val="02040503050201020203"/>
    <w:charset w:val="00"/>
    <w:family w:val="roman"/>
    <w:notTrueType/>
    <w:pitch w:val="variable"/>
    <w:sig w:usb0="E00002AF" w:usb1="5000E07B" w:usb2="00000000" w:usb3="00000000" w:csb0="0000019F" w:csb1="00000000"/>
  </w:font>
  <w:font w:name="Cordia New">
    <w:panose1 w:val="020B0304020202020204"/>
    <w:charset w:val="DE"/>
    <w:family w:val="swiss"/>
    <w:pitch w:val="variable"/>
    <w:sig w:usb0="81000003" w:usb1="00000000" w:usb2="00000000" w:usb3="00000000" w:csb0="0001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E1460B" w14:textId="77777777" w:rsidR="00151C06" w:rsidRDefault="00151C06" w:rsidP="00DF76E4">
      <w:pPr>
        <w:spacing w:line="240" w:lineRule="auto"/>
      </w:pPr>
      <w:r>
        <w:separator/>
      </w:r>
    </w:p>
  </w:footnote>
  <w:footnote w:type="continuationSeparator" w:id="0">
    <w:p w14:paraId="10803772" w14:textId="77777777" w:rsidR="00151C06" w:rsidRDefault="00151C06" w:rsidP="00DF76E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B468F5"/>
    <w:multiLevelType w:val="hybridMultilevel"/>
    <w:tmpl w:val="CC4E56EA"/>
    <w:lvl w:ilvl="0" w:tplc="E264CA32">
      <w:start w:val="1"/>
      <w:numFmt w:val="bullet"/>
      <w:lvlRestart w:val="0"/>
      <w:pStyle w:val="TSP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952085B"/>
    <w:multiLevelType w:val="hybridMultilevel"/>
    <w:tmpl w:val="CB98231C"/>
    <w:lvl w:ilvl="0" w:tplc="664029F2">
      <w:start w:val="1"/>
      <w:numFmt w:val="decimal"/>
      <w:lvlRestart w:val="0"/>
      <w:pStyle w:val="TSP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0012E46"/>
    <w:multiLevelType w:val="hybridMultilevel"/>
    <w:tmpl w:val="88C2FAD8"/>
    <w:lvl w:ilvl="0" w:tplc="5C06B1C6">
      <w:start w:val="1"/>
      <w:numFmt w:val="decimal"/>
      <w:pStyle w:val="TSP71References"/>
      <w:lvlText w:val="%1."/>
      <w:lvlJc w:val="left"/>
      <w:pPr>
        <w:ind w:left="360" w:hanging="360"/>
      </w:pPr>
      <w:rPr>
        <w:rFonts w:hint="eastAsia"/>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6311A3B"/>
    <w:multiLevelType w:val="hybridMultilevel"/>
    <w:tmpl w:val="9EF4A612"/>
    <w:lvl w:ilvl="0" w:tplc="BED0D818">
      <w:start w:val="1"/>
      <w:numFmt w:val="decimal"/>
      <w:lvlRestart w:val="0"/>
      <w:pStyle w:val="TSP37itemize"/>
      <w:lvlText w:val="%1."/>
      <w:lvlJc w:val="left"/>
      <w:pPr>
        <w:tabs>
          <w:tab w:val="num" w:pos="0"/>
        </w:tabs>
        <w:ind w:left="425" w:hanging="425"/>
      </w:pPr>
      <w:rPr>
        <w:rFonts w:hint="eastAsia"/>
        <w:b w:val="0"/>
        <w:i w:val="0"/>
        <w:caps w:val="0"/>
        <w:strike w:val="0"/>
        <w:dstrike w:val="0"/>
        <w:outline w:val="0"/>
        <w:shadow w:val="0"/>
        <w:emboss w:val="0"/>
        <w:imprint w:val="0"/>
        <w:vanish w:val="0"/>
        <w:color w:val="auto"/>
        <w:sz w:val="20"/>
        <w:u w:val="none"/>
        <w:effect w:val="none"/>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num w:numId="1" w16cid:durableId="299042545">
    <w:abstractNumId w:val="3"/>
  </w:num>
  <w:num w:numId="2" w16cid:durableId="533730574">
    <w:abstractNumId w:val="0"/>
  </w:num>
  <w:num w:numId="3" w16cid:durableId="1922517289">
    <w:abstractNumId w:val="1"/>
  </w:num>
  <w:num w:numId="4" w16cid:durableId="126487685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63C2"/>
    <w:rsid w:val="00151C06"/>
    <w:rsid w:val="0029552E"/>
    <w:rsid w:val="002F159E"/>
    <w:rsid w:val="003172E3"/>
    <w:rsid w:val="004556BE"/>
    <w:rsid w:val="00640937"/>
    <w:rsid w:val="006473C4"/>
    <w:rsid w:val="00A363C2"/>
    <w:rsid w:val="00A83CB3"/>
    <w:rsid w:val="00BB77A8"/>
    <w:rsid w:val="00BE0BA1"/>
    <w:rsid w:val="00C75F01"/>
    <w:rsid w:val="00DF76E4"/>
    <w:rsid w:val="00FF560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EAE517"/>
  <w15:chartTrackingRefBased/>
  <w15:docId w15:val="{75B61CFA-4B0F-4E3E-9E05-D66B1B48F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76E4"/>
    <w:pPr>
      <w:spacing w:after="0" w:line="260" w:lineRule="atLeast"/>
      <w:jc w:val="both"/>
    </w:pPr>
    <w:rPr>
      <w:rFonts w:ascii="Minion Pro" w:eastAsia="宋体" w:hAnsi="Minion Pro" w:cs="Times New Roman"/>
      <w:noProof/>
      <w:color w:val="000000"/>
      <w:sz w:val="20"/>
      <w:szCs w:val="20"/>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SP11articletype">
    <w:name w:val="TSP_1.1_article_type"/>
    <w:next w:val="Normal"/>
    <w:qFormat/>
    <w:rsid w:val="00BE0BA1"/>
    <w:pPr>
      <w:adjustRightInd w:val="0"/>
      <w:snapToGrid w:val="0"/>
      <w:spacing w:before="240" w:after="0" w:line="240" w:lineRule="atLeast"/>
    </w:pPr>
    <w:rPr>
      <w:rFonts w:ascii="Minion Pro" w:eastAsia="Times New Roman" w:hAnsi="Minion Pro" w:cs="Times New Roman"/>
      <w:b/>
      <w:caps/>
      <w:snapToGrid w:val="0"/>
      <w:color w:val="000000"/>
      <w:sz w:val="18"/>
      <w:u w:val="single"/>
      <w:lang w:eastAsia="de-DE" w:bidi="en-US"/>
    </w:rPr>
  </w:style>
  <w:style w:type="paragraph" w:customStyle="1" w:styleId="TSP110doinum">
    <w:name w:val="TSP_1.10_doinum"/>
    <w:basedOn w:val="Normal"/>
    <w:qFormat/>
    <w:rsid w:val="00BE0BA1"/>
    <w:pPr>
      <w:spacing w:after="240" w:line="60" w:lineRule="atLeast"/>
      <w:jc w:val="left"/>
    </w:pPr>
    <w:rPr>
      <w:rFonts w:eastAsiaTheme="minorEastAsia"/>
      <w:kern w:val="2"/>
      <w:sz w:val="14"/>
    </w:rPr>
  </w:style>
  <w:style w:type="paragraph" w:customStyle="1" w:styleId="TSP12title">
    <w:name w:val="TSP_1.2_title"/>
    <w:next w:val="Normal"/>
    <w:qFormat/>
    <w:rsid w:val="00BE0BA1"/>
    <w:pPr>
      <w:adjustRightInd w:val="0"/>
      <w:snapToGrid w:val="0"/>
      <w:spacing w:before="240" w:after="240" w:line="240" w:lineRule="atLeast"/>
    </w:pPr>
    <w:rPr>
      <w:rFonts w:ascii="Minion Pro" w:eastAsia="Times New Roman" w:hAnsi="Minion Pro" w:cs="Times New Roman"/>
      <w:b/>
      <w:snapToGrid w:val="0"/>
      <w:color w:val="000000"/>
      <w:sz w:val="28"/>
      <w:szCs w:val="20"/>
      <w:lang w:eastAsia="de-DE" w:bidi="en-US"/>
    </w:rPr>
  </w:style>
  <w:style w:type="paragraph" w:customStyle="1" w:styleId="TSP13authornames">
    <w:name w:val="TSP_1.3_authornames"/>
    <w:next w:val="Normal"/>
    <w:qFormat/>
    <w:rsid w:val="00BE0BA1"/>
    <w:pPr>
      <w:adjustRightInd w:val="0"/>
      <w:snapToGrid w:val="0"/>
      <w:spacing w:before="240" w:after="240" w:line="240" w:lineRule="atLeast"/>
    </w:pPr>
    <w:rPr>
      <w:rFonts w:ascii="Minion Pro" w:eastAsia="Times New Roman" w:hAnsi="Minion Pro" w:cs="Times New Roman"/>
      <w:b/>
      <w:color w:val="000000"/>
      <w:lang w:eastAsia="de-DE" w:bidi="en-US"/>
    </w:rPr>
  </w:style>
  <w:style w:type="paragraph" w:customStyle="1" w:styleId="TSP14history">
    <w:name w:val="TSP_1.4_history"/>
    <w:basedOn w:val="Normal"/>
    <w:next w:val="Normal"/>
    <w:autoRedefine/>
    <w:qFormat/>
    <w:rsid w:val="00BE0BA1"/>
    <w:pPr>
      <w:adjustRightInd w:val="0"/>
      <w:snapToGrid w:val="0"/>
      <w:spacing w:before="60" w:after="240" w:line="240" w:lineRule="atLeast"/>
      <w:jc w:val="left"/>
    </w:pPr>
    <w:rPr>
      <w:rFonts w:eastAsia="Times New Roman"/>
      <w:sz w:val="18"/>
      <w:lang w:eastAsia="de-DE" w:bidi="en-US"/>
    </w:rPr>
  </w:style>
  <w:style w:type="paragraph" w:customStyle="1" w:styleId="TSP15academiceditor">
    <w:name w:val="TSP_1.5_academic_editor"/>
    <w:qFormat/>
    <w:rsid w:val="00BE0BA1"/>
    <w:pPr>
      <w:adjustRightInd w:val="0"/>
      <w:snapToGrid w:val="0"/>
      <w:spacing w:before="120" w:after="120" w:line="240" w:lineRule="atLeast"/>
    </w:pPr>
    <w:rPr>
      <w:rFonts w:ascii="Minion Pro" w:eastAsia="Times New Roman" w:hAnsi="Minion Pro" w:cs="Times New Roman"/>
      <w:color w:val="000000"/>
      <w:sz w:val="18"/>
      <w:lang w:eastAsia="de-DE" w:bidi="en-US"/>
    </w:rPr>
  </w:style>
  <w:style w:type="paragraph" w:customStyle="1" w:styleId="TSP16affiliation">
    <w:name w:val="TSP_1.6_affiliation"/>
    <w:qFormat/>
    <w:rsid w:val="00BE0BA1"/>
    <w:pPr>
      <w:adjustRightInd w:val="0"/>
      <w:snapToGrid w:val="0"/>
      <w:spacing w:after="0" w:line="240" w:lineRule="atLeast"/>
      <w:ind w:left="57" w:hanging="57"/>
    </w:pPr>
    <w:rPr>
      <w:rFonts w:ascii="Minion Pro" w:eastAsia="Times New Roman" w:hAnsi="Minion Pro" w:cs="Times New Roman"/>
      <w:color w:val="000000"/>
      <w:sz w:val="18"/>
      <w:szCs w:val="18"/>
      <w:lang w:eastAsia="de-DE" w:bidi="en-US"/>
    </w:rPr>
  </w:style>
  <w:style w:type="paragraph" w:customStyle="1" w:styleId="TSP17abstract">
    <w:name w:val="TSP_1.7_abstract"/>
    <w:next w:val="Normal"/>
    <w:qFormat/>
    <w:rsid w:val="00BE0BA1"/>
    <w:pPr>
      <w:adjustRightInd w:val="0"/>
      <w:snapToGrid w:val="0"/>
      <w:spacing w:before="240" w:after="240" w:line="240" w:lineRule="atLeast"/>
      <w:jc w:val="both"/>
    </w:pPr>
    <w:rPr>
      <w:rFonts w:ascii="Minion Pro" w:eastAsia="Times New Roman" w:hAnsi="Minion Pro" w:cs="Times New Roman"/>
      <w:color w:val="000000"/>
      <w:sz w:val="20"/>
      <w:lang w:eastAsia="de-DE" w:bidi="en-US"/>
    </w:rPr>
  </w:style>
  <w:style w:type="paragraph" w:customStyle="1" w:styleId="TSP18keywords">
    <w:name w:val="TSP_1.8_keywords"/>
    <w:next w:val="Normal"/>
    <w:qFormat/>
    <w:rsid w:val="00BE0BA1"/>
    <w:pPr>
      <w:adjustRightInd w:val="0"/>
      <w:snapToGrid w:val="0"/>
      <w:spacing w:before="240" w:after="0" w:line="240" w:lineRule="atLeast"/>
      <w:jc w:val="both"/>
    </w:pPr>
    <w:rPr>
      <w:rFonts w:ascii="Minion Pro" w:eastAsia="Times New Roman" w:hAnsi="Minion Pro" w:cs="Times New Roman"/>
      <w:snapToGrid w:val="0"/>
      <w:color w:val="000000"/>
      <w:sz w:val="20"/>
      <w:lang w:eastAsia="de-DE" w:bidi="en-US"/>
    </w:rPr>
  </w:style>
  <w:style w:type="paragraph" w:customStyle="1" w:styleId="TSP19classification">
    <w:name w:val="TSP_1.9_classification"/>
    <w:qFormat/>
    <w:rsid w:val="00BE0BA1"/>
    <w:pPr>
      <w:spacing w:before="240" w:after="0" w:line="240" w:lineRule="atLeast"/>
      <w:jc w:val="both"/>
    </w:pPr>
    <w:rPr>
      <w:rFonts w:ascii="Minion Pro" w:eastAsia="Times New Roman" w:hAnsi="Minion Pro" w:cs="Times New Roman"/>
      <w:b/>
      <w:color w:val="000000"/>
      <w:sz w:val="20"/>
      <w:lang w:eastAsia="de-DE" w:bidi="en-US"/>
    </w:rPr>
  </w:style>
  <w:style w:type="paragraph" w:customStyle="1" w:styleId="TSP19line">
    <w:name w:val="TSP_1.9_line"/>
    <w:qFormat/>
    <w:rsid w:val="00BE0BA1"/>
    <w:pPr>
      <w:pBdr>
        <w:bottom w:val="single" w:sz="6" w:space="1" w:color="auto"/>
      </w:pBdr>
      <w:adjustRightInd w:val="0"/>
      <w:snapToGrid w:val="0"/>
      <w:spacing w:after="480" w:line="240" w:lineRule="atLeast"/>
      <w:jc w:val="both"/>
    </w:pPr>
    <w:rPr>
      <w:rFonts w:ascii="Minion Pro" w:eastAsia="Times New Roman" w:hAnsi="Minion Pro" w:cs="Cordia New"/>
      <w:color w:val="000000"/>
      <w:sz w:val="20"/>
      <w:szCs w:val="24"/>
      <w:lang w:eastAsia="de-DE" w:bidi="en-US"/>
    </w:rPr>
  </w:style>
  <w:style w:type="paragraph" w:customStyle="1" w:styleId="TSP21heading1">
    <w:name w:val="TSP_2.1_heading1"/>
    <w:qFormat/>
    <w:rsid w:val="00BE0BA1"/>
    <w:pPr>
      <w:adjustRightInd w:val="0"/>
      <w:snapToGrid w:val="0"/>
      <w:spacing w:before="240" w:after="60" w:line="240" w:lineRule="atLeast"/>
      <w:outlineLvl w:val="0"/>
    </w:pPr>
    <w:rPr>
      <w:rFonts w:ascii="Minion Pro" w:eastAsia="Times New Roman" w:hAnsi="Minion Pro" w:cs="Times New Roman"/>
      <w:b/>
      <w:snapToGrid w:val="0"/>
      <w:color w:val="000000"/>
      <w:lang w:eastAsia="de-DE" w:bidi="en-US"/>
    </w:rPr>
  </w:style>
  <w:style w:type="paragraph" w:customStyle="1" w:styleId="TSP22heading2">
    <w:name w:val="TSP_2.2_heading2"/>
    <w:qFormat/>
    <w:rsid w:val="00BE0BA1"/>
    <w:pPr>
      <w:adjustRightInd w:val="0"/>
      <w:snapToGrid w:val="0"/>
      <w:spacing w:before="60" w:after="60" w:line="240" w:lineRule="atLeast"/>
      <w:outlineLvl w:val="1"/>
    </w:pPr>
    <w:rPr>
      <w:rFonts w:ascii="Minion Pro" w:eastAsia="Times New Roman" w:hAnsi="Minion Pro" w:cs="Times New Roman"/>
      <w:b/>
      <w:i/>
      <w:noProof/>
      <w:snapToGrid w:val="0"/>
      <w:color w:val="000000"/>
      <w:lang w:eastAsia="de-DE" w:bidi="en-US"/>
    </w:rPr>
  </w:style>
  <w:style w:type="paragraph" w:customStyle="1" w:styleId="TSP23heading3">
    <w:name w:val="TSP_2.3_heading3"/>
    <w:qFormat/>
    <w:rsid w:val="00BE0BA1"/>
    <w:pPr>
      <w:adjustRightInd w:val="0"/>
      <w:snapToGrid w:val="0"/>
      <w:spacing w:before="60" w:after="60" w:line="240" w:lineRule="atLeast"/>
      <w:outlineLvl w:val="2"/>
    </w:pPr>
    <w:rPr>
      <w:rFonts w:ascii="Minion Pro" w:eastAsia="Times New Roman" w:hAnsi="Minion Pro" w:cs="Times New Roman"/>
      <w:i/>
      <w:snapToGrid w:val="0"/>
      <w:color w:val="000000"/>
      <w:lang w:eastAsia="de-DE" w:bidi="en-US"/>
    </w:rPr>
  </w:style>
  <w:style w:type="paragraph" w:customStyle="1" w:styleId="TSP31text">
    <w:name w:val="TSP_3.1_text"/>
    <w:qFormat/>
    <w:rsid w:val="00BE0BA1"/>
    <w:pPr>
      <w:adjustRightInd w:val="0"/>
      <w:snapToGrid w:val="0"/>
      <w:spacing w:after="6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2textnoindent">
    <w:name w:val="TSP_3.2_text_no_indent"/>
    <w:basedOn w:val="TSP31text"/>
    <w:qFormat/>
    <w:rsid w:val="00BE0BA1"/>
    <w:pPr>
      <w:ind w:firstLine="0"/>
    </w:pPr>
  </w:style>
  <w:style w:type="paragraph" w:customStyle="1" w:styleId="TSP33textspaceafter">
    <w:name w:val="TSP_3.3_text_space_after"/>
    <w:qFormat/>
    <w:rsid w:val="00BE0BA1"/>
    <w:pPr>
      <w:adjustRightInd w:val="0"/>
      <w:snapToGrid w:val="0"/>
      <w:spacing w:after="24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4textspacebefore">
    <w:name w:val="TSP_3.4_text_space_before"/>
    <w:qFormat/>
    <w:rsid w:val="00BE0BA1"/>
    <w:pPr>
      <w:adjustRightInd w:val="0"/>
      <w:snapToGrid w:val="0"/>
      <w:spacing w:before="240" w:after="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5textbeforelist">
    <w:name w:val="TSP_3.5_text_before_list"/>
    <w:qFormat/>
    <w:rsid w:val="00BE0BA1"/>
    <w:pPr>
      <w:adjustRightInd w:val="0"/>
      <w:snapToGrid w:val="0"/>
      <w:spacing w:after="6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6textafterlist">
    <w:name w:val="TSP_3.6_text_after_list"/>
    <w:qFormat/>
    <w:rsid w:val="00BE0BA1"/>
    <w:pPr>
      <w:adjustRightInd w:val="0"/>
      <w:snapToGrid w:val="0"/>
      <w:spacing w:before="60" w:after="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7itemize">
    <w:name w:val="TSP_3.7_itemize"/>
    <w:qFormat/>
    <w:rsid w:val="00BE0BA1"/>
    <w:pPr>
      <w:numPr>
        <w:numId w:val="1"/>
      </w:numPr>
      <w:adjustRightInd w:val="0"/>
      <w:snapToGrid w:val="0"/>
      <w:spacing w:after="0" w:line="228" w:lineRule="auto"/>
      <w:jc w:val="both"/>
    </w:pPr>
    <w:rPr>
      <w:rFonts w:ascii="Minion Pro" w:eastAsia="Times New Roman" w:hAnsi="Minion Pro" w:cs="Times New Roman"/>
      <w:color w:val="000000"/>
      <w:lang w:eastAsia="de-DE" w:bidi="en-US"/>
    </w:rPr>
  </w:style>
  <w:style w:type="paragraph" w:customStyle="1" w:styleId="TSP38bullet">
    <w:name w:val="TSP_3.8_bullet"/>
    <w:qFormat/>
    <w:rsid w:val="00BE0BA1"/>
    <w:pPr>
      <w:numPr>
        <w:numId w:val="2"/>
      </w:numPr>
      <w:adjustRightInd w:val="0"/>
      <w:snapToGrid w:val="0"/>
      <w:spacing w:after="0" w:line="228" w:lineRule="auto"/>
      <w:jc w:val="both"/>
    </w:pPr>
    <w:rPr>
      <w:rFonts w:ascii="Minion Pro" w:eastAsia="Times New Roman" w:hAnsi="Minion Pro" w:cs="Times New Roman"/>
      <w:color w:val="000000"/>
      <w:lang w:eastAsia="de-DE" w:bidi="en-US"/>
    </w:rPr>
  </w:style>
  <w:style w:type="paragraph" w:customStyle="1" w:styleId="TSP39equation">
    <w:name w:val="TSP_3.9_equation"/>
    <w:qFormat/>
    <w:rsid w:val="00BE0BA1"/>
    <w:pPr>
      <w:adjustRightInd w:val="0"/>
      <w:snapToGrid w:val="0"/>
      <w:spacing w:before="120" w:after="120" w:line="240" w:lineRule="atLeast"/>
    </w:pPr>
    <w:rPr>
      <w:rFonts w:ascii="Minion Pro" w:eastAsia="Times New Roman" w:hAnsi="Minion Pro" w:cs="Times New Roman"/>
      <w:snapToGrid w:val="0"/>
      <w:color w:val="000000"/>
      <w:lang w:eastAsia="de-DE" w:bidi="en-US"/>
    </w:rPr>
  </w:style>
  <w:style w:type="paragraph" w:customStyle="1" w:styleId="TSP3aequationnumber">
    <w:name w:val="TSP_3.a_equation_number"/>
    <w:qFormat/>
    <w:rsid w:val="00BE0BA1"/>
    <w:pPr>
      <w:spacing w:before="120" w:after="120" w:line="240" w:lineRule="atLeast"/>
      <w:jc w:val="right"/>
    </w:pPr>
    <w:rPr>
      <w:rFonts w:ascii="Minion Pro" w:eastAsia="Times New Roman" w:hAnsi="Minion Pro" w:cs="Times New Roman"/>
      <w:snapToGrid w:val="0"/>
      <w:color w:val="000000"/>
      <w:lang w:eastAsia="de-DE" w:bidi="en-US"/>
    </w:rPr>
  </w:style>
  <w:style w:type="paragraph" w:customStyle="1" w:styleId="TSP411onetablecaption">
    <w:name w:val="TSP_4.1.1_one_table_caption"/>
    <w:qFormat/>
    <w:rsid w:val="00BE0BA1"/>
    <w:pPr>
      <w:adjustRightInd w:val="0"/>
      <w:snapToGrid w:val="0"/>
      <w:spacing w:before="240" w:after="120" w:line="240" w:lineRule="atLeast"/>
      <w:jc w:val="center"/>
    </w:pPr>
    <w:rPr>
      <w:rFonts w:ascii="Minion Pro" w:eastAsia="宋体" w:hAnsi="Minion Pro" w:cs="Cordia New"/>
      <w:noProof/>
      <w:color w:val="000000"/>
      <w:sz w:val="20"/>
      <w:lang w:eastAsia="zh-CN" w:bidi="en-US"/>
    </w:rPr>
  </w:style>
  <w:style w:type="paragraph" w:customStyle="1" w:styleId="TSP41tablecaption">
    <w:name w:val="TSP_4.1_table_caption"/>
    <w:qFormat/>
    <w:rsid w:val="00BE0BA1"/>
    <w:pPr>
      <w:adjustRightInd w:val="0"/>
      <w:snapToGrid w:val="0"/>
      <w:spacing w:before="240" w:after="120" w:line="240" w:lineRule="atLeast"/>
      <w:jc w:val="both"/>
    </w:pPr>
    <w:rPr>
      <w:rFonts w:ascii="Minion Pro" w:eastAsia="Times New Roman" w:hAnsi="Minion Pro" w:cs="Cordia New"/>
      <w:color w:val="000000"/>
      <w:sz w:val="20"/>
      <w:lang w:eastAsia="de-DE" w:bidi="en-US"/>
    </w:rPr>
  </w:style>
  <w:style w:type="paragraph" w:customStyle="1" w:styleId="TSP42tablebody">
    <w:name w:val="TSP_4.2_table_body"/>
    <w:qFormat/>
    <w:rsid w:val="00BE0BA1"/>
    <w:pPr>
      <w:adjustRightInd w:val="0"/>
      <w:snapToGrid w:val="0"/>
      <w:spacing w:after="0" w:line="240" w:lineRule="atLeast"/>
      <w:jc w:val="center"/>
    </w:pPr>
    <w:rPr>
      <w:rFonts w:ascii="Minion Pro" w:eastAsia="Times New Roman" w:hAnsi="Minion Pro" w:cs="Times New Roman"/>
      <w:snapToGrid w:val="0"/>
      <w:color w:val="000000"/>
      <w:sz w:val="20"/>
      <w:szCs w:val="20"/>
      <w:lang w:eastAsia="de-DE" w:bidi="en-US"/>
    </w:rPr>
  </w:style>
  <w:style w:type="paragraph" w:customStyle="1" w:styleId="TSP43tablefooter">
    <w:name w:val="TSP_4.3_table_footer"/>
    <w:next w:val="TSP31text"/>
    <w:qFormat/>
    <w:rsid w:val="00BE0BA1"/>
    <w:pPr>
      <w:adjustRightInd w:val="0"/>
      <w:snapToGrid w:val="0"/>
      <w:spacing w:after="240" w:line="240" w:lineRule="atLeast"/>
      <w:jc w:val="both"/>
    </w:pPr>
    <w:rPr>
      <w:rFonts w:ascii="Minion Pro" w:eastAsia="Times New Roman" w:hAnsi="Minion Pro" w:cs="Cordia New"/>
      <w:color w:val="000000"/>
      <w:sz w:val="20"/>
      <w:lang w:eastAsia="de-DE" w:bidi="en-US"/>
    </w:rPr>
  </w:style>
  <w:style w:type="paragraph" w:customStyle="1" w:styleId="TSP511onefigurecaption">
    <w:name w:val="TSP_5.1.1_one_figure_caption"/>
    <w:qFormat/>
    <w:rsid w:val="00BE0BA1"/>
    <w:pPr>
      <w:adjustRightInd w:val="0"/>
      <w:snapToGrid w:val="0"/>
      <w:spacing w:before="120" w:after="240" w:line="240" w:lineRule="atLeast"/>
      <w:jc w:val="center"/>
    </w:pPr>
    <w:rPr>
      <w:rFonts w:ascii="Minion Pro" w:eastAsia="宋体" w:hAnsi="Minion Pro" w:cs="Times New Roman"/>
      <w:noProof/>
      <w:color w:val="000000"/>
      <w:sz w:val="20"/>
      <w:szCs w:val="20"/>
      <w:lang w:eastAsia="zh-CN" w:bidi="en-US"/>
    </w:rPr>
  </w:style>
  <w:style w:type="paragraph" w:customStyle="1" w:styleId="TSP51figurecaption">
    <w:name w:val="TSP_5.1_figure_caption"/>
    <w:qFormat/>
    <w:rsid w:val="00BE0BA1"/>
    <w:pPr>
      <w:adjustRightInd w:val="0"/>
      <w:snapToGrid w:val="0"/>
      <w:spacing w:before="120" w:after="240" w:line="240" w:lineRule="atLeast"/>
      <w:jc w:val="both"/>
    </w:pPr>
    <w:rPr>
      <w:rFonts w:ascii="Minion Pro" w:eastAsia="Times New Roman" w:hAnsi="Minion Pro" w:cs="Times New Roman"/>
      <w:color w:val="000000"/>
      <w:sz w:val="20"/>
      <w:szCs w:val="20"/>
      <w:lang w:eastAsia="de-DE" w:bidi="en-US"/>
    </w:rPr>
  </w:style>
  <w:style w:type="paragraph" w:customStyle="1" w:styleId="TSP52figure">
    <w:name w:val="TSP_5.2_figure"/>
    <w:qFormat/>
    <w:rsid w:val="00BE0BA1"/>
    <w:pPr>
      <w:adjustRightInd w:val="0"/>
      <w:snapToGrid w:val="0"/>
      <w:spacing w:before="240" w:after="120" w:line="240" w:lineRule="atLeast"/>
      <w:jc w:val="center"/>
    </w:pPr>
    <w:rPr>
      <w:rFonts w:ascii="Minion Pro" w:eastAsia="Times New Roman" w:hAnsi="Minion Pro" w:cs="Times New Roman"/>
      <w:snapToGrid w:val="0"/>
      <w:color w:val="000000"/>
      <w:sz w:val="20"/>
      <w:szCs w:val="20"/>
      <w:lang w:eastAsia="de-DE" w:bidi="en-US"/>
    </w:rPr>
  </w:style>
  <w:style w:type="paragraph" w:customStyle="1" w:styleId="TSP61Citation">
    <w:name w:val="TSP_6.1_Citation"/>
    <w:qFormat/>
    <w:rsid w:val="00BE0BA1"/>
    <w:pPr>
      <w:adjustRightInd w:val="0"/>
      <w:snapToGrid w:val="0"/>
      <w:spacing w:after="0" w:line="240" w:lineRule="atLeast"/>
    </w:pPr>
    <w:rPr>
      <w:rFonts w:ascii="Minion Pro" w:eastAsia="宋体" w:hAnsi="Minion Pro" w:cs="Cordia New"/>
      <w:lang w:eastAsia="zh-CN"/>
    </w:rPr>
  </w:style>
  <w:style w:type="paragraph" w:customStyle="1" w:styleId="TSP62BackMatter">
    <w:name w:val="TSP_6.2_BackMatter"/>
    <w:qFormat/>
    <w:rsid w:val="00BE0BA1"/>
    <w:pPr>
      <w:adjustRightInd w:val="0"/>
      <w:snapToGrid w:val="0"/>
      <w:spacing w:before="120" w:after="120" w:line="240" w:lineRule="atLeast"/>
      <w:jc w:val="both"/>
    </w:pPr>
    <w:rPr>
      <w:rFonts w:ascii="Minion Pro" w:eastAsia="Times New Roman" w:hAnsi="Minion Pro" w:cs="Times New Roman"/>
      <w:snapToGrid w:val="0"/>
      <w:color w:val="000000"/>
      <w:sz w:val="20"/>
      <w:szCs w:val="20"/>
      <w:lang w:bidi="en-US"/>
    </w:rPr>
  </w:style>
  <w:style w:type="paragraph" w:customStyle="1" w:styleId="TSP63Notes">
    <w:name w:val="TSP_6.3_Notes"/>
    <w:qFormat/>
    <w:rsid w:val="00BE0BA1"/>
    <w:pPr>
      <w:adjustRightInd w:val="0"/>
      <w:snapToGrid w:val="0"/>
      <w:spacing w:before="60" w:after="60" w:line="228" w:lineRule="auto"/>
      <w:jc w:val="both"/>
    </w:pPr>
    <w:rPr>
      <w:rFonts w:ascii="Minion Pro" w:eastAsia="宋体" w:hAnsi="Minion Pro" w:cs="Times New Roman"/>
      <w:snapToGrid w:val="0"/>
      <w:color w:val="000000"/>
      <w:sz w:val="18"/>
      <w:szCs w:val="20"/>
      <w:lang w:bidi="en-US"/>
    </w:rPr>
  </w:style>
  <w:style w:type="paragraph" w:customStyle="1" w:styleId="TSP71FootNotes">
    <w:name w:val="TSP_7.1_FootNotes"/>
    <w:qFormat/>
    <w:rsid w:val="00BE0BA1"/>
    <w:pPr>
      <w:numPr>
        <w:numId w:val="3"/>
      </w:numPr>
      <w:adjustRightInd w:val="0"/>
      <w:snapToGrid w:val="0"/>
      <w:spacing w:before="60" w:after="60" w:line="228" w:lineRule="auto"/>
      <w:jc w:val="both"/>
    </w:pPr>
    <w:rPr>
      <w:rFonts w:ascii="Minion Pro" w:hAnsi="Minion Pro" w:cs="Times New Roman"/>
      <w:noProof/>
      <w:color w:val="000000"/>
      <w:sz w:val="18"/>
      <w:szCs w:val="20"/>
      <w:lang w:eastAsia="zh-CN"/>
    </w:rPr>
  </w:style>
  <w:style w:type="paragraph" w:customStyle="1" w:styleId="TSP71References">
    <w:name w:val="TSP_7.1_References"/>
    <w:qFormat/>
    <w:rsid w:val="00BE0BA1"/>
    <w:pPr>
      <w:numPr>
        <w:numId w:val="4"/>
      </w:numPr>
      <w:adjustRightInd w:val="0"/>
      <w:snapToGrid w:val="0"/>
      <w:spacing w:after="0" w:line="228" w:lineRule="auto"/>
      <w:jc w:val="both"/>
    </w:pPr>
    <w:rPr>
      <w:rFonts w:ascii="Minion Pro" w:eastAsia="等线" w:hAnsi="Minion Pro" w:cs="Times New Roman"/>
      <w:color w:val="000000"/>
      <w:sz w:val="20"/>
      <w:szCs w:val="20"/>
      <w:lang w:eastAsia="de-DE" w:bidi="en-US"/>
    </w:rPr>
  </w:style>
  <w:style w:type="paragraph" w:customStyle="1" w:styleId="TSP72Copyright">
    <w:name w:val="TSP_7.2_Copyright"/>
    <w:qFormat/>
    <w:rsid w:val="00BE0BA1"/>
    <w:pPr>
      <w:adjustRightInd w:val="0"/>
      <w:snapToGrid w:val="0"/>
      <w:spacing w:after="0" w:line="192" w:lineRule="auto"/>
      <w:jc w:val="both"/>
    </w:pPr>
    <w:rPr>
      <w:rFonts w:ascii="Minion Pro" w:eastAsia="Times New Roman" w:hAnsi="Minion Pro" w:cs="Times New Roman"/>
      <w:noProof/>
      <w:snapToGrid w:val="0"/>
      <w:color w:val="000000"/>
      <w:sz w:val="18"/>
      <w:szCs w:val="20"/>
      <w:lang w:val="en-GB" w:eastAsia="en-GB"/>
    </w:rPr>
  </w:style>
  <w:style w:type="paragraph" w:customStyle="1" w:styleId="TSP73CopyrightImage">
    <w:name w:val="TSP_7.3_CopyrightImage"/>
    <w:qFormat/>
    <w:rsid w:val="00BE0BA1"/>
    <w:pPr>
      <w:adjustRightInd w:val="0"/>
      <w:snapToGrid w:val="0"/>
      <w:spacing w:before="20" w:after="0" w:line="228" w:lineRule="auto"/>
    </w:pPr>
    <w:rPr>
      <w:rFonts w:ascii="Minion Pro" w:eastAsia="Times New Roman" w:hAnsi="Minion Pro" w:cs="Times New Roman"/>
      <w:color w:val="000000"/>
      <w:sz w:val="18"/>
      <w:szCs w:val="20"/>
      <w:lang w:eastAsia="de-CH"/>
    </w:rPr>
  </w:style>
  <w:style w:type="paragraph" w:customStyle="1" w:styleId="TSP81theorem">
    <w:name w:val="TSP_8.1_theorem"/>
    <w:qFormat/>
    <w:rsid w:val="00BE0BA1"/>
    <w:pPr>
      <w:adjustRightInd w:val="0"/>
      <w:snapToGrid w:val="0"/>
      <w:spacing w:before="240" w:after="240" w:line="240" w:lineRule="atLeast"/>
      <w:jc w:val="both"/>
    </w:pPr>
    <w:rPr>
      <w:rFonts w:ascii="Minion Pro" w:eastAsia="Times New Roman" w:hAnsi="Minion Pro" w:cs="Times New Roman"/>
      <w:i/>
      <w:snapToGrid w:val="0"/>
      <w:color w:val="000000"/>
      <w:lang w:eastAsia="de-DE" w:bidi="en-US"/>
    </w:rPr>
  </w:style>
  <w:style w:type="paragraph" w:customStyle="1" w:styleId="TSP82proof">
    <w:name w:val="TSP_8.2_proof"/>
    <w:qFormat/>
    <w:rsid w:val="00BE0BA1"/>
    <w:pPr>
      <w:adjustRightInd w:val="0"/>
      <w:snapToGrid w:val="0"/>
      <w:spacing w:before="240" w:after="240" w:line="240" w:lineRule="atLeast"/>
      <w:jc w:val="both"/>
    </w:pPr>
    <w:rPr>
      <w:rFonts w:ascii="Minion Pro" w:eastAsia="Times New Roman" w:hAnsi="Minion Pro" w:cs="Times New Roman"/>
      <w:snapToGrid w:val="0"/>
      <w:color w:val="000000"/>
      <w:lang w:eastAsia="de-DE" w:bidi="en-US"/>
    </w:rPr>
  </w:style>
  <w:style w:type="paragraph" w:customStyle="1" w:styleId="TSPequationFram">
    <w:name w:val="TSP_equationFram"/>
    <w:qFormat/>
    <w:rsid w:val="00BE0BA1"/>
    <w:pPr>
      <w:adjustRightInd w:val="0"/>
      <w:snapToGrid w:val="0"/>
      <w:spacing w:before="120" w:after="120" w:line="240" w:lineRule="auto"/>
    </w:pPr>
    <w:rPr>
      <w:rFonts w:ascii="Minion Pro" w:eastAsia="Times New Roman" w:hAnsi="Minion Pro" w:cs="Times New Roman"/>
      <w:snapToGrid w:val="0"/>
      <w:color w:val="000000"/>
      <w:lang w:eastAsia="de-DE" w:bidi="en-US"/>
    </w:rPr>
  </w:style>
  <w:style w:type="paragraph" w:customStyle="1" w:styleId="TSPfooter">
    <w:name w:val="TSP_footer"/>
    <w:qFormat/>
    <w:rsid w:val="00BE0BA1"/>
    <w:pPr>
      <w:adjustRightInd w:val="0"/>
      <w:snapToGrid w:val="0"/>
      <w:spacing w:after="0" w:line="228" w:lineRule="auto"/>
      <w:jc w:val="both"/>
    </w:pPr>
    <w:rPr>
      <w:rFonts w:ascii="Minion Pro" w:eastAsia="Times New Roman" w:hAnsi="Minion Pro" w:cs="Times New Roman"/>
      <w:color w:val="000000"/>
      <w:sz w:val="16"/>
      <w:szCs w:val="20"/>
      <w:lang w:eastAsia="de-DE"/>
    </w:rPr>
  </w:style>
  <w:style w:type="paragraph" w:customStyle="1" w:styleId="TSPfooterfirstpage">
    <w:name w:val="TSP_footer_firstpage"/>
    <w:qFormat/>
    <w:rsid w:val="00BE0BA1"/>
    <w:pPr>
      <w:tabs>
        <w:tab w:val="right" w:pos="8845"/>
      </w:tabs>
      <w:suppressAutoHyphens/>
      <w:snapToGrid w:val="0"/>
      <w:spacing w:after="0" w:line="228" w:lineRule="auto"/>
      <w:jc w:val="both"/>
    </w:pPr>
    <w:rPr>
      <w:rFonts w:ascii="Minion Pro" w:eastAsia="Times New Roman" w:hAnsi="Minion Pro" w:cs="Times New Roman"/>
      <w:color w:val="000000"/>
      <w:sz w:val="16"/>
      <w:szCs w:val="20"/>
      <w:lang w:eastAsia="de-DE"/>
    </w:rPr>
  </w:style>
  <w:style w:type="paragraph" w:customStyle="1" w:styleId="TSPheader">
    <w:name w:val="TSP_header"/>
    <w:qFormat/>
    <w:rsid w:val="00BE0BA1"/>
    <w:pPr>
      <w:adjustRightInd w:val="0"/>
      <w:snapToGrid w:val="0"/>
      <w:spacing w:after="0" w:line="228" w:lineRule="auto"/>
      <w:jc w:val="both"/>
    </w:pPr>
    <w:rPr>
      <w:rFonts w:ascii="Minion Pro" w:eastAsia="Times New Roman" w:hAnsi="Minion Pro" w:cs="Times New Roman"/>
      <w:iCs/>
      <w:color w:val="000000"/>
      <w:sz w:val="16"/>
      <w:szCs w:val="20"/>
      <w:lang w:eastAsia="de-DE"/>
    </w:rPr>
  </w:style>
  <w:style w:type="paragraph" w:customStyle="1" w:styleId="TSPheadercitation">
    <w:name w:val="TSP_header_citation"/>
    <w:qFormat/>
    <w:rsid w:val="00BE0BA1"/>
    <w:pPr>
      <w:spacing w:after="0" w:line="228" w:lineRule="auto"/>
    </w:pPr>
    <w:rPr>
      <w:rFonts w:ascii="Minion Pro" w:eastAsia="Times New Roman" w:hAnsi="Minion Pro" w:cs="Times New Roman"/>
      <w:snapToGrid w:val="0"/>
      <w:color w:val="000000"/>
      <w:sz w:val="16"/>
      <w:szCs w:val="20"/>
      <w:lang w:eastAsia="de-DE" w:bidi="en-US"/>
    </w:rPr>
  </w:style>
  <w:style w:type="paragraph" w:customStyle="1" w:styleId="TSPheaderjournallogo">
    <w:name w:val="TSP_header_journal_logo"/>
    <w:qFormat/>
    <w:rsid w:val="00BE0BA1"/>
    <w:pPr>
      <w:adjustRightInd w:val="0"/>
      <w:snapToGrid w:val="0"/>
      <w:spacing w:after="0" w:line="240" w:lineRule="atLeast"/>
    </w:pPr>
    <w:rPr>
      <w:rFonts w:ascii="Minion Pro" w:eastAsia="Times New Roman" w:hAnsi="Minion Pro" w:cs="Times New Roman"/>
      <w:color w:val="000000"/>
      <w:lang w:eastAsia="de-CH"/>
    </w:rPr>
  </w:style>
  <w:style w:type="paragraph" w:customStyle="1" w:styleId="TSPheadertsplogo">
    <w:name w:val="TSP_header_tsp_logo"/>
    <w:qFormat/>
    <w:rsid w:val="00BE0BA1"/>
    <w:pPr>
      <w:adjustRightInd w:val="0"/>
      <w:snapToGrid w:val="0"/>
      <w:spacing w:after="0" w:line="240" w:lineRule="atLeast"/>
      <w:jc w:val="right"/>
    </w:pPr>
    <w:rPr>
      <w:rFonts w:ascii="Minion Pro" w:eastAsia="Times New Roman" w:hAnsi="Minion Pro" w:cs="Times New Roman"/>
      <w:color w:val="000000"/>
      <w:lang w:eastAsia="de-CH"/>
    </w:rPr>
  </w:style>
  <w:style w:type="paragraph" w:customStyle="1" w:styleId="TSPtext">
    <w:name w:val="TSP_text"/>
    <w:qFormat/>
    <w:rsid w:val="00BE0BA1"/>
    <w:pPr>
      <w:snapToGrid w:val="0"/>
      <w:spacing w:after="0" w:line="240" w:lineRule="atLeast"/>
      <w:ind w:firstLine="425"/>
      <w:jc w:val="both"/>
    </w:pPr>
    <w:rPr>
      <w:rFonts w:ascii="Minion Pro" w:eastAsia="Times New Roman" w:hAnsi="Minion Pro" w:cs="Times New Roman"/>
      <w:noProof/>
      <w:snapToGrid w:val="0"/>
      <w:color w:val="000000"/>
      <w:lang w:eastAsia="de-DE" w:bidi="en-US"/>
    </w:rPr>
  </w:style>
  <w:style w:type="paragraph" w:customStyle="1" w:styleId="TSPtitle">
    <w:name w:val="TSP_title"/>
    <w:qFormat/>
    <w:rsid w:val="00BE0BA1"/>
    <w:pPr>
      <w:adjustRightInd w:val="0"/>
      <w:snapToGrid w:val="0"/>
      <w:spacing w:before="240" w:after="240" w:line="240" w:lineRule="atLeast"/>
      <w:jc w:val="both"/>
    </w:pPr>
    <w:rPr>
      <w:rFonts w:ascii="Minion Pro" w:eastAsia="Times New Roman" w:hAnsi="Minion Pro" w:cs="Times New Roman"/>
      <w:b/>
      <w:snapToGrid w:val="0"/>
      <w:color w:val="000000"/>
      <w:sz w:val="28"/>
      <w:szCs w:val="20"/>
      <w:lang w:eastAsia="de-DE" w:bidi="en-US"/>
    </w:rPr>
  </w:style>
  <w:style w:type="paragraph" w:styleId="Header">
    <w:name w:val="header"/>
    <w:basedOn w:val="Normal"/>
    <w:link w:val="HeaderChar"/>
    <w:uiPriority w:val="99"/>
    <w:unhideWhenUsed/>
    <w:rsid w:val="00DF76E4"/>
    <w:pPr>
      <w:tabs>
        <w:tab w:val="center" w:pos="4320"/>
        <w:tab w:val="right" w:pos="8640"/>
      </w:tabs>
      <w:spacing w:line="240" w:lineRule="auto"/>
    </w:pPr>
  </w:style>
  <w:style w:type="character" w:customStyle="1" w:styleId="HeaderChar">
    <w:name w:val="Header Char"/>
    <w:basedOn w:val="DefaultParagraphFont"/>
    <w:link w:val="Header"/>
    <w:uiPriority w:val="99"/>
    <w:rsid w:val="00DF76E4"/>
  </w:style>
  <w:style w:type="paragraph" w:styleId="Footer">
    <w:name w:val="footer"/>
    <w:basedOn w:val="Normal"/>
    <w:link w:val="FooterChar"/>
    <w:uiPriority w:val="99"/>
    <w:unhideWhenUsed/>
    <w:rsid w:val="00DF76E4"/>
    <w:pPr>
      <w:tabs>
        <w:tab w:val="center" w:pos="4320"/>
        <w:tab w:val="right" w:pos="8640"/>
      </w:tabs>
      <w:spacing w:line="240" w:lineRule="auto"/>
    </w:pPr>
  </w:style>
  <w:style w:type="character" w:customStyle="1" w:styleId="FooterChar">
    <w:name w:val="Footer Char"/>
    <w:basedOn w:val="DefaultParagraphFont"/>
    <w:link w:val="Footer"/>
    <w:uiPriority w:val="99"/>
    <w:rsid w:val="00DF76E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411</Words>
  <Characters>2345</Characters>
  <Application>Microsoft Office Word</Application>
  <DocSecurity>0</DocSecurity>
  <Lines>19</Lines>
  <Paragraphs>5</Paragraphs>
  <ScaleCrop>false</ScaleCrop>
  <Company/>
  <LinksUpToDate>false</LinksUpToDate>
  <CharactersWithSpaces>2751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Tech Science Press</dc:creator>
  <cp:keywords/>
  <dc:description/>
  <cp:lastModifiedBy>Tech Science Press</cp:lastModifiedBy>
  <cp:revision>6</cp:revision>
  <dcterms:created xsi:type="dcterms:W3CDTF">2025-06-13T07:37:00Z</dcterms:created>
  <dcterms:modified xsi:type="dcterms:W3CDTF">2025-06-15T20:39:00Z</dcterms:modified>
</cp:coreProperties>
</file>