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7AF" w:rsidRDefault="003B77AF">
      <w:pPr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:rsidR="003B77AF" w:rsidRDefault="001A64DC">
      <w:pPr>
        <w:pStyle w:val="Acknowledgement"/>
        <w:spacing w:before="0"/>
        <w:rPr>
          <w:rFonts w:eastAsia="宋体"/>
          <w:b/>
          <w:sz w:val="22"/>
          <w:szCs w:val="22"/>
        </w:rPr>
      </w:pPr>
      <w:r>
        <w:rPr>
          <w:rFonts w:eastAsia="宋体"/>
          <w:b/>
          <w:sz w:val="22"/>
          <w:szCs w:val="22"/>
        </w:rPr>
        <w:t>Fig</w:t>
      </w:r>
      <w:r>
        <w:rPr>
          <w:rFonts w:eastAsia="宋体"/>
          <w:b/>
          <w:sz w:val="22"/>
          <w:szCs w:val="22"/>
          <w:lang w:eastAsia="zh-CN"/>
        </w:rPr>
        <w:t>ure</w:t>
      </w:r>
      <w:r>
        <w:rPr>
          <w:rFonts w:eastAsia="宋体" w:hint="eastAsia"/>
          <w:b/>
          <w:sz w:val="22"/>
          <w:szCs w:val="22"/>
          <w:lang w:eastAsia="zh-CN"/>
        </w:rPr>
        <w:t xml:space="preserve"> </w:t>
      </w:r>
      <w:r>
        <w:rPr>
          <w:rFonts w:eastAsia="宋体"/>
          <w:b/>
          <w:sz w:val="22"/>
          <w:szCs w:val="22"/>
          <w:lang w:eastAsia="zh-CN"/>
        </w:rPr>
        <w:t>S</w:t>
      </w:r>
      <w:r>
        <w:rPr>
          <w:rFonts w:eastAsia="宋体"/>
          <w:b/>
          <w:sz w:val="22"/>
          <w:szCs w:val="22"/>
        </w:rPr>
        <w:t>1</w:t>
      </w:r>
      <w:r>
        <w:rPr>
          <w:rFonts w:eastAsia="宋体" w:hint="eastAsia"/>
          <w:b/>
          <w:sz w:val="22"/>
          <w:szCs w:val="22"/>
          <w:lang w:eastAsia="zh-CN"/>
        </w:rPr>
        <w:t>.</w:t>
      </w:r>
      <w:r>
        <w:rPr>
          <w:rFonts w:eastAsia="宋体"/>
          <w:b/>
          <w:sz w:val="22"/>
          <w:szCs w:val="22"/>
        </w:rPr>
        <w:t xml:space="preserve"> UHMK1 promotes </w:t>
      </w:r>
      <w:proofErr w:type="spellStart"/>
      <w:r>
        <w:rPr>
          <w:rFonts w:eastAsia="宋体"/>
          <w:b/>
          <w:sz w:val="22"/>
          <w:szCs w:val="22"/>
        </w:rPr>
        <w:t>PCa</w:t>
      </w:r>
      <w:proofErr w:type="spellEnd"/>
      <w:r>
        <w:rPr>
          <w:rFonts w:eastAsia="宋体"/>
          <w:b/>
          <w:sz w:val="22"/>
          <w:szCs w:val="22"/>
        </w:rPr>
        <w:t xml:space="preserve"> cell proliferation and invasion </w:t>
      </w:r>
      <w:r>
        <w:rPr>
          <w:rFonts w:eastAsia="宋体"/>
          <w:b/>
          <w:i/>
          <w:iCs/>
          <w:sz w:val="22"/>
          <w:szCs w:val="22"/>
        </w:rPr>
        <w:t xml:space="preserve">in </w:t>
      </w:r>
      <w:r>
        <w:rPr>
          <w:b/>
          <w:i/>
          <w:iCs/>
          <w:sz w:val="22"/>
          <w:szCs w:val="22"/>
          <w:lang w:eastAsia="zh-CN"/>
        </w:rPr>
        <w:t>vitro</w:t>
      </w:r>
      <w:r>
        <w:rPr>
          <w:b/>
          <w:sz w:val="22"/>
          <w:szCs w:val="22"/>
          <w:lang w:eastAsia="zh-CN"/>
        </w:rPr>
        <w:t xml:space="preserve"> and in </w:t>
      </w:r>
      <w:r>
        <w:rPr>
          <w:b/>
          <w:i/>
          <w:iCs/>
          <w:sz w:val="22"/>
          <w:szCs w:val="22"/>
          <w:lang w:eastAsia="zh-CN"/>
        </w:rPr>
        <w:t>vivo</w:t>
      </w:r>
      <w:r>
        <w:rPr>
          <w:rFonts w:eastAsia="宋体"/>
          <w:b/>
          <w:sz w:val="22"/>
          <w:szCs w:val="22"/>
        </w:rPr>
        <w:t>.</w:t>
      </w:r>
    </w:p>
    <w:p w:rsidR="003B77AF" w:rsidRDefault="001A64DC">
      <w:pPr>
        <w:spacing w:line="240" w:lineRule="auto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(A) </w:t>
      </w:r>
      <w:r>
        <w:rPr>
          <w:rFonts w:ascii="Times New Roman" w:hAnsi="Times New Roman"/>
          <w:sz w:val="22"/>
          <w:szCs w:val="22"/>
        </w:rPr>
        <w:t xml:space="preserve">Western blot analysis of UHMK1 overexpression efficiency in 22RV1 cells. </w:t>
      </w:r>
      <w:r>
        <w:rPr>
          <w:rFonts w:ascii="Times New Roman" w:hAnsi="Times New Roman"/>
          <w:b/>
          <w:bCs/>
          <w:sz w:val="22"/>
          <w:szCs w:val="22"/>
        </w:rPr>
        <w:t xml:space="preserve">(B) </w:t>
      </w:r>
      <w:r>
        <w:rPr>
          <w:rFonts w:ascii="Times New Roman" w:hAnsi="Times New Roman"/>
          <w:sz w:val="22"/>
          <w:szCs w:val="22"/>
        </w:rPr>
        <w:t xml:space="preserve">CCK8 assay to measure the proliferation ability of 22RV1 cells after UHMK1 overexpression. </w:t>
      </w:r>
      <w:r>
        <w:rPr>
          <w:rFonts w:ascii="Times New Roman" w:hAnsi="Times New Roman"/>
          <w:b/>
          <w:bCs/>
          <w:sz w:val="22"/>
          <w:szCs w:val="22"/>
        </w:rPr>
        <w:t>(C)</w:t>
      </w:r>
      <w:r>
        <w:rPr>
          <w:rFonts w:ascii="Times New Roman" w:hAnsi="Times New Roman"/>
          <w:sz w:val="22"/>
          <w:szCs w:val="22"/>
        </w:rPr>
        <w:t xml:space="preserve"> Wound healing assay to measure the migration ability of 22RV1 cells after UHMK1 overexpression (scale bar =400 </w:t>
      </w:r>
      <w:proofErr w:type="spellStart"/>
      <w:r>
        <w:rPr>
          <w:rFonts w:ascii="Times New Roman" w:hAnsi="Times New Roman"/>
          <w:sz w:val="22"/>
          <w:szCs w:val="22"/>
        </w:rPr>
        <w:t>μm</w:t>
      </w:r>
      <w:proofErr w:type="spellEnd"/>
      <w:r>
        <w:rPr>
          <w:rFonts w:ascii="Times New Roman" w:hAnsi="Times New Roman"/>
          <w:sz w:val="22"/>
          <w:szCs w:val="22"/>
        </w:rPr>
        <w:t>).</w:t>
      </w:r>
      <w:r>
        <w:rPr>
          <w:rFonts w:ascii="Times New Roman" w:hAnsi="Times New Roman"/>
          <w:b/>
          <w:bCs/>
          <w:sz w:val="22"/>
          <w:szCs w:val="22"/>
        </w:rPr>
        <w:t xml:space="preserve"> (D) </w:t>
      </w:r>
      <w:r>
        <w:rPr>
          <w:rFonts w:ascii="Times New Roman" w:hAnsi="Times New Roman"/>
          <w:sz w:val="22"/>
          <w:szCs w:val="22"/>
        </w:rPr>
        <w:t>Cell invasion assay to measure the invasi</w:t>
      </w:r>
      <w:r>
        <w:rPr>
          <w:rFonts w:ascii="Times New Roman" w:hAnsi="Times New Roman"/>
          <w:sz w:val="22"/>
          <w:szCs w:val="22"/>
        </w:rPr>
        <w:t xml:space="preserve">on ability of 22RV1 cells after UHMK1 overexpression (scale bar =200 </w:t>
      </w:r>
      <w:proofErr w:type="spellStart"/>
      <w:r>
        <w:rPr>
          <w:rFonts w:ascii="Times New Roman" w:hAnsi="Times New Roman"/>
          <w:sz w:val="22"/>
          <w:szCs w:val="22"/>
        </w:rPr>
        <w:t>μm</w:t>
      </w:r>
      <w:proofErr w:type="spellEnd"/>
      <w:r>
        <w:rPr>
          <w:rFonts w:ascii="Times New Roman" w:hAnsi="Times New Roman"/>
          <w:sz w:val="22"/>
          <w:szCs w:val="22"/>
        </w:rPr>
        <w:t>). **</w:t>
      </w:r>
      <w:r>
        <w:rPr>
          <w:rFonts w:ascii="Times New Roman" w:hAnsi="Times New Roman"/>
          <w:i/>
          <w:iCs/>
          <w:sz w:val="22"/>
          <w:szCs w:val="22"/>
        </w:rPr>
        <w:t>p</w:t>
      </w:r>
      <w:r>
        <w:rPr>
          <w:rFonts w:ascii="Times New Roman" w:hAnsi="Times New Roman"/>
          <w:sz w:val="22"/>
          <w:szCs w:val="22"/>
        </w:rPr>
        <w:t xml:space="preserve"> &lt; 0.01; ***</w:t>
      </w:r>
      <w:r>
        <w:rPr>
          <w:rFonts w:ascii="Times New Roman" w:hAnsi="Times New Roman"/>
          <w:i/>
          <w:iCs/>
          <w:sz w:val="22"/>
          <w:szCs w:val="22"/>
        </w:rPr>
        <w:t xml:space="preserve"> p</w:t>
      </w:r>
      <w:r>
        <w:rPr>
          <w:rFonts w:ascii="Times New Roman" w:hAnsi="Times New Roman"/>
          <w:sz w:val="22"/>
          <w:szCs w:val="22"/>
        </w:rPr>
        <w:t>&lt; 0.001.</w:t>
      </w:r>
    </w:p>
    <w:p w:rsidR="003B77AF" w:rsidRDefault="003B77AF">
      <w:pPr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:rsidR="003B77AF" w:rsidRDefault="003B77AF">
      <w:pPr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:rsidR="003B77AF" w:rsidRDefault="003B77AF">
      <w:pPr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:rsidR="003B77AF" w:rsidRDefault="001A64DC">
      <w:pPr>
        <w:spacing w:line="240" w:lineRule="auto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Figure</w:t>
      </w:r>
      <w:r>
        <w:rPr>
          <w:rFonts w:ascii="Times New Roman" w:hAnsi="Times New Roman" w:hint="eastAsia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S2</w:t>
      </w:r>
      <w:r>
        <w:rPr>
          <w:rFonts w:ascii="Times New Roman" w:hAnsi="Times New Roman" w:hint="eastAsia"/>
          <w:b/>
          <w:sz w:val="22"/>
          <w:szCs w:val="22"/>
        </w:rPr>
        <w:t>.</w:t>
      </w:r>
      <w:r>
        <w:rPr>
          <w:rFonts w:ascii="Times New Roman" w:hAnsi="Times New Roman"/>
          <w:b/>
          <w:sz w:val="22"/>
          <w:szCs w:val="22"/>
        </w:rPr>
        <w:t xml:space="preserve"> MTHFD2 mediates the role of UHMK1 in promoting </w:t>
      </w:r>
      <w:proofErr w:type="spellStart"/>
      <w:r>
        <w:rPr>
          <w:rFonts w:ascii="Times New Roman" w:hAnsi="Times New Roman"/>
          <w:b/>
          <w:sz w:val="22"/>
          <w:szCs w:val="22"/>
        </w:rPr>
        <w:t>PCa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progression. </w:t>
      </w:r>
      <w:r>
        <w:rPr>
          <w:rFonts w:ascii="Times New Roman" w:hAnsi="Times New Roman"/>
          <w:b/>
          <w:bCs/>
          <w:sz w:val="22"/>
          <w:szCs w:val="22"/>
        </w:rPr>
        <w:t>(A)</w:t>
      </w:r>
      <w:r>
        <w:rPr>
          <w:rFonts w:ascii="Times New Roman" w:hAnsi="Times New Roman"/>
          <w:sz w:val="22"/>
          <w:szCs w:val="22"/>
        </w:rPr>
        <w:t xml:space="preserve"> RNA-seq was used to examine nucleotide metabolism-related genes in PC3 cells with or without UHMK1 knockdown. The data are shown in the heatmap</w:t>
      </w:r>
      <w:r>
        <w:rPr>
          <w:rFonts w:ascii="Times New Roman" w:hAnsi="Times New Roman" w:hint="eastAsia"/>
          <w:sz w:val="22"/>
          <w:szCs w:val="22"/>
        </w:rPr>
        <w:t xml:space="preserve"> (R1802792: </w:t>
      </w:r>
      <w:proofErr w:type="spellStart"/>
      <w:r>
        <w:rPr>
          <w:rFonts w:ascii="Times New Roman" w:hAnsi="Times New Roman" w:hint="eastAsia"/>
          <w:sz w:val="22"/>
          <w:szCs w:val="22"/>
        </w:rPr>
        <w:t>si</w:t>
      </w:r>
      <w:proofErr w:type="spellEnd"/>
      <w:r>
        <w:rPr>
          <w:rFonts w:ascii="Times New Roman" w:hAnsi="Times New Roman" w:hint="eastAsia"/>
          <w:sz w:val="22"/>
          <w:szCs w:val="22"/>
        </w:rPr>
        <w:t>-Con; R1802791: si-</w:t>
      </w:r>
      <w:r>
        <w:rPr>
          <w:rFonts w:ascii="Times New Roman" w:hAnsi="Times New Roman"/>
          <w:sz w:val="22"/>
          <w:szCs w:val="22"/>
        </w:rPr>
        <w:t>UHMK1</w:t>
      </w:r>
      <w:r>
        <w:rPr>
          <w:rFonts w:ascii="Times New Roman" w:hAnsi="Times New Roman" w:hint="eastAsia"/>
          <w:sz w:val="22"/>
          <w:szCs w:val="22"/>
        </w:rPr>
        <w:t>)</w:t>
      </w:r>
      <w:r>
        <w:rPr>
          <w:rFonts w:ascii="Times New Roman" w:hAnsi="Times New Roman"/>
          <w:sz w:val="22"/>
          <w:szCs w:val="22"/>
        </w:rPr>
        <w:t xml:space="preserve">. </w:t>
      </w:r>
      <w:r>
        <w:rPr>
          <w:rFonts w:ascii="Times New Roman" w:hAnsi="Times New Roman"/>
          <w:b/>
          <w:bCs/>
          <w:sz w:val="22"/>
          <w:szCs w:val="22"/>
        </w:rPr>
        <w:t xml:space="preserve">(B) </w:t>
      </w:r>
      <w:r>
        <w:rPr>
          <w:rFonts w:ascii="Times New Roman" w:hAnsi="Times New Roman"/>
          <w:sz w:val="22"/>
          <w:szCs w:val="22"/>
        </w:rPr>
        <w:t>RT</w:t>
      </w:r>
      <w:r>
        <w:rPr>
          <w:rFonts w:ascii="Times New Roman" w:hAnsi="Times New Roman" w:hint="eastAsia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>qPCR was used to measure the mRNA levels of UHMK1, PHGDH, PSAT1,</w:t>
      </w:r>
      <w:r>
        <w:rPr>
          <w:rFonts w:ascii="Times New Roman" w:hAnsi="Times New Roman"/>
          <w:sz w:val="22"/>
          <w:szCs w:val="22"/>
        </w:rPr>
        <w:t xml:space="preserve"> PSPH, MTHFD2, DHFR, PPAT and TYMS after depletion of UHMK1 in PC3 and DU145 cells. </w:t>
      </w:r>
      <w:r>
        <w:rPr>
          <w:rFonts w:ascii="Times New Roman" w:hAnsi="Times New Roman"/>
          <w:b/>
          <w:bCs/>
          <w:sz w:val="22"/>
          <w:szCs w:val="22"/>
        </w:rPr>
        <w:t xml:space="preserve">(C) </w:t>
      </w:r>
      <w:r>
        <w:rPr>
          <w:rFonts w:ascii="Times New Roman" w:hAnsi="Times New Roman"/>
          <w:sz w:val="22"/>
          <w:szCs w:val="22"/>
        </w:rPr>
        <w:t xml:space="preserve">Western blot analysis of expression of MTHFD2 after UHMK1 overexpression in 22RV1 cells. </w:t>
      </w:r>
      <w:r>
        <w:rPr>
          <w:rFonts w:ascii="Times New Roman" w:hAnsi="Times New Roman"/>
          <w:b/>
          <w:bCs/>
          <w:sz w:val="22"/>
          <w:szCs w:val="22"/>
        </w:rPr>
        <w:t xml:space="preserve">(D) </w:t>
      </w:r>
      <w:r>
        <w:rPr>
          <w:rFonts w:ascii="Times New Roman" w:hAnsi="Times New Roman"/>
          <w:sz w:val="22"/>
          <w:szCs w:val="22"/>
        </w:rPr>
        <w:t>CCK8 assay to measure the proliferation ability of 22RV1 cells overexpressi</w:t>
      </w:r>
      <w:r>
        <w:rPr>
          <w:rFonts w:ascii="Times New Roman" w:hAnsi="Times New Roman"/>
          <w:sz w:val="22"/>
          <w:szCs w:val="22"/>
        </w:rPr>
        <w:t xml:space="preserve">ng UHMK1 after treatment with an MTHFD2 inhibitor (DS18561882, 50 µM). </w:t>
      </w:r>
      <w:r>
        <w:rPr>
          <w:rFonts w:ascii="Times New Roman" w:hAnsi="Times New Roman"/>
          <w:b/>
          <w:bCs/>
          <w:sz w:val="22"/>
          <w:szCs w:val="22"/>
        </w:rPr>
        <w:t>(E)</w:t>
      </w:r>
      <w:r>
        <w:rPr>
          <w:rFonts w:ascii="Times New Roman" w:hAnsi="Times New Roman"/>
          <w:sz w:val="22"/>
          <w:szCs w:val="22"/>
        </w:rPr>
        <w:t xml:space="preserve"> Wound healing assay to measure the migration ability of 22RV1 cells overexpressing UHMK1 after treatment with an MTHFD2 inhibitor (scale bar =400 </w:t>
      </w:r>
      <w:proofErr w:type="spellStart"/>
      <w:r>
        <w:rPr>
          <w:rFonts w:ascii="Times New Roman" w:hAnsi="Times New Roman"/>
          <w:sz w:val="22"/>
          <w:szCs w:val="22"/>
        </w:rPr>
        <w:t>μm</w:t>
      </w:r>
      <w:proofErr w:type="spellEnd"/>
      <w:r>
        <w:rPr>
          <w:rFonts w:ascii="Times New Roman" w:hAnsi="Times New Roman"/>
          <w:sz w:val="22"/>
          <w:szCs w:val="22"/>
        </w:rPr>
        <w:t xml:space="preserve">). </w:t>
      </w:r>
      <w:r>
        <w:rPr>
          <w:rFonts w:ascii="Times New Roman" w:hAnsi="Times New Roman"/>
          <w:b/>
          <w:bCs/>
          <w:sz w:val="22"/>
          <w:szCs w:val="22"/>
        </w:rPr>
        <w:t xml:space="preserve">(F) </w:t>
      </w:r>
      <w:r>
        <w:rPr>
          <w:rFonts w:ascii="Times New Roman" w:hAnsi="Times New Roman"/>
          <w:sz w:val="22"/>
          <w:szCs w:val="22"/>
        </w:rPr>
        <w:t>Cell invasion assay to mea</w:t>
      </w:r>
      <w:r>
        <w:rPr>
          <w:rFonts w:ascii="Times New Roman" w:hAnsi="Times New Roman"/>
          <w:sz w:val="22"/>
          <w:szCs w:val="22"/>
        </w:rPr>
        <w:t xml:space="preserve">sure the invasion ability of 22RV1 cells overexpressing UHMK1 after treatment with an MTHFD2 inhibitor (scale bar =400 </w:t>
      </w:r>
      <w:proofErr w:type="spellStart"/>
      <w:r>
        <w:rPr>
          <w:rFonts w:ascii="Times New Roman" w:hAnsi="Times New Roman"/>
          <w:sz w:val="22"/>
          <w:szCs w:val="22"/>
        </w:rPr>
        <w:t>μm</w:t>
      </w:r>
      <w:proofErr w:type="spellEnd"/>
      <w:r>
        <w:rPr>
          <w:rFonts w:ascii="Times New Roman" w:hAnsi="Times New Roman"/>
          <w:sz w:val="22"/>
          <w:szCs w:val="22"/>
        </w:rPr>
        <w:t>). *</w:t>
      </w:r>
      <w:r>
        <w:rPr>
          <w:rFonts w:ascii="Times New Roman" w:hAnsi="Times New Roman"/>
          <w:i/>
          <w:iCs/>
          <w:sz w:val="22"/>
          <w:szCs w:val="22"/>
        </w:rPr>
        <w:t xml:space="preserve"> p</w:t>
      </w:r>
      <w:r>
        <w:rPr>
          <w:rFonts w:ascii="Times New Roman" w:hAnsi="Times New Roman"/>
          <w:sz w:val="22"/>
          <w:szCs w:val="22"/>
        </w:rPr>
        <w:t xml:space="preserve"> &lt; 0.05;</w:t>
      </w:r>
      <w:r>
        <w:rPr>
          <w:rFonts w:ascii="Times New Roman" w:hAnsi="Times New Roman" w:hint="eastAsia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**</w:t>
      </w:r>
      <w:r>
        <w:rPr>
          <w:rFonts w:ascii="Times New Roman" w:hAnsi="Times New Roman"/>
          <w:i/>
          <w:iCs/>
          <w:sz w:val="22"/>
          <w:szCs w:val="22"/>
        </w:rPr>
        <w:t xml:space="preserve"> p</w:t>
      </w:r>
      <w:r>
        <w:rPr>
          <w:rFonts w:ascii="Times New Roman" w:hAnsi="Times New Roman"/>
          <w:sz w:val="22"/>
          <w:szCs w:val="22"/>
        </w:rPr>
        <w:t xml:space="preserve"> &lt; 0.01; ***</w:t>
      </w:r>
      <w:r>
        <w:rPr>
          <w:rFonts w:ascii="Times New Roman" w:hAnsi="Times New Roman"/>
          <w:i/>
          <w:iCs/>
          <w:sz w:val="22"/>
          <w:szCs w:val="22"/>
        </w:rPr>
        <w:t xml:space="preserve"> p</w:t>
      </w:r>
      <w:r>
        <w:rPr>
          <w:rFonts w:ascii="Times New Roman" w:hAnsi="Times New Roman" w:hint="eastAsia"/>
          <w:i/>
          <w:iCs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&lt; 0.001.</w:t>
      </w:r>
    </w:p>
    <w:p w:rsidR="003B77AF" w:rsidRDefault="003B77AF">
      <w:pPr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:rsidR="003B77AF" w:rsidRDefault="001A64DC">
      <w:pPr>
        <w:spacing w:line="240" w:lineRule="auto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Figure. S3 ATF4 interacts with the MTHFD2 promoter to activate transcription.</w:t>
      </w:r>
    </w:p>
    <w:p w:rsidR="003B77AF" w:rsidRDefault="001A64DC">
      <w:pPr>
        <w:spacing w:line="240" w:lineRule="auto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(A)</w:t>
      </w:r>
      <w:r>
        <w:rPr>
          <w:rFonts w:ascii="Times New Roman" w:hAnsi="Times New Roman"/>
          <w:sz w:val="22"/>
          <w:szCs w:val="22"/>
        </w:rPr>
        <w:t xml:space="preserve"> RT</w:t>
      </w:r>
      <w:r>
        <w:rPr>
          <w:rFonts w:ascii="Times New Roman" w:hAnsi="Times New Roman" w:hint="eastAsia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qPCR </w:t>
      </w:r>
      <w:r>
        <w:rPr>
          <w:rFonts w:ascii="Times New Roman" w:hAnsi="Times New Roman"/>
          <w:sz w:val="22"/>
          <w:szCs w:val="22"/>
        </w:rPr>
        <w:t>was used to measure the mRNA level of MTHFD2 after ATF4 knockdown in PC3 and DU145 cells.</w:t>
      </w:r>
      <w:r>
        <w:rPr>
          <w:rFonts w:ascii="Times New Roman" w:hAnsi="Times New Roman"/>
          <w:b/>
          <w:bCs/>
          <w:sz w:val="22"/>
          <w:szCs w:val="22"/>
        </w:rPr>
        <w:t xml:space="preserve"> (B) </w:t>
      </w:r>
      <w:r>
        <w:rPr>
          <w:rFonts w:ascii="Times New Roman" w:hAnsi="Times New Roman"/>
          <w:sz w:val="22"/>
          <w:szCs w:val="22"/>
        </w:rPr>
        <w:t xml:space="preserve">Western blot analysis of MTHFD2 protein expression after ATF4 knockdown in PC3 and DU145 cells. </w:t>
      </w:r>
      <w:r>
        <w:rPr>
          <w:rFonts w:ascii="Times New Roman" w:hAnsi="Times New Roman"/>
          <w:b/>
          <w:bCs/>
          <w:sz w:val="22"/>
          <w:szCs w:val="22"/>
        </w:rPr>
        <w:t xml:space="preserve">(C) </w:t>
      </w:r>
      <w:r>
        <w:rPr>
          <w:rFonts w:ascii="Times New Roman" w:hAnsi="Times New Roman"/>
          <w:sz w:val="22"/>
          <w:szCs w:val="22"/>
        </w:rPr>
        <w:t>ATF4 motif consensus sequence from JASPAR. The nucleotide sequ</w:t>
      </w:r>
      <w:r>
        <w:rPr>
          <w:rFonts w:ascii="Times New Roman" w:hAnsi="Times New Roman"/>
          <w:sz w:val="22"/>
          <w:szCs w:val="22"/>
        </w:rPr>
        <w:t xml:space="preserve">ences of the -1,494/-897 region in the human MTHFD2 gene and the candidate ATF4 binding sites (red text). </w:t>
      </w:r>
      <w:r>
        <w:rPr>
          <w:rFonts w:ascii="Times New Roman" w:hAnsi="Times New Roman"/>
          <w:b/>
          <w:bCs/>
          <w:sz w:val="22"/>
          <w:szCs w:val="22"/>
        </w:rPr>
        <w:t xml:space="preserve">(D) </w:t>
      </w:r>
      <w:r>
        <w:rPr>
          <w:rFonts w:ascii="Times New Roman" w:hAnsi="Times New Roman"/>
          <w:sz w:val="22"/>
          <w:szCs w:val="22"/>
        </w:rPr>
        <w:t>Dual-luciferase reporter assay to evaluate the effect of ATF4 on the activity of the WT-MTHFD2 promoter and its mutants.</w:t>
      </w:r>
      <w:r>
        <w:rPr>
          <w:rFonts w:ascii="Times New Roman" w:hAnsi="Times New Roman"/>
          <w:b/>
          <w:bCs/>
          <w:sz w:val="22"/>
          <w:szCs w:val="22"/>
        </w:rPr>
        <w:t xml:space="preserve"> (E)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ChIP</w:t>
      </w:r>
      <w:proofErr w:type="spellEnd"/>
      <w:r>
        <w:rPr>
          <w:rFonts w:ascii="Times New Roman" w:hAnsi="Times New Roman"/>
          <w:sz w:val="22"/>
          <w:szCs w:val="22"/>
        </w:rPr>
        <w:t xml:space="preserve"> assay to verify </w:t>
      </w:r>
      <w:r>
        <w:rPr>
          <w:rFonts w:ascii="Times New Roman" w:hAnsi="Times New Roman"/>
          <w:sz w:val="22"/>
          <w:szCs w:val="22"/>
        </w:rPr>
        <w:t>the binding of ATF4 to the MTHFD2 promoter in PC3 and DU145 cells. *</w:t>
      </w:r>
      <w:r>
        <w:rPr>
          <w:rFonts w:ascii="Times New Roman" w:hAnsi="Times New Roman"/>
          <w:i/>
          <w:iCs/>
          <w:sz w:val="22"/>
          <w:szCs w:val="22"/>
        </w:rPr>
        <w:t xml:space="preserve"> p</w:t>
      </w:r>
      <w:r>
        <w:rPr>
          <w:rFonts w:ascii="Times New Roman" w:hAnsi="Times New Roman"/>
          <w:sz w:val="22"/>
          <w:szCs w:val="22"/>
        </w:rPr>
        <w:t xml:space="preserve"> &lt; 0.05; **</w:t>
      </w:r>
      <w:r>
        <w:rPr>
          <w:rFonts w:ascii="Times New Roman" w:hAnsi="Times New Roman"/>
          <w:i/>
          <w:iCs/>
          <w:sz w:val="22"/>
          <w:szCs w:val="22"/>
        </w:rPr>
        <w:t xml:space="preserve"> p</w:t>
      </w:r>
      <w:r>
        <w:rPr>
          <w:rFonts w:ascii="Times New Roman" w:hAnsi="Times New Roman" w:hint="eastAsia"/>
          <w:i/>
          <w:iCs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&lt; 0.01; ***</w:t>
      </w:r>
      <w:r>
        <w:rPr>
          <w:rFonts w:ascii="Times New Roman" w:hAnsi="Times New Roman"/>
          <w:i/>
          <w:iCs/>
          <w:sz w:val="22"/>
          <w:szCs w:val="22"/>
        </w:rPr>
        <w:t xml:space="preserve"> p</w:t>
      </w:r>
      <w:r>
        <w:rPr>
          <w:rFonts w:ascii="Times New Roman" w:hAnsi="Times New Roman"/>
          <w:sz w:val="22"/>
          <w:szCs w:val="22"/>
        </w:rPr>
        <w:t>&lt; 0.001.</w:t>
      </w:r>
      <w:bookmarkStart w:id="0" w:name="_GoBack"/>
      <w:bookmarkEnd w:id="0"/>
    </w:p>
    <w:sectPr w:rsidR="003B77AF">
      <w:headerReference w:type="even" r:id="rId6"/>
      <w:headerReference w:type="default" r:id="rId7"/>
      <w:headerReference w:type="first" r:id="rId8"/>
      <w:footerReference w:type="first" r:id="rId9"/>
      <w:pgSz w:w="12242" w:h="15842"/>
      <w:pgMar w:top="1440" w:right="1440" w:bottom="1440" w:left="1440" w:header="1020" w:footer="624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4DC" w:rsidRDefault="001A64DC">
      <w:pPr>
        <w:spacing w:line="240" w:lineRule="auto"/>
      </w:pPr>
      <w:r>
        <w:separator/>
      </w:r>
    </w:p>
  </w:endnote>
  <w:endnote w:type="continuationSeparator" w:id="0">
    <w:p w:rsidR="001A64DC" w:rsidRDefault="001A64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7AF" w:rsidRDefault="003B77AF">
    <w:pPr>
      <w:spacing w:before="240" w:line="100" w:lineRule="exact"/>
      <w:jc w:val="left"/>
      <w:rPr>
        <w:sz w:val="16"/>
        <w:szCs w:val="16"/>
      </w:rPr>
    </w:pPr>
  </w:p>
  <w:tbl>
    <w:tblPr>
      <w:tblW w:w="936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2"/>
      <w:gridCol w:w="7769"/>
    </w:tblGrid>
    <w:tr w:rsidR="003B77AF">
      <w:trPr>
        <w:trHeight w:hRule="exact" w:val="595"/>
        <w:jc w:val="center"/>
      </w:trPr>
      <w:tc>
        <w:tcPr>
          <w:tcW w:w="1594" w:type="dxa"/>
          <w:shd w:val="clear" w:color="auto" w:fill="auto"/>
          <w:vAlign w:val="center"/>
        </w:tcPr>
        <w:p w:rsidR="003B77AF" w:rsidRDefault="001A64DC">
          <w:pPr>
            <w:pStyle w:val="TSP73CopyrightImage"/>
            <w:rPr>
              <w:lang w:bidi="en-US"/>
            </w:rPr>
          </w:pPr>
          <w:r>
            <w:rPr>
              <w:noProof/>
              <w:lang w:bidi="en-US"/>
            </w:rPr>
            <w:drawing>
              <wp:inline distT="0" distB="0" distL="0" distR="0">
                <wp:extent cx="1000125" cy="361950"/>
                <wp:effectExtent l="0" t="0" r="5715" b="3810"/>
                <wp:docPr id="1653046361" name="图片 4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3046361" name="图片 4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07" w:type="dxa"/>
          <w:shd w:val="clear" w:color="auto" w:fill="auto"/>
          <w:tcMar>
            <w:left w:w="57" w:type="dxa"/>
          </w:tcMar>
          <w:vAlign w:val="center"/>
        </w:tcPr>
        <w:p w:rsidR="003B77AF" w:rsidRDefault="001A64DC">
          <w:pPr>
            <w:pStyle w:val="TSP72Copyright"/>
            <w:rPr>
              <w:lang w:bidi="en-US"/>
            </w:rPr>
          </w:pPr>
          <w:r>
            <w:rPr>
              <w:lang w:bidi="en-US"/>
            </w:rPr>
            <w:t>Copyright © 202</w:t>
          </w:r>
          <w:r>
            <w:rPr>
              <w:rFonts w:eastAsiaTheme="minorEastAsia" w:hint="eastAsia"/>
              <w:lang w:eastAsia="zh-CN" w:bidi="en-US"/>
            </w:rPr>
            <w:t>5</w:t>
          </w:r>
          <w:r>
            <w:rPr>
              <w:lang w:bidi="en-US"/>
            </w:rPr>
            <w:t xml:space="preserve"> The Author(s). Published by Tech Science Press.</w:t>
          </w:r>
        </w:p>
        <w:p w:rsidR="003B77AF" w:rsidRDefault="001A64DC">
          <w:pPr>
            <w:pStyle w:val="TSP72Copyright"/>
            <w:rPr>
              <w:bCs/>
              <w:lang w:bidi="en-US"/>
            </w:rPr>
          </w:pPr>
          <w:r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</w:t>
          </w:r>
          <w:r>
            <w:rPr>
              <w:lang w:bidi="en-US"/>
            </w:rPr>
            <w:t>l work is properly cited.</w:t>
          </w:r>
        </w:p>
      </w:tc>
    </w:tr>
  </w:tbl>
  <w:p w:rsidR="003B77AF" w:rsidRDefault="003B77AF">
    <w:pPr>
      <w:pStyle w:val="a3"/>
      <w:spacing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4DC" w:rsidRDefault="001A64DC">
      <w:pPr>
        <w:spacing w:line="240" w:lineRule="auto"/>
      </w:pPr>
      <w:r>
        <w:separator/>
      </w:r>
    </w:p>
  </w:footnote>
  <w:footnote w:type="continuationSeparator" w:id="0">
    <w:p w:rsidR="001A64DC" w:rsidRDefault="001A64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7AF" w:rsidRDefault="001A64DC">
    <w:pPr>
      <w:pStyle w:val="TSPheader"/>
      <w:rPr>
        <w:rFonts w:eastAsiaTheme="minorEastAsia"/>
        <w:lang w:eastAsia="zh-CN"/>
      </w:rPr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ptab w:relativeTo="margin" w:alignment="right" w:leader="none"/>
    </w:r>
    <w:r>
      <w:t xml:space="preserve">Oncol Res. </w:t>
    </w:r>
    <w:proofErr w:type="gramStart"/>
    <w:r>
      <w:t>202</w:t>
    </w:r>
    <w:r>
      <w:rPr>
        <w:rFonts w:eastAsiaTheme="minorEastAsia" w:hint="eastAsia"/>
        <w:lang w:eastAsia="zh-CN"/>
      </w:rPr>
      <w:t>5</w:t>
    </w:r>
    <w:r>
      <w:t>;</w:t>
    </w:r>
    <w:r>
      <w:rPr>
        <w:rFonts w:hint="eastAsia"/>
      </w:rPr>
      <w:t>volume</w:t>
    </w:r>
    <w:proofErr w:type="gramEnd"/>
    <w:r>
      <w:rPr>
        <w:rFonts w:hint="eastAsia"/>
      </w:rPr>
      <w:t>(</w:t>
    </w:r>
    <w:r>
      <w:t>issue)</w:t>
    </w:r>
  </w:p>
  <w:p w:rsidR="003B77AF" w:rsidRDefault="003B77AF">
    <w:pPr>
      <w:pStyle w:val="a4"/>
      <w:pBdr>
        <w:bottom w:val="none" w:sz="0" w:space="0" w:color="auto"/>
      </w:pBdr>
      <w:spacing w:after="240" w:line="100" w:lineRule="atLeast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7AF" w:rsidRDefault="001A64DC">
    <w:pPr>
      <w:pStyle w:val="TSPheader"/>
    </w:pPr>
    <w:r>
      <w:t xml:space="preserve">Oncol Res. </w:t>
    </w:r>
    <w:proofErr w:type="gramStart"/>
    <w:r>
      <w:t>202</w:t>
    </w:r>
    <w:r>
      <w:rPr>
        <w:rFonts w:eastAsiaTheme="minorEastAsia" w:hint="eastAsia"/>
        <w:lang w:eastAsia="zh-CN"/>
      </w:rPr>
      <w:t>5</w:t>
    </w:r>
    <w:r>
      <w:t>;</w:t>
    </w:r>
    <w:r>
      <w:rPr>
        <w:rFonts w:hint="eastAsia"/>
      </w:rPr>
      <w:t>volume</w:t>
    </w:r>
    <w:proofErr w:type="gramEnd"/>
    <w:r>
      <w:rPr>
        <w:rFonts w:hint="eastAsia"/>
      </w:rPr>
      <w:t>(</w:t>
    </w:r>
    <w:r>
      <w:t>issue)</w:t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</w:p>
  <w:p w:rsidR="003B77AF" w:rsidRDefault="003B77AF">
    <w:pPr>
      <w:tabs>
        <w:tab w:val="left" w:pos="8335"/>
      </w:tabs>
      <w:spacing w:after="240" w:line="100" w:lineRule="atLeas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5"/>
      <w:tblpPr w:leftFromText="180" w:rightFromText="180" w:vertAnchor="text" w:tblpY="1"/>
      <w:tblOverlap w:val="never"/>
      <w:tblW w:w="9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69"/>
      <w:gridCol w:w="2760"/>
      <w:gridCol w:w="3232"/>
    </w:tblGrid>
    <w:tr w:rsidR="003B77AF">
      <w:trPr>
        <w:cantSplit/>
        <w:trHeight w:val="567"/>
      </w:trPr>
      <w:tc>
        <w:tcPr>
          <w:tcW w:w="3591" w:type="dxa"/>
          <w:vAlign w:val="center"/>
        </w:tcPr>
        <w:p w:rsidR="003B77AF" w:rsidRDefault="001A64DC">
          <w:pPr>
            <w:pStyle w:val="TSPheaderjournallogo"/>
          </w:pPr>
          <w:r>
            <w:rPr>
              <w:noProof/>
            </w:rPr>
            <w:drawing>
              <wp:inline distT="0" distB="0" distL="0" distR="0">
                <wp:extent cx="1673225" cy="412115"/>
                <wp:effectExtent l="0" t="0" r="0" b="14605"/>
                <wp:docPr id="166005451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60054510" name="图片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7" r="171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3741" cy="41239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vAlign w:val="center"/>
        </w:tcPr>
        <w:p w:rsidR="003B77AF" w:rsidRDefault="003B77AF">
          <w:pPr>
            <w:jc w:val="center"/>
          </w:pPr>
        </w:p>
      </w:tc>
      <w:tc>
        <w:tcPr>
          <w:tcW w:w="3591" w:type="dxa"/>
          <w:vAlign w:val="center"/>
        </w:tcPr>
        <w:p w:rsidR="003B77AF" w:rsidRDefault="001A64DC">
          <w:pPr>
            <w:pStyle w:val="TSPheadertsplogo"/>
          </w:pPr>
          <w:r>
            <w:rPr>
              <w:noProof/>
            </w:rPr>
            <w:drawing>
              <wp:inline distT="0" distB="0" distL="0" distR="0">
                <wp:extent cx="1287780" cy="187960"/>
                <wp:effectExtent l="0" t="0" r="7620" b="10160"/>
                <wp:docPr id="165304636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3046360" name="图片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780" cy="188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B77AF" w:rsidRDefault="003B77AF">
    <w:pPr>
      <w:pStyle w:val="a4"/>
      <w:spacing w:line="60" w:lineRule="exact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EDB5E47"/>
    <w:rsid w:val="001A64DC"/>
    <w:rsid w:val="003B77AF"/>
    <w:rsid w:val="00C81DCD"/>
    <w:rsid w:val="5EDB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0DAD8E3-5524-4165-B4F1-57336E32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pacing w:line="260" w:lineRule="atLeast"/>
      <w:jc w:val="both"/>
    </w:pPr>
    <w:rPr>
      <w:rFonts w:ascii="Minion Pro" w:eastAsia="宋体" w:hAnsi="Minion Pro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table" w:styleId="a5">
    <w:name w:val="Table Grid"/>
    <w:basedOn w:val="a1"/>
    <w:uiPriority w:val="59"/>
    <w:qFormat/>
    <w:pPr>
      <w:spacing w:line="260" w:lineRule="atLeast"/>
      <w:jc w:val="both"/>
    </w:pPr>
    <w:rPr>
      <w:rFonts w:ascii="Minion Pro" w:hAnsi="Minion Pro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knowledgement">
    <w:name w:val="Acknowledgement"/>
    <w:basedOn w:val="a"/>
    <w:qFormat/>
    <w:pPr>
      <w:spacing w:before="120" w:line="240" w:lineRule="auto"/>
      <w:ind w:left="720" w:hanging="720"/>
      <w:jc w:val="left"/>
    </w:pPr>
    <w:rPr>
      <w:rFonts w:ascii="Times New Roman" w:eastAsia="Times New Roman" w:hAnsi="Times New Roman"/>
      <w:color w:val="auto"/>
      <w:sz w:val="24"/>
      <w:szCs w:val="24"/>
      <w:lang w:eastAsia="en-US"/>
    </w:rPr>
  </w:style>
  <w:style w:type="table" w:customStyle="1" w:styleId="TableGrid1">
    <w:name w:val="Table Grid1"/>
    <w:basedOn w:val="a1"/>
    <w:uiPriority w:val="59"/>
    <w:qFormat/>
    <w:rPr>
      <w:rFonts w:ascii="Cambria" w:eastAsia="黑体" w:hAnsi="Cambria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uiPriority w:val="59"/>
    <w:qFormat/>
    <w:rPr>
      <w:rFonts w:ascii="Cambria" w:eastAsia="黑体" w:hAnsi="Cambria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uiPriority w:val="59"/>
    <w:qFormat/>
    <w:rPr>
      <w:rFonts w:ascii="Cambria" w:eastAsia="黑体" w:hAnsi="Cambria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SPheader">
    <w:name w:val="TSP_header"/>
    <w:qFormat/>
    <w:p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iCs/>
      <w:color w:val="000000"/>
      <w:sz w:val="16"/>
      <w:lang w:eastAsia="de-DE"/>
    </w:rPr>
  </w:style>
  <w:style w:type="paragraph" w:customStyle="1" w:styleId="TSPheaderjournallogo">
    <w:name w:val="TSP_header_journal_logo"/>
    <w:qFormat/>
    <w:pPr>
      <w:adjustRightInd w:val="0"/>
      <w:snapToGrid w:val="0"/>
      <w:spacing w:line="240" w:lineRule="atLeast"/>
    </w:pPr>
    <w:rPr>
      <w:rFonts w:ascii="Minion Pro" w:eastAsia="Times New Roman" w:hAnsi="Minion Pro" w:cs="Times New Roman"/>
      <w:color w:val="000000"/>
      <w:sz w:val="22"/>
      <w:szCs w:val="22"/>
      <w:lang w:eastAsia="de-CH"/>
    </w:rPr>
  </w:style>
  <w:style w:type="paragraph" w:customStyle="1" w:styleId="TSPheadertsplogo">
    <w:name w:val="TSP_header_tsp_logo"/>
    <w:qFormat/>
    <w:pPr>
      <w:adjustRightInd w:val="0"/>
      <w:snapToGrid w:val="0"/>
      <w:spacing w:line="240" w:lineRule="atLeast"/>
      <w:jc w:val="right"/>
    </w:pPr>
    <w:rPr>
      <w:rFonts w:ascii="Minion Pro" w:eastAsia="Times New Roman" w:hAnsi="Minion Pro" w:cs="Times New Roman"/>
      <w:color w:val="000000"/>
      <w:sz w:val="22"/>
      <w:szCs w:val="22"/>
      <w:lang w:eastAsia="de-CH"/>
    </w:rPr>
  </w:style>
  <w:style w:type="paragraph" w:customStyle="1" w:styleId="TSP73CopyrightImage">
    <w:name w:val="TSP_7.3_CopyrightImage"/>
    <w:qFormat/>
    <w:pPr>
      <w:adjustRightInd w:val="0"/>
      <w:snapToGrid w:val="0"/>
      <w:spacing w:before="20" w:line="228" w:lineRule="auto"/>
    </w:pPr>
    <w:rPr>
      <w:rFonts w:ascii="Minion Pro" w:eastAsia="Times New Roman" w:hAnsi="Minion Pro" w:cs="Times New Roman"/>
      <w:color w:val="000000"/>
      <w:sz w:val="18"/>
      <w:lang w:eastAsia="de-CH"/>
    </w:rPr>
  </w:style>
  <w:style w:type="paragraph" w:customStyle="1" w:styleId="TSP72Copyright">
    <w:name w:val="TSP_7.2_Copyright"/>
    <w:qFormat/>
    <w:pPr>
      <w:adjustRightInd w:val="0"/>
      <w:snapToGrid w:val="0"/>
      <w:spacing w:line="192" w:lineRule="auto"/>
      <w:jc w:val="both"/>
    </w:pPr>
    <w:rPr>
      <w:rFonts w:ascii="Minion Pro" w:eastAsia="Times New Roman" w:hAnsi="Minion Pro" w:cs="Times New Roman"/>
      <w:snapToGrid w:val="0"/>
      <w:color w:val="000000"/>
      <w:sz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1929</Characters>
  <Application>Microsoft Office Word</Application>
  <DocSecurity>0</DocSecurity>
  <Lines>96</Lines>
  <Paragraphs>74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Tech Science Press</cp:lastModifiedBy>
  <cp:revision>2</cp:revision>
  <dcterms:created xsi:type="dcterms:W3CDTF">2025-07-02T07:22:00Z</dcterms:created>
  <dcterms:modified xsi:type="dcterms:W3CDTF">2025-07-10T06:41:00Z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A868AF526A6E4E4880CDE65EF4214EAE_11</vt:lpwstr>
  </property>
  <property fmtid="{D5CDD505-2E9C-101B-9397-08002B2CF9AE}" pid="4" name="KSOTemplateDocerSaveRecord">
    <vt:lpwstr>eyJoZGlkIjoiNGQzNmFmODQ1YWIwOTg1MjhlOTUyYjY3NDNjNjM1MDEiLCJ1c2VySWQiOiIyMTM1MjkzOTMifQ==</vt:lpwstr>
  </property>
</Properties>
</file>