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A3742D" w14:textId="77777777" w:rsidR="00EF20BF" w:rsidRPr="0071635E" w:rsidRDefault="00000000">
      <w:pPr>
        <w:wordWrap w:val="0"/>
        <w:ind w:firstLineChars="0" w:firstLine="0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sz w:val="20"/>
          <w:szCs w:val="20"/>
        </w:rPr>
        <w:t>Supplementary figures</w:t>
      </w:r>
    </w:p>
    <w:p w14:paraId="3DACCE9F" w14:textId="77777777" w:rsidR="00EF20BF" w:rsidRPr="0071635E" w:rsidRDefault="00000000">
      <w:pPr>
        <w:ind w:firstLineChars="0" w:firstLine="0"/>
        <w:jc w:val="center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noProof/>
          <w:sz w:val="20"/>
          <w:szCs w:val="20"/>
        </w:rPr>
        <w:drawing>
          <wp:inline distT="0" distB="0" distL="0" distR="0" wp14:anchorId="003784D0" wp14:editId="6CEEC33A">
            <wp:extent cx="5273675" cy="4026535"/>
            <wp:effectExtent l="0" t="0" r="3175" b="0"/>
            <wp:docPr id="9637399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3992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4617" b="425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693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F6F5F" w14:textId="77777777" w:rsidR="00EF20BF" w:rsidRPr="0071635E" w:rsidRDefault="00000000">
      <w:pPr>
        <w:spacing w:line="300" w:lineRule="auto"/>
        <w:ind w:firstLineChars="0" w:firstLine="0"/>
        <w:rPr>
          <w:rFonts w:ascii="Minion Pro" w:hAnsi="Minion Pro" w:cs="Times New Roman"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sz w:val="20"/>
          <w:szCs w:val="20"/>
        </w:rPr>
        <w:t>FIGURE S1.</w:t>
      </w:r>
      <w:r w:rsidRPr="0071635E">
        <w:rPr>
          <w:rFonts w:ascii="Minion Pro" w:hAnsi="Minion Pro" w:cs="Times New Roman"/>
          <w:sz w:val="20"/>
          <w:szCs w:val="20"/>
        </w:rPr>
        <w:t xml:space="preserve"> The synthesis steps of the compounds.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A</w:t>
      </w:r>
      <w:r w:rsidRPr="0071635E">
        <w:rPr>
          <w:rFonts w:ascii="Minion Pro" w:hAnsi="Minion Pro" w:cs="Times New Roman"/>
          <w:sz w:val="20"/>
          <w:szCs w:val="20"/>
        </w:rPr>
        <w:t xml:space="preserve">. Synthesis of </w:t>
      </w:r>
      <w:r w:rsidRPr="0071635E">
        <w:rPr>
          <w:rFonts w:ascii="Minion Pro" w:hAnsi="Minion Pro" w:cs="Times New Roman"/>
          <w:b/>
          <w:sz w:val="20"/>
          <w:szCs w:val="20"/>
        </w:rPr>
        <w:t>MGD-AX</w:t>
      </w:r>
      <w:r w:rsidRPr="0071635E">
        <w:rPr>
          <w:rFonts w:ascii="Minion Pro" w:hAnsi="Minion Pro" w:cs="Times New Roman"/>
          <w:sz w:val="20"/>
          <w:szCs w:val="20"/>
        </w:rPr>
        <w:t xml:space="preserve">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B</w:t>
      </w:r>
      <w:r w:rsidRPr="0071635E">
        <w:rPr>
          <w:rFonts w:ascii="Minion Pro" w:hAnsi="Minion Pro" w:cs="Times New Roman"/>
          <w:sz w:val="20"/>
          <w:szCs w:val="20"/>
        </w:rPr>
        <w:t xml:space="preserve">. Synthesis of </w:t>
      </w:r>
      <w:r w:rsidRPr="0071635E">
        <w:rPr>
          <w:rFonts w:ascii="Minion Pro" w:hAnsi="Minion Pro" w:cs="Times New Roman"/>
          <w:b/>
          <w:sz w:val="20"/>
          <w:szCs w:val="20"/>
        </w:rPr>
        <w:t>MGD-BX</w:t>
      </w:r>
      <w:r w:rsidRPr="0071635E">
        <w:rPr>
          <w:rFonts w:ascii="Minion Pro" w:hAnsi="Minion Pro" w:cs="Times New Roman"/>
          <w:sz w:val="20"/>
          <w:szCs w:val="20"/>
        </w:rPr>
        <w:t xml:space="preserve">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C</w:t>
      </w:r>
      <w:r w:rsidRPr="0071635E">
        <w:rPr>
          <w:rFonts w:ascii="Minion Pro" w:hAnsi="Minion Pro" w:cs="Times New Roman"/>
          <w:sz w:val="20"/>
          <w:szCs w:val="20"/>
        </w:rPr>
        <w:t xml:space="preserve">. Synthesis of </w:t>
      </w:r>
      <w:r w:rsidRPr="0071635E">
        <w:rPr>
          <w:rFonts w:ascii="Minion Pro" w:hAnsi="Minion Pro" w:cs="Times New Roman"/>
          <w:b/>
          <w:sz w:val="20"/>
          <w:szCs w:val="20"/>
        </w:rPr>
        <w:t>MGD-CX</w:t>
      </w:r>
      <w:r w:rsidRPr="0071635E">
        <w:rPr>
          <w:rFonts w:ascii="Minion Pro" w:hAnsi="Minion Pro" w:cs="Times New Roman"/>
          <w:sz w:val="20"/>
          <w:szCs w:val="20"/>
        </w:rPr>
        <w:t xml:space="preserve">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D</w:t>
      </w:r>
      <w:r w:rsidRPr="0071635E">
        <w:rPr>
          <w:rFonts w:ascii="Minion Pro" w:hAnsi="Minion Pro" w:cs="Times New Roman"/>
          <w:sz w:val="20"/>
          <w:szCs w:val="20"/>
        </w:rPr>
        <w:t>.</w:t>
      </w:r>
      <w:r w:rsidRPr="0071635E">
        <w:rPr>
          <w:rFonts w:ascii="Minion Pro" w:hAnsi="Minion Pro"/>
          <w:sz w:val="20"/>
          <w:szCs w:val="20"/>
        </w:rPr>
        <w:t xml:space="preserve"> </w:t>
      </w:r>
      <w:r w:rsidRPr="0071635E">
        <w:rPr>
          <w:rFonts w:ascii="Minion Pro" w:hAnsi="Minion Pro" w:cs="Times New Roman"/>
          <w:sz w:val="20"/>
          <w:szCs w:val="20"/>
        </w:rPr>
        <w:t xml:space="preserve">Antiproliferative effects of </w:t>
      </w:r>
      <w:proofErr w:type="spellStart"/>
      <w:r w:rsidRPr="0071635E">
        <w:rPr>
          <w:rFonts w:ascii="Minion Pro" w:hAnsi="Minion Pro" w:cs="Times New Roman"/>
          <w:sz w:val="20"/>
          <w:szCs w:val="20"/>
        </w:rPr>
        <w:t>avadomide</w:t>
      </w:r>
      <w:proofErr w:type="spellEnd"/>
      <w:r w:rsidRPr="0071635E">
        <w:rPr>
          <w:rFonts w:ascii="Minion Pro" w:hAnsi="Minion Pro" w:cs="Times New Roman"/>
          <w:sz w:val="20"/>
          <w:szCs w:val="20"/>
        </w:rPr>
        <w:t>. The data are presented as the mean ± SD, with n = 3.</w:t>
      </w:r>
    </w:p>
    <w:p w14:paraId="18E05F8A" w14:textId="77777777" w:rsidR="00EF20BF" w:rsidRPr="0071635E" w:rsidRDefault="00EF20BF">
      <w:pPr>
        <w:ind w:firstLineChars="0" w:firstLine="0"/>
        <w:jc w:val="center"/>
        <w:rPr>
          <w:rFonts w:ascii="Minion Pro" w:hAnsi="Minion Pro" w:cs="Times New Roman"/>
          <w:b/>
          <w:bCs/>
          <w:sz w:val="20"/>
          <w:szCs w:val="20"/>
        </w:rPr>
      </w:pPr>
    </w:p>
    <w:p w14:paraId="72BDE44E" w14:textId="77777777" w:rsidR="00EF20BF" w:rsidRPr="0071635E" w:rsidRDefault="00000000">
      <w:pPr>
        <w:ind w:firstLineChars="0" w:firstLine="0"/>
        <w:jc w:val="center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1EC47399" wp14:editId="71936941">
            <wp:extent cx="3668395" cy="4379595"/>
            <wp:effectExtent l="0" t="0" r="4445" b="9525"/>
            <wp:docPr id="771616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6169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t="5392" b="11970"/>
                    <a:stretch>
                      <a:fillRect/>
                    </a:stretch>
                  </pic:blipFill>
                  <pic:spPr>
                    <a:xfrm>
                      <a:off x="0" y="0"/>
                      <a:ext cx="3668395" cy="43795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C86DC" w14:textId="77777777" w:rsidR="00EF20BF" w:rsidRPr="0071635E" w:rsidRDefault="00000000">
      <w:pPr>
        <w:spacing w:line="300" w:lineRule="auto"/>
        <w:ind w:firstLineChars="0" w:firstLine="0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sz w:val="20"/>
          <w:szCs w:val="20"/>
        </w:rPr>
        <w:t>FIGURE S2.</w:t>
      </w:r>
      <w:r w:rsidRPr="0071635E">
        <w:rPr>
          <w:rFonts w:ascii="Minion Pro" w:hAnsi="Minion Pro" w:cs="Arial"/>
          <w:color w:val="000000" w:themeColor="text1"/>
          <w:kern w:val="24"/>
          <w:sz w:val="20"/>
          <w:szCs w:val="20"/>
        </w:rPr>
        <w:t xml:space="preserve"> </w:t>
      </w:r>
      <w:bookmarkStart w:id="0" w:name="_Hlk194780769"/>
      <w:r w:rsidRPr="0071635E">
        <w:rPr>
          <w:rFonts w:ascii="Minion Pro" w:hAnsi="Minion Pro" w:cs="Minion Pro"/>
          <w:b/>
          <w:bCs/>
          <w:sz w:val="20"/>
          <w:szCs w:val="20"/>
        </w:rPr>
        <w:t xml:space="preserve"> MGD-A7</w:t>
      </w:r>
      <w:r w:rsidRPr="0071635E">
        <w:rPr>
          <w:rFonts w:ascii="Minion Pro" w:hAnsi="Minion Pro" w:cs="Minion Pro"/>
          <w:sz w:val="20"/>
          <w:szCs w:val="20"/>
        </w:rPr>
        <w:t xml:space="preserve"> and </w:t>
      </w:r>
      <w:r w:rsidRPr="0071635E">
        <w:rPr>
          <w:rFonts w:ascii="Minion Pro" w:hAnsi="Minion Pro" w:cs="Minion Pro"/>
          <w:b/>
          <w:bCs/>
          <w:sz w:val="20"/>
          <w:szCs w:val="20"/>
        </w:rPr>
        <w:t>MGD-C9</w:t>
      </w:r>
      <w:r w:rsidRPr="0071635E">
        <w:rPr>
          <w:rFonts w:ascii="Minion Pro" w:hAnsi="Minion Pro" w:cs="Minion Pro"/>
          <w:sz w:val="20"/>
          <w:szCs w:val="20"/>
        </w:rPr>
        <w:t xml:space="preserve"> significantly induced IKZF1/3 degradation</w:t>
      </w:r>
      <w:bookmarkEnd w:id="0"/>
      <w:r w:rsidRPr="0071635E">
        <w:rPr>
          <w:rFonts w:ascii="Minion Pro" w:hAnsi="Minion Pro" w:cs="Minion Pro"/>
          <w:sz w:val="20"/>
          <w:szCs w:val="20"/>
        </w:rPr>
        <w:t xml:space="preserve">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A-B</w:t>
      </w:r>
      <w:r w:rsidRPr="0071635E">
        <w:rPr>
          <w:rFonts w:ascii="Minion Pro" w:hAnsi="Minion Pro" w:cs="Times New Roman"/>
          <w:sz w:val="20"/>
          <w:szCs w:val="20"/>
        </w:rPr>
        <w:t>. Levels of IKZF1 and IKZF3 in engineered HEK293T (293T) cells with increasing doses of</w:t>
      </w:r>
      <w:bookmarkStart w:id="1" w:name="OLE_LINK3"/>
      <w:r w:rsidRPr="0071635E">
        <w:rPr>
          <w:rFonts w:ascii="Minion Pro" w:hAnsi="Minion Pro" w:cs="Times New Roman"/>
          <w:sz w:val="20"/>
          <w:szCs w:val="20"/>
        </w:rPr>
        <w:t xml:space="preserve"> pomalidomide</w:t>
      </w:r>
      <w:bookmarkEnd w:id="1"/>
      <w:r w:rsidRPr="0071635E">
        <w:rPr>
          <w:rFonts w:ascii="Minion Pro" w:hAnsi="Minion Pro" w:cs="Times New Roman"/>
          <w:sz w:val="20"/>
          <w:szCs w:val="20"/>
        </w:rPr>
        <w:t xml:space="preserve"> 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A</w:t>
      </w:r>
      <w:r w:rsidRPr="0071635E">
        <w:rPr>
          <w:rFonts w:ascii="Minion Pro" w:hAnsi="Minion Pro" w:cs="Times New Roman"/>
          <w:sz w:val="20"/>
          <w:szCs w:val="20"/>
        </w:rPr>
        <w:t>)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</w:t>
      </w:r>
      <w:r w:rsidRPr="0071635E">
        <w:rPr>
          <w:rFonts w:ascii="Minion Pro" w:hAnsi="Minion Pro" w:cs="Times New Roman"/>
          <w:sz w:val="20"/>
          <w:szCs w:val="20"/>
        </w:rPr>
        <w:t xml:space="preserve">or </w:t>
      </w:r>
      <w:proofErr w:type="spellStart"/>
      <w:r w:rsidRPr="0071635E">
        <w:rPr>
          <w:rFonts w:ascii="Minion Pro" w:hAnsi="Minion Pro" w:cs="Times New Roman"/>
          <w:sz w:val="20"/>
          <w:szCs w:val="20"/>
        </w:rPr>
        <w:t>avadomide</w:t>
      </w:r>
      <w:proofErr w:type="spellEnd"/>
      <w:r w:rsidRPr="0071635E">
        <w:rPr>
          <w:rFonts w:ascii="Minion Pro" w:hAnsi="Minion Pro" w:cs="Times New Roman"/>
          <w:sz w:val="20"/>
          <w:szCs w:val="20"/>
        </w:rPr>
        <w:t xml:space="preserve"> 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B</w:t>
      </w:r>
      <w:r w:rsidRPr="0071635E">
        <w:rPr>
          <w:rFonts w:ascii="Minion Pro" w:hAnsi="Minion Pro" w:cs="Times New Roman"/>
          <w:sz w:val="20"/>
          <w:szCs w:val="20"/>
        </w:rPr>
        <w:t>)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</w:t>
      </w:r>
      <w:r w:rsidRPr="0071635E">
        <w:rPr>
          <w:rFonts w:ascii="Minion Pro" w:hAnsi="Minion Pro" w:cs="Times New Roman"/>
          <w:sz w:val="20"/>
          <w:szCs w:val="20"/>
        </w:rPr>
        <w:t xml:space="preserve">for 24 h, respectively.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C</w:t>
      </w:r>
      <w:r w:rsidRPr="0071635E">
        <w:rPr>
          <w:rFonts w:ascii="Minion Pro" w:hAnsi="Minion Pro" w:cs="Times New Roman"/>
          <w:sz w:val="20"/>
          <w:szCs w:val="20"/>
        </w:rPr>
        <w:t xml:space="preserve">. Levels of IKZF1 and IKZF3 in engineered 293T cells with increasing treatment time of pomalidomide (1 µM), respectively.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D</w:t>
      </w:r>
      <w:r w:rsidRPr="0071635E">
        <w:rPr>
          <w:rFonts w:ascii="Minion Pro" w:hAnsi="Minion Pro" w:cs="Times New Roman"/>
          <w:sz w:val="20"/>
          <w:szCs w:val="20"/>
        </w:rPr>
        <w:t xml:space="preserve">. Levels of IKZF2 in engineered HEK293T (293T) cells with increasing doses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MGD-A7</w:t>
      </w:r>
      <w:r w:rsidRPr="0071635E">
        <w:rPr>
          <w:rFonts w:ascii="Minion Pro" w:hAnsi="Minion Pro" w:cs="Times New Roman"/>
          <w:sz w:val="20"/>
          <w:szCs w:val="20"/>
        </w:rPr>
        <w:t xml:space="preserve"> and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MGD-C9</w:t>
      </w:r>
      <w:r w:rsidRPr="0071635E">
        <w:rPr>
          <w:rFonts w:ascii="Minion Pro" w:hAnsi="Minion Pro" w:cs="Times New Roman"/>
          <w:sz w:val="20"/>
          <w:szCs w:val="20"/>
        </w:rPr>
        <w:t xml:space="preserve"> for 24 h, respectively. Data shown are a representative graph of three independent experiments.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E</w:t>
      </w:r>
      <w:r w:rsidRPr="0071635E">
        <w:rPr>
          <w:rFonts w:ascii="Minion Pro" w:hAnsi="Minion Pro" w:cs="Times New Roman"/>
          <w:sz w:val="20"/>
          <w:szCs w:val="20"/>
        </w:rPr>
        <w:t xml:space="preserve">. Levels of IKZF2 in engineered HEK293T cells with increasing treatment time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MGD-A7</w:t>
      </w:r>
      <w:r w:rsidRPr="0071635E">
        <w:rPr>
          <w:rFonts w:ascii="Minion Pro" w:hAnsi="Minion Pro" w:cs="Times New Roman"/>
          <w:sz w:val="20"/>
          <w:szCs w:val="20"/>
        </w:rPr>
        <w:t xml:space="preserve"> and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MGD-C9</w:t>
      </w:r>
      <w:r w:rsidRPr="0071635E">
        <w:rPr>
          <w:rFonts w:ascii="Minion Pro" w:hAnsi="Minion Pro" w:cs="Times New Roman"/>
          <w:sz w:val="20"/>
          <w:szCs w:val="20"/>
        </w:rPr>
        <w:t xml:space="preserve"> (1 µM), respectively.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F</w:t>
      </w:r>
      <w:r w:rsidRPr="0071635E">
        <w:rPr>
          <w:rFonts w:ascii="Minion Pro" w:hAnsi="Minion Pro" w:cs="Times New Roman"/>
          <w:sz w:val="20"/>
          <w:szCs w:val="20"/>
        </w:rPr>
        <w:t xml:space="preserve">. The degradation effects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MGD-A7</w:t>
      </w:r>
      <w:r w:rsidRPr="0071635E">
        <w:rPr>
          <w:rFonts w:ascii="Minion Pro" w:hAnsi="Minion Pro" w:cs="Times New Roman"/>
          <w:sz w:val="20"/>
          <w:szCs w:val="20"/>
        </w:rPr>
        <w:t xml:space="preserve"> (left) and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MGD-C9</w:t>
      </w:r>
      <w:r w:rsidRPr="0071635E">
        <w:rPr>
          <w:rFonts w:ascii="Minion Pro" w:hAnsi="Minion Pro" w:cs="Times New Roman"/>
          <w:sz w:val="20"/>
          <w:szCs w:val="20"/>
        </w:rPr>
        <w:t xml:space="preserve"> (right) on IKZF1 and IKZF3 in MV-4-11 cells treated for 24 h at the indicated concentration, respectively.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G</w:t>
      </w:r>
      <w:r w:rsidRPr="0071635E">
        <w:rPr>
          <w:rFonts w:ascii="Minion Pro" w:hAnsi="Minion Pro" w:cs="Times New Roman"/>
          <w:sz w:val="20"/>
          <w:szCs w:val="20"/>
        </w:rPr>
        <w:t xml:space="preserve">. Levels of CK1α (left) and GSPT1 (right) in engineered HEK293T (293T) cells with increasing doses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MGD-C9 </w:t>
      </w:r>
      <w:r w:rsidRPr="0071635E">
        <w:rPr>
          <w:rFonts w:ascii="Minion Pro" w:hAnsi="Minion Pro" w:cs="Times New Roman"/>
          <w:sz w:val="20"/>
          <w:szCs w:val="20"/>
        </w:rPr>
        <w:t xml:space="preserve">for 24 h, respectively.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H</w:t>
      </w:r>
      <w:r w:rsidRPr="0071635E">
        <w:rPr>
          <w:rFonts w:ascii="Minion Pro" w:hAnsi="Minion Pro" w:cs="Times New Roman"/>
          <w:sz w:val="20"/>
          <w:szCs w:val="20"/>
        </w:rPr>
        <w:t xml:space="preserve">. The degradation effects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MGD-C9 </w:t>
      </w:r>
      <w:r w:rsidRPr="0071635E">
        <w:rPr>
          <w:rFonts w:ascii="Minion Pro" w:hAnsi="Minion Pro" w:cs="Times New Roman"/>
          <w:sz w:val="20"/>
          <w:szCs w:val="20"/>
        </w:rPr>
        <w:t xml:space="preserve">on CK1α and GSPT1 in NCI-H929 (left) and MV-4-11 (right) cells treated for 24 h at the indicated concentration, respectively. Data shown are a representative graph of three independent experiments; mean ± SD of triplicates. Student’s </w:t>
      </w:r>
      <w:r w:rsidRPr="0071635E">
        <w:rPr>
          <w:rFonts w:ascii="Minion Pro" w:hAnsi="Minion Pro" w:cs="Times New Roman"/>
          <w:i/>
          <w:iCs/>
          <w:sz w:val="20"/>
          <w:szCs w:val="20"/>
        </w:rPr>
        <w:t>t</w:t>
      </w:r>
      <w:r w:rsidRPr="0071635E">
        <w:rPr>
          <w:rFonts w:ascii="Minion Pro" w:hAnsi="Minion Pro" w:cs="Times New Roman"/>
          <w:sz w:val="20"/>
          <w:szCs w:val="20"/>
        </w:rPr>
        <w:t xml:space="preserve"> test, where “ns” indicates no significance, and “**” represents </w:t>
      </w:r>
      <w:r w:rsidRPr="0071635E">
        <w:rPr>
          <w:rFonts w:ascii="Minion Pro" w:hAnsi="Minion Pro" w:cs="Times New Roman"/>
          <w:i/>
          <w:iCs/>
          <w:sz w:val="20"/>
          <w:szCs w:val="20"/>
        </w:rPr>
        <w:t>p</w:t>
      </w:r>
      <w:r w:rsidRPr="0071635E">
        <w:rPr>
          <w:rFonts w:ascii="Minion Pro" w:hAnsi="Minion Pro" w:cs="Times New Roman"/>
          <w:sz w:val="20"/>
          <w:szCs w:val="20"/>
        </w:rPr>
        <w:t>-value &lt; 0.01.</w:t>
      </w:r>
    </w:p>
    <w:p w14:paraId="01FE8FF3" w14:textId="77777777" w:rsidR="00EF20BF" w:rsidRPr="0071635E" w:rsidRDefault="00000000">
      <w:pPr>
        <w:ind w:firstLineChars="0" w:firstLine="0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noProof/>
          <w:sz w:val="20"/>
          <w:szCs w:val="20"/>
        </w:rPr>
        <w:lastRenderedPageBreak/>
        <w:drawing>
          <wp:inline distT="0" distB="0" distL="0" distR="0" wp14:anchorId="3F39D70D" wp14:editId="28FBF20E">
            <wp:extent cx="5273675" cy="1437640"/>
            <wp:effectExtent l="0" t="0" r="3175" b="0"/>
            <wp:docPr id="113210929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109298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t="8090" b="730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79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E511A8" w14:textId="77777777" w:rsidR="00EF20BF" w:rsidRPr="0071635E" w:rsidRDefault="00000000">
      <w:pPr>
        <w:spacing w:line="300" w:lineRule="auto"/>
        <w:ind w:firstLineChars="0" w:firstLine="0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sz w:val="20"/>
          <w:szCs w:val="20"/>
        </w:rPr>
        <w:t>FIGURE S3.</w:t>
      </w:r>
      <w:r w:rsidRPr="0071635E">
        <w:rPr>
          <w:rFonts w:ascii="Minion Pro" w:hAnsi="Minion Pro" w:cs="Times New Roman"/>
          <w:sz w:val="20"/>
          <w:szCs w:val="20"/>
        </w:rPr>
        <w:t xml:space="preserve"> Viability of control vector and CRBN</w:t>
      </w:r>
      <w:r w:rsidRPr="0071635E">
        <w:rPr>
          <w:rFonts w:ascii="Minion Pro" w:hAnsi="Minion Pro" w:cs="Times New Roman"/>
          <w:sz w:val="20"/>
          <w:szCs w:val="20"/>
          <w:vertAlign w:val="superscript"/>
        </w:rPr>
        <w:t>−/−</w:t>
      </w:r>
      <w:r w:rsidRPr="0071635E">
        <w:rPr>
          <w:rFonts w:ascii="Minion Pro" w:hAnsi="Minion Pro" w:cs="Times New Roman"/>
          <w:sz w:val="20"/>
          <w:szCs w:val="20"/>
        </w:rPr>
        <w:t xml:space="preserve"> MV-4-11 cells treated with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MGD-A7 </w:t>
      </w:r>
      <w:r w:rsidRPr="0071635E">
        <w:rPr>
          <w:rFonts w:ascii="Minion Pro" w:hAnsi="Minion Pro" w:cs="Times New Roman"/>
          <w:sz w:val="20"/>
          <w:szCs w:val="20"/>
        </w:rPr>
        <w:t>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A</w:t>
      </w:r>
      <w:r w:rsidRPr="0071635E">
        <w:rPr>
          <w:rFonts w:ascii="Minion Pro" w:hAnsi="Minion Pro" w:cs="Times New Roman"/>
          <w:sz w:val="20"/>
          <w:szCs w:val="20"/>
        </w:rPr>
        <w:t>)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</w:t>
      </w:r>
      <w:r w:rsidRPr="0071635E">
        <w:rPr>
          <w:rFonts w:ascii="Minion Pro" w:hAnsi="Minion Pro" w:cs="Times New Roman"/>
          <w:sz w:val="20"/>
          <w:szCs w:val="20"/>
        </w:rPr>
        <w:t xml:space="preserve">and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MGD-C9</w:t>
      </w:r>
      <w:r w:rsidRPr="0071635E">
        <w:rPr>
          <w:rFonts w:ascii="Minion Pro" w:hAnsi="Minion Pro" w:cs="Times New Roman"/>
          <w:sz w:val="20"/>
          <w:szCs w:val="20"/>
        </w:rPr>
        <w:t xml:space="preserve"> 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B</w:t>
      </w:r>
      <w:r w:rsidRPr="0071635E">
        <w:rPr>
          <w:rFonts w:ascii="Minion Pro" w:hAnsi="Minion Pro" w:cs="Times New Roman"/>
          <w:sz w:val="20"/>
          <w:szCs w:val="20"/>
        </w:rPr>
        <w:t>)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</w:t>
      </w:r>
      <w:r w:rsidRPr="0071635E">
        <w:rPr>
          <w:rFonts w:ascii="Minion Pro" w:hAnsi="Minion Pro" w:cs="Times New Roman"/>
          <w:sz w:val="20"/>
          <w:szCs w:val="20"/>
        </w:rPr>
        <w:t>for 96 h. Data shown are a representative graph of three independent experiments; mean ± SD of triplicates.</w:t>
      </w:r>
    </w:p>
    <w:p w14:paraId="77E30C3C" w14:textId="77777777" w:rsidR="00EF20BF" w:rsidRPr="0071635E" w:rsidRDefault="00EF20BF">
      <w:pPr>
        <w:spacing w:line="300" w:lineRule="auto"/>
        <w:ind w:firstLine="402"/>
        <w:rPr>
          <w:rFonts w:ascii="Minion Pro" w:hAnsi="Minion Pro" w:cs="Times New Roman"/>
          <w:b/>
          <w:bCs/>
          <w:sz w:val="20"/>
          <w:szCs w:val="20"/>
        </w:rPr>
      </w:pPr>
    </w:p>
    <w:p w14:paraId="5C593F19" w14:textId="77777777" w:rsidR="00EF20BF" w:rsidRPr="0071635E" w:rsidRDefault="00000000">
      <w:pPr>
        <w:spacing w:line="300" w:lineRule="auto"/>
        <w:ind w:firstLineChars="0" w:firstLine="0"/>
        <w:jc w:val="center"/>
        <w:rPr>
          <w:rFonts w:ascii="Minion Pro" w:hAnsi="Minion Pro" w:cs="Times New Roman"/>
          <w:b/>
          <w:bCs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noProof/>
          <w:sz w:val="20"/>
          <w:szCs w:val="20"/>
        </w:rPr>
        <w:drawing>
          <wp:inline distT="0" distB="0" distL="0" distR="0" wp14:anchorId="6481BEE0" wp14:editId="608495A1">
            <wp:extent cx="4435475" cy="2763520"/>
            <wp:effectExtent l="0" t="0" r="14605" b="10160"/>
            <wp:docPr id="20913986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139861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 t="5046" b="51807"/>
                    <a:stretch>
                      <a:fillRect/>
                    </a:stretch>
                  </pic:blipFill>
                  <pic:spPr>
                    <a:xfrm>
                      <a:off x="0" y="0"/>
                      <a:ext cx="4435475" cy="27635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69219" w14:textId="77777777" w:rsidR="00EF20BF" w:rsidRPr="0071635E" w:rsidRDefault="00000000">
      <w:pPr>
        <w:spacing w:line="300" w:lineRule="auto"/>
        <w:ind w:firstLineChars="0" w:firstLine="0"/>
        <w:rPr>
          <w:rFonts w:ascii="Minion Pro" w:hAnsi="Minion Pro" w:cs="Times New Roman"/>
          <w:sz w:val="20"/>
          <w:szCs w:val="20"/>
        </w:rPr>
      </w:pPr>
      <w:r w:rsidRPr="0071635E">
        <w:rPr>
          <w:rFonts w:ascii="Minion Pro" w:hAnsi="Minion Pro" w:cs="Times New Roman"/>
          <w:b/>
          <w:bCs/>
          <w:sz w:val="20"/>
          <w:szCs w:val="20"/>
        </w:rPr>
        <w:t>FIGURE S4. MGD-C9</w:t>
      </w:r>
      <w:r w:rsidRPr="0071635E">
        <w:rPr>
          <w:rFonts w:ascii="Minion Pro" w:hAnsi="Minion Pro" w:cs="Times New Roman"/>
          <w:sz w:val="20"/>
          <w:szCs w:val="20"/>
        </w:rPr>
        <w:t xml:space="preserve"> displayed significant synergistic effects with standard-of-care agents.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A-B</w:t>
      </w:r>
      <w:r w:rsidRPr="0071635E">
        <w:rPr>
          <w:rFonts w:ascii="Minion Pro" w:hAnsi="Minion Pro" w:cs="Times New Roman"/>
          <w:sz w:val="20"/>
          <w:szCs w:val="20"/>
        </w:rPr>
        <w:t xml:space="preserve">. Effects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MGD-C9</w:t>
      </w:r>
      <w:r w:rsidRPr="0071635E">
        <w:rPr>
          <w:rFonts w:ascii="Minion Pro" w:hAnsi="Minion Pro" w:cs="Times New Roman"/>
          <w:sz w:val="20"/>
          <w:szCs w:val="20"/>
        </w:rPr>
        <w:t xml:space="preserve"> with </w:t>
      </w:r>
      <w:proofErr w:type="spellStart"/>
      <w:r w:rsidRPr="0071635E">
        <w:rPr>
          <w:rFonts w:ascii="Minion Pro" w:hAnsi="Minion Pro" w:cs="Times New Roman"/>
          <w:sz w:val="20"/>
          <w:szCs w:val="20"/>
        </w:rPr>
        <w:t>pirtobrutinib</w:t>
      </w:r>
      <w:proofErr w:type="spellEnd"/>
      <w:r w:rsidRPr="0071635E">
        <w:rPr>
          <w:rFonts w:ascii="Minion Pro" w:hAnsi="Minion Pro" w:cs="Times New Roman"/>
          <w:sz w:val="20"/>
          <w:szCs w:val="20"/>
        </w:rPr>
        <w:t xml:space="preserve"> 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A</w:t>
      </w:r>
      <w:r w:rsidRPr="0071635E">
        <w:rPr>
          <w:rFonts w:ascii="Minion Pro" w:hAnsi="Minion Pro" w:cs="Times New Roman"/>
          <w:sz w:val="20"/>
          <w:szCs w:val="20"/>
        </w:rPr>
        <w:t xml:space="preserve">) and </w:t>
      </w:r>
      <w:proofErr w:type="spellStart"/>
      <w:r w:rsidRPr="0071635E">
        <w:rPr>
          <w:rFonts w:ascii="Minion Pro" w:hAnsi="Minion Pro" w:cs="Times New Roman"/>
          <w:sz w:val="20"/>
          <w:szCs w:val="20"/>
        </w:rPr>
        <w:t>ivosidenib</w:t>
      </w:r>
      <w:proofErr w:type="spellEnd"/>
      <w:r w:rsidRPr="0071635E">
        <w:rPr>
          <w:rFonts w:ascii="Minion Pro" w:hAnsi="Minion Pro" w:cs="Times New Roman"/>
          <w:sz w:val="20"/>
          <w:szCs w:val="20"/>
        </w:rPr>
        <w:t xml:space="preserve"> 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B</w:t>
      </w:r>
      <w:r w:rsidRPr="0071635E">
        <w:rPr>
          <w:rFonts w:ascii="Minion Pro" w:hAnsi="Minion Pro" w:cs="Times New Roman"/>
          <w:sz w:val="20"/>
          <w:szCs w:val="20"/>
        </w:rPr>
        <w:t xml:space="preserve">) as single agents or drug combinations in NCI-H929 cells. Viability was measured 96 h after treatment with the indicated concentrations of drugs.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C</w:t>
      </w:r>
      <w:r w:rsidRPr="0071635E">
        <w:rPr>
          <w:rFonts w:ascii="Minion Pro" w:hAnsi="Minion Pro" w:cs="Times New Roman"/>
          <w:sz w:val="20"/>
          <w:szCs w:val="20"/>
        </w:rPr>
        <w:t>. The CI values were calculated from Fa values of 0.05-0.95 by the Chou-Talalay equation using multiple doses and response points in (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A</w:t>
      </w:r>
      <w:r w:rsidRPr="0071635E">
        <w:rPr>
          <w:rFonts w:ascii="Minion Pro" w:hAnsi="Minion Pro" w:cs="Times New Roman"/>
          <w:sz w:val="20"/>
          <w:szCs w:val="20"/>
        </w:rPr>
        <w:t xml:space="preserve">,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B</w:t>
      </w:r>
      <w:r w:rsidRPr="0071635E">
        <w:rPr>
          <w:rFonts w:ascii="Minion Pro" w:hAnsi="Minion Pro" w:cs="Times New Roman"/>
          <w:sz w:val="20"/>
          <w:szCs w:val="20"/>
        </w:rPr>
        <w:t>), and the data are averages of three independent determinations.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 xml:space="preserve"> D</w:t>
      </w:r>
      <w:r w:rsidRPr="0071635E">
        <w:rPr>
          <w:rFonts w:ascii="Minion Pro" w:hAnsi="Minion Pro" w:cs="Times New Roman"/>
          <w:sz w:val="20"/>
          <w:szCs w:val="20"/>
        </w:rPr>
        <w:t>. Representative flow cytometry images illustrate the cell cycle distributions in NCI-H929 (up) and MV-4-11 (bottom) cells</w:t>
      </w:r>
      <w:r w:rsidRPr="0071635E">
        <w:rPr>
          <w:rFonts w:ascii="Minion Pro" w:hAnsi="Minion Pro"/>
          <w:sz w:val="20"/>
          <w:szCs w:val="20"/>
        </w:rPr>
        <w:t xml:space="preserve"> </w:t>
      </w:r>
      <w:r w:rsidRPr="0071635E">
        <w:rPr>
          <w:rFonts w:ascii="Minion Pro" w:hAnsi="Minion Pro" w:cs="Times New Roman"/>
          <w:sz w:val="20"/>
          <w:szCs w:val="20"/>
        </w:rPr>
        <w:t xml:space="preserve">treated with indicated doses of </w:t>
      </w:r>
      <w:r w:rsidRPr="0071635E">
        <w:rPr>
          <w:rFonts w:ascii="Minion Pro" w:hAnsi="Minion Pro" w:cs="Times New Roman"/>
          <w:b/>
          <w:bCs/>
          <w:sz w:val="20"/>
          <w:szCs w:val="20"/>
        </w:rPr>
        <w:t>MGD-C9</w:t>
      </w:r>
      <w:r w:rsidRPr="0071635E">
        <w:rPr>
          <w:rFonts w:ascii="Minion Pro" w:hAnsi="Minion Pro" w:cs="Times New Roman"/>
          <w:sz w:val="20"/>
          <w:szCs w:val="20"/>
        </w:rPr>
        <w:t xml:space="preserve">, </w:t>
      </w:r>
      <w:proofErr w:type="spellStart"/>
      <w:r w:rsidRPr="0071635E">
        <w:rPr>
          <w:rFonts w:ascii="Minion Pro" w:hAnsi="Minion Pro" w:cs="Times New Roman"/>
          <w:sz w:val="20"/>
          <w:szCs w:val="20"/>
        </w:rPr>
        <w:t>pirtobrutinib</w:t>
      </w:r>
      <w:proofErr w:type="spellEnd"/>
      <w:r w:rsidRPr="0071635E">
        <w:rPr>
          <w:rFonts w:ascii="Minion Pro" w:hAnsi="Minion Pro" w:cs="Times New Roman"/>
          <w:sz w:val="20"/>
          <w:szCs w:val="20"/>
        </w:rPr>
        <w:t xml:space="preserve"> and </w:t>
      </w:r>
      <w:proofErr w:type="spellStart"/>
      <w:r w:rsidRPr="0071635E">
        <w:rPr>
          <w:rFonts w:ascii="Minion Pro" w:hAnsi="Minion Pro" w:cs="Times New Roman"/>
          <w:sz w:val="20"/>
          <w:szCs w:val="20"/>
        </w:rPr>
        <w:t>ivosidenib</w:t>
      </w:r>
      <w:proofErr w:type="spellEnd"/>
      <w:r w:rsidRPr="0071635E">
        <w:rPr>
          <w:rFonts w:ascii="Minion Pro" w:hAnsi="Minion Pro" w:cs="Times New Roman"/>
          <w:sz w:val="20"/>
          <w:szCs w:val="20"/>
        </w:rPr>
        <w:t xml:space="preserve"> as single agents or drug combinations over a 72-hour period. </w:t>
      </w:r>
      <w:proofErr w:type="gramStart"/>
      <w:r w:rsidRPr="0071635E">
        <w:rPr>
          <w:rFonts w:ascii="Minion Pro" w:hAnsi="Minion Pro" w:cs="Times New Roman"/>
          <w:sz w:val="20"/>
          <w:szCs w:val="20"/>
        </w:rPr>
        <w:t>Data are mean ±</w:t>
      </w:r>
      <w:proofErr w:type="gramEnd"/>
      <w:r w:rsidRPr="0071635E">
        <w:rPr>
          <w:rFonts w:ascii="Minion Pro" w:hAnsi="Minion Pro" w:cs="Times New Roman"/>
          <w:sz w:val="20"/>
          <w:szCs w:val="20"/>
        </w:rPr>
        <w:t xml:space="preserve"> SD, n = 3.</w:t>
      </w:r>
    </w:p>
    <w:p w14:paraId="50AFB820" w14:textId="77777777" w:rsidR="00EF20BF" w:rsidRPr="0071635E" w:rsidRDefault="00EF20BF">
      <w:pPr>
        <w:spacing w:line="300" w:lineRule="auto"/>
        <w:ind w:firstLineChars="0" w:firstLine="0"/>
        <w:rPr>
          <w:rFonts w:ascii="Minion Pro" w:hAnsi="Minion Pro" w:cs="Times New Roman"/>
          <w:sz w:val="20"/>
          <w:szCs w:val="20"/>
        </w:rPr>
      </w:pPr>
    </w:p>
    <w:sectPr w:rsidR="00EF20BF" w:rsidRPr="0071635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83EDD9" w14:textId="77777777" w:rsidR="001B2754" w:rsidRDefault="001B2754">
      <w:pPr>
        <w:spacing w:line="240" w:lineRule="auto"/>
        <w:ind w:firstLine="420"/>
      </w:pPr>
      <w:r>
        <w:separator/>
      </w:r>
    </w:p>
  </w:endnote>
  <w:endnote w:type="continuationSeparator" w:id="0">
    <w:p w14:paraId="5D5AC7B8" w14:textId="77777777" w:rsidR="001B2754" w:rsidRDefault="001B2754"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nion Pro">
    <w:altName w:val="Times New Roman"/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09F0C" w14:textId="77777777" w:rsidR="00EF20BF" w:rsidRDefault="00EF20BF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569885692"/>
    </w:sdtPr>
    <w:sdtContent>
      <w:p w14:paraId="5A71AAB8" w14:textId="77777777" w:rsidR="00EF20BF" w:rsidRDefault="00000000">
        <w:pPr>
          <w:pStyle w:val="Footer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55AF2A09" w14:textId="77777777" w:rsidR="00EF20BF" w:rsidRDefault="00EF20BF">
    <w:pPr>
      <w:pStyle w:val="Footer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8DABD8" w14:textId="77777777" w:rsidR="00EF20BF" w:rsidRDefault="00EF20BF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4D8EB9" w14:textId="77777777" w:rsidR="001B2754" w:rsidRDefault="001B2754">
      <w:pPr>
        <w:ind w:firstLine="420"/>
      </w:pPr>
      <w:r>
        <w:separator/>
      </w:r>
    </w:p>
  </w:footnote>
  <w:footnote w:type="continuationSeparator" w:id="0">
    <w:p w14:paraId="69062BD7" w14:textId="77777777" w:rsidR="001B2754" w:rsidRDefault="001B2754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FE862" w14:textId="77777777" w:rsidR="00EF20BF" w:rsidRDefault="00EF20BF">
    <w:pPr>
      <w:pStyle w:val="Header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897DF7" w14:textId="77777777" w:rsidR="00EF20BF" w:rsidRDefault="00EF20BF">
    <w:pPr>
      <w:pStyle w:val="Header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5AC20D" w14:textId="77777777" w:rsidR="00EF20BF" w:rsidRDefault="00EF20BF">
    <w:pPr>
      <w:pStyle w:val="Header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FD04274"/>
    <w:rsid w:val="00061B69"/>
    <w:rsid w:val="00063027"/>
    <w:rsid w:val="00141D27"/>
    <w:rsid w:val="001B2754"/>
    <w:rsid w:val="001D289D"/>
    <w:rsid w:val="002865D0"/>
    <w:rsid w:val="002E12F6"/>
    <w:rsid w:val="003A45C5"/>
    <w:rsid w:val="00407FA1"/>
    <w:rsid w:val="00561A5D"/>
    <w:rsid w:val="00571604"/>
    <w:rsid w:val="005B4059"/>
    <w:rsid w:val="005F3010"/>
    <w:rsid w:val="00660332"/>
    <w:rsid w:val="006A594D"/>
    <w:rsid w:val="007151E8"/>
    <w:rsid w:val="0071635E"/>
    <w:rsid w:val="007B4099"/>
    <w:rsid w:val="00801A81"/>
    <w:rsid w:val="00914AA4"/>
    <w:rsid w:val="00B87AFE"/>
    <w:rsid w:val="00C55C94"/>
    <w:rsid w:val="00D265FF"/>
    <w:rsid w:val="00D52821"/>
    <w:rsid w:val="00D90277"/>
    <w:rsid w:val="00DF7950"/>
    <w:rsid w:val="00EF20BF"/>
    <w:rsid w:val="00F846F4"/>
    <w:rsid w:val="00FA6C08"/>
    <w:rsid w:val="00FD4A52"/>
    <w:rsid w:val="093E43D4"/>
    <w:rsid w:val="0FD04274"/>
    <w:rsid w:val="50913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336AFA1"/>
  <w14:defaultImageDpi w14:val="32767"/>
  <w15:docId w15:val="{DB016D63-8C18-4D47-9F29-A3BC2EC95C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spacing w:line="360" w:lineRule="auto"/>
      <w:ind w:firstLineChars="200" w:firstLine="200"/>
      <w:jc w:val="both"/>
    </w:pPr>
    <w:rPr>
      <w:rFonts w:cstheme="minorBidi"/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pPr>
      <w:jc w:val="left"/>
    </w:pPr>
  </w:style>
  <w:style w:type="paragraph" w:styleId="Footer">
    <w:name w:val="footer"/>
    <w:basedOn w:val="Normal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qFormat/>
    <w:rPr>
      <w:b/>
      <w:bCs/>
    </w:rPr>
  </w:style>
  <w:style w:type="character" w:styleId="CommentReference">
    <w:name w:val="annotation reference"/>
    <w:basedOn w:val="DefaultParagraphFont"/>
    <w:qFormat/>
    <w:rPr>
      <w:sz w:val="21"/>
      <w:szCs w:val="21"/>
    </w:rPr>
  </w:style>
  <w:style w:type="character" w:customStyle="1" w:styleId="CommentTextChar">
    <w:name w:val="Comment Text Char"/>
    <w:basedOn w:val="DefaultParagraphFont"/>
    <w:link w:val="CommentText"/>
    <w:qFormat/>
    <w:rPr>
      <w:rFonts w:cstheme="minorBidi"/>
      <w:kern w:val="2"/>
      <w:sz w:val="21"/>
      <w:szCs w:val="22"/>
    </w:rPr>
  </w:style>
  <w:style w:type="character" w:customStyle="1" w:styleId="CommentSubjectChar">
    <w:name w:val="Comment Subject Char"/>
    <w:basedOn w:val="CommentTextChar"/>
    <w:link w:val="CommentSubject"/>
    <w:qFormat/>
    <w:rPr>
      <w:rFonts w:cstheme="minorBidi"/>
      <w:b/>
      <w:bCs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381</Words>
  <Characters>2175</Characters>
  <Application>Microsoft Office Word</Application>
  <DocSecurity>0</DocSecurity>
  <Lines>18</Lines>
  <Paragraphs>5</Paragraphs>
  <ScaleCrop>false</ScaleCrop>
  <Company/>
  <LinksUpToDate>false</LinksUpToDate>
  <CharactersWithSpaces>2551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Mia</dc:creator>
  <cp:lastModifiedBy>Tech Science Press</cp:lastModifiedBy>
  <cp:revision>13</cp:revision>
  <dcterms:created xsi:type="dcterms:W3CDTF">2025-05-12T06:16:00Z</dcterms:created>
  <dcterms:modified xsi:type="dcterms:W3CDTF">2025-06-26T14:48:00Z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FCC91C3318C744CE9939A83BFB77C46F_11</vt:lpwstr>
  </property>
  <property fmtid="{D5CDD505-2E9C-101B-9397-08002B2CF9AE}" pid="4" name="KSOTemplateDocerSaveRecord">
    <vt:lpwstr>eyJoZGlkIjoiNGQzNmFmODQ1YWIwOTg1MjhlOTUyYjY3NDNjNjM1MDEiLCJ1c2VySWQiOiIyMTM1MjkzOTMifQ==</vt:lpwstr>
  </property>
</Properties>
</file>