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AA716">
      <w:pPr>
        <w:widowControl/>
        <w:spacing w:line="276" w:lineRule="auto"/>
        <w:rPr>
          <w:rFonts w:ascii="Times New Roman" w:hAnsi="Times New Roman" w:eastAsia="宋体" w:cs="Times New Roman"/>
          <w:b/>
          <w:color w:val="auto"/>
          <w:kern w:val="0"/>
          <w:sz w:val="20"/>
          <w:szCs w:val="20"/>
          <w:highlight w:val="none"/>
        </w:rPr>
      </w:pPr>
      <w:r>
        <w:rPr>
          <w:rFonts w:ascii="Times New Roman" w:hAnsi="Times New Roman" w:eastAsia="Cambria" w:cs="Times New Roman"/>
          <w:b/>
          <w:color w:val="auto"/>
          <w:kern w:val="0"/>
          <w:sz w:val="20"/>
          <w:szCs w:val="20"/>
          <w:highlight w:val="none"/>
          <w:lang w:eastAsia="en-US"/>
        </w:rPr>
        <w:t>Supplementary</w:t>
      </w:r>
      <w:r>
        <w:rPr>
          <w:rFonts w:ascii="Times New Roman" w:hAnsi="Times New Roman" w:eastAsia="宋体" w:cs="Times New Roman"/>
          <w:b/>
          <w:color w:val="auto"/>
          <w:kern w:val="0"/>
          <w:sz w:val="20"/>
          <w:szCs w:val="20"/>
          <w:highlight w:val="none"/>
        </w:rPr>
        <w:t xml:space="preserve"> Files:</w:t>
      </w:r>
      <w:bookmarkStart w:id="4" w:name="_GoBack"/>
      <w:bookmarkEnd w:id="4"/>
    </w:p>
    <w:p w14:paraId="3A6CA42F">
      <w:pPr>
        <w:widowControl/>
        <w:spacing w:line="276" w:lineRule="auto"/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</w:pPr>
      <w:r>
        <w:rPr>
          <w:rFonts w:ascii="Times New Roman" w:hAnsi="Times New Roman" w:eastAsia="Cambria" w:cs="Times New Roman"/>
          <w:b/>
          <w:color w:val="auto"/>
          <w:kern w:val="0"/>
          <w:sz w:val="20"/>
          <w:szCs w:val="20"/>
          <w:highlight w:val="none"/>
          <w:lang w:eastAsia="en-US"/>
        </w:rPr>
        <w:t>Supplementary Table S</w:t>
      </w:r>
      <w:r>
        <w:rPr>
          <w:rFonts w:ascii="Times New Roman" w:hAnsi="Times New Roman" w:eastAsia="宋体" w:cs="Times New Roman"/>
          <w:b/>
          <w:color w:val="auto"/>
          <w:kern w:val="0"/>
          <w:sz w:val="20"/>
          <w:szCs w:val="20"/>
          <w:highlight w:val="none"/>
        </w:rPr>
        <w:t>1</w:t>
      </w:r>
      <w:r>
        <w:rPr>
          <w:rFonts w:ascii="Times New Roman" w:hAnsi="Times New Roman" w:eastAsia="Cambria" w:cs="Times New Roman"/>
          <w:b/>
          <w:color w:val="auto"/>
          <w:kern w:val="0"/>
          <w:sz w:val="20"/>
          <w:szCs w:val="20"/>
          <w:highlight w:val="none"/>
          <w:lang w:eastAsia="en-US"/>
        </w:rPr>
        <w:t>:</w:t>
      </w:r>
      <w:r>
        <w:rPr>
          <w:rFonts w:ascii="Times New Roman" w:hAnsi="Times New Roman" w:eastAsia="Cambria" w:cs="Times New Roman"/>
          <w:color w:val="auto"/>
          <w:kern w:val="0"/>
          <w:sz w:val="20"/>
          <w:szCs w:val="20"/>
          <w:highlight w:val="non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highlight w:val="none"/>
          <w:lang w:eastAsia="en-US"/>
        </w:rPr>
        <w:t xml:space="preserve">Binary logistic regression: predictors 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>for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highlight w:val="none"/>
          <w:lang w:eastAsia="en-US"/>
        </w:rPr>
        <w:t xml:space="preserve"> the receipt of chemotherapy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 xml:space="preserve"> in </w:t>
      </w:r>
      <w:r>
        <w:rPr>
          <w:rFonts w:hint="eastAsia"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>O</w:t>
      </w:r>
      <w:r>
        <w:rPr>
          <w:rFonts w:ascii="Times New Roman" w:hAnsi="Times New Roman" w:eastAsia="Times New Roman" w:cs="Times New Roman"/>
          <w:color w:val="auto"/>
          <w:kern w:val="0"/>
          <w:sz w:val="20"/>
          <w:szCs w:val="20"/>
          <w:highlight w:val="none"/>
          <w:lang w:eastAsia="en-US"/>
        </w:rPr>
        <w:t>E</w:t>
      </w:r>
      <w:r>
        <w:rPr>
          <w:rFonts w:hint="eastAsia" w:ascii="Times New Roman" w:hAnsi="Times New Roman" w:cs="Times New Roman"/>
          <w:color w:val="auto"/>
          <w:kern w:val="0"/>
          <w:sz w:val="20"/>
          <w:szCs w:val="20"/>
          <w:highlight w:val="none"/>
        </w:rPr>
        <w:t>C</w:t>
      </w:r>
    </w:p>
    <w:tbl>
      <w:tblPr>
        <w:tblStyle w:val="3"/>
        <w:tblW w:w="7230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843"/>
        <w:gridCol w:w="992"/>
        <w:gridCol w:w="1134"/>
        <w:gridCol w:w="1276"/>
        <w:gridCol w:w="992"/>
        <w:gridCol w:w="993"/>
      </w:tblGrid>
      <w:tr w14:paraId="27C2ADD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2835" w:type="dxa"/>
            <w:gridSpan w:val="2"/>
            <w:vMerge w:val="restar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BFBB49E">
            <w:pPr>
              <w:spacing w:line="276" w:lineRule="auto"/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Term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bottom w:val="nil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5E1B7D5">
            <w:pPr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OR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F565832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95% CI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E824CA2">
            <w:pPr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i/>
                <w:color w:val="auto"/>
                <w:kern w:val="0"/>
                <w:sz w:val="20"/>
                <w:szCs w:val="20"/>
                <w:highlight w:val="none"/>
              </w:rPr>
              <w:t>p</w:t>
            </w:r>
            <w:r>
              <w:rPr>
                <w:rFonts w:hint="eastAsia" w:ascii="Times New Roman" w:hAnsi="Times New Roman" w:eastAsia="宋体" w:cs="Times New Roman"/>
                <w:b/>
                <w:iCs/>
                <w:color w:val="auto"/>
                <w:kern w:val="0"/>
                <w:sz w:val="20"/>
                <w:szCs w:val="20"/>
                <w:highlight w:val="none"/>
              </w:rPr>
              <w:t>-value</w:t>
            </w:r>
          </w:p>
        </w:tc>
      </w:tr>
      <w:tr w14:paraId="2C5BF7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2835" w:type="dxa"/>
            <w:gridSpan w:val="2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066A90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134" w:type="dxa"/>
            <w:vMerge w:val="continue"/>
            <w:tcBorders>
              <w:top w:val="nil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5A27A7F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422AFD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Lower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677DF03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Upper</w:t>
            </w:r>
          </w:p>
        </w:tc>
        <w:tc>
          <w:tcPr>
            <w:tcW w:w="993" w:type="dxa"/>
            <w:vMerge w:val="continue"/>
            <w:tcBorders>
              <w:top w:val="nil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4FB34B48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i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2084583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2835" w:type="dxa"/>
            <w:gridSpan w:val="2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EAD9978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Age at diagnosis</w:t>
            </w:r>
          </w:p>
        </w:tc>
        <w:tc>
          <w:tcPr>
            <w:tcW w:w="1134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7CE4EAE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1.263</w:t>
            </w:r>
          </w:p>
        </w:tc>
        <w:tc>
          <w:tcPr>
            <w:tcW w:w="1276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0AD2921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1.127</w:t>
            </w:r>
          </w:p>
        </w:tc>
        <w:tc>
          <w:tcPr>
            <w:tcW w:w="992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E0F8825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1.415</w:t>
            </w:r>
          </w:p>
        </w:tc>
        <w:tc>
          <w:tcPr>
            <w:tcW w:w="993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4E6ACEB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&lt;0.001</w:t>
            </w:r>
          </w:p>
        </w:tc>
      </w:tr>
      <w:tr w14:paraId="7FD8DA2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28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45409B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Year of diagnosis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D8A4A0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1.201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308633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1.097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991C43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1.315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DDDFA0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&lt;0.001</w:t>
            </w:r>
          </w:p>
        </w:tc>
      </w:tr>
      <w:tr w14:paraId="33661F0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28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DA5725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Race</w:t>
            </w:r>
          </w:p>
        </w:tc>
        <w:tc>
          <w:tcPr>
            <w:tcW w:w="3402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9E4579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DBE827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</w:tr>
      <w:tr w14:paraId="0C55918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DA884D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559F532E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White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ABDBB2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1820D1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reference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AFD429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6AE164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0.329</w:t>
            </w:r>
          </w:p>
        </w:tc>
      </w:tr>
      <w:tr w14:paraId="646918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263756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26AD6639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Black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25CB6A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0.918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F96DF0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0.711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FB4E27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1.185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F21053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0.513</w:t>
            </w:r>
          </w:p>
        </w:tc>
      </w:tr>
      <w:tr w14:paraId="1995C1A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E5BA25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1ABF3BB5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Other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230849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1.129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01D99F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0.938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068154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1.359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9C41D1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0.198</w:t>
            </w:r>
          </w:p>
        </w:tc>
      </w:tr>
      <w:tr w14:paraId="2C3426A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28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37503A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Grade</w:t>
            </w:r>
          </w:p>
        </w:tc>
        <w:tc>
          <w:tcPr>
            <w:tcW w:w="3402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C29727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2D842A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</w:tr>
      <w:tr w14:paraId="2D8A368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B394B7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60FD5C5B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G1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5CF5CB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4E20E5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reference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50DB38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F6A7A5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&lt;0.001</w:t>
            </w:r>
          </w:p>
        </w:tc>
      </w:tr>
      <w:tr w14:paraId="5931282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AFFFF0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3B62C1F7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G2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FA3F33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2.336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577D65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2.062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723487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2.647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55F8A9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&lt;0.001</w:t>
            </w:r>
          </w:p>
        </w:tc>
      </w:tr>
      <w:tr w14:paraId="43DCB30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ACB767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6CE07004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G3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04E719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4.563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228D84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3.860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9BB5EE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5.393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9F2F0C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&lt;0.001</w:t>
            </w:r>
          </w:p>
        </w:tc>
      </w:tr>
      <w:tr w14:paraId="3E660A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28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8F50F8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Substage</w:t>
            </w:r>
          </w:p>
        </w:tc>
        <w:tc>
          <w:tcPr>
            <w:tcW w:w="3402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5BB1E1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C400F9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</w:tr>
      <w:tr w14:paraId="5D17261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40D557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512140F6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IA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455860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5C38C3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reference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FA5B2C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8861A6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&lt;0.001</w:t>
            </w:r>
          </w:p>
        </w:tc>
      </w:tr>
      <w:tr w14:paraId="6024E5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69031D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5C1404A6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IB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A93A3C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1.565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2C13AD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1.236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FB7B56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1.981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B76184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&lt;0.001</w:t>
            </w:r>
          </w:p>
        </w:tc>
      </w:tr>
      <w:tr w14:paraId="7946D03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79936D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235B2D18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IC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195FD1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4.091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7DADA3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3.629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7B0F58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4.612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08879A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&lt;0.001</w:t>
            </w:r>
          </w:p>
        </w:tc>
      </w:tr>
      <w:tr w14:paraId="4EE6AA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0" w:hRule="atLeast"/>
        </w:trPr>
        <w:tc>
          <w:tcPr>
            <w:tcW w:w="28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6D25F1">
            <w:pPr>
              <w:widowControl/>
              <w:spacing w:line="276" w:lineRule="auto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Lymphadenectomy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6397D7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1.148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C51A21">
            <w:pPr>
              <w:widowControl/>
              <w:spacing w:line="276" w:lineRule="auto"/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1.006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8823C1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1.311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D06CB1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kern w:val="0"/>
                <w:sz w:val="20"/>
                <w:szCs w:val="20"/>
                <w:highlight w:val="none"/>
                <w:lang w:eastAsia="en-US"/>
              </w:rPr>
              <w:t>0.040</w:t>
            </w:r>
          </w:p>
        </w:tc>
      </w:tr>
    </w:tbl>
    <w:p w14:paraId="354C3334">
      <w:pPr>
        <w:widowControl/>
        <w:spacing w:line="276" w:lineRule="auto"/>
        <w:rPr>
          <w:rFonts w:ascii="Times New Roman" w:hAnsi="Times New Roman" w:cs="Times New Roman"/>
          <w:color w:val="auto"/>
          <w:kern w:val="0"/>
          <w:sz w:val="20"/>
          <w:szCs w:val="20"/>
          <w:highlight w:val="none"/>
        </w:rPr>
      </w:pPr>
      <w:r>
        <w:rPr>
          <w:rFonts w:ascii="Times New Roman" w:hAnsi="Times New Roman" w:cs="Times New Roman"/>
          <w:iCs/>
          <w:color w:val="auto"/>
          <w:kern w:val="0"/>
          <w:sz w:val="20"/>
          <w:szCs w:val="20"/>
          <w:highlight w:val="none"/>
        </w:rPr>
        <w:t xml:space="preserve">Note: </w:t>
      </w:r>
      <w:r>
        <w:rPr>
          <w:rFonts w:ascii="Times New Roman" w:hAnsi="Times New Roman" w:eastAsia="Cambria" w:cs="Times New Roman"/>
          <w:iCs/>
          <w:color w:val="auto"/>
          <w:kern w:val="0"/>
          <w:sz w:val="20"/>
          <w:szCs w:val="20"/>
          <w:highlight w:val="none"/>
          <w:lang w:eastAsia="en-US"/>
        </w:rPr>
        <w:t xml:space="preserve">Binary logistic regression; </w:t>
      </w:r>
      <w:r>
        <w:rPr>
          <w:rFonts w:ascii="Times New Roman" w:hAnsi="Times New Roman" w:eastAsia="宋体" w:cs="Times New Roman"/>
          <w:i/>
          <w:iCs/>
          <w:color w:val="auto"/>
          <w:kern w:val="0"/>
          <w:sz w:val="20"/>
          <w:szCs w:val="20"/>
          <w:highlight w:val="none"/>
        </w:rPr>
        <w:t>p</w:t>
      </w:r>
      <w:r>
        <w:rPr>
          <w:rFonts w:ascii="Times New Roman" w:hAnsi="Times New Roman" w:eastAsia="宋体" w:cs="Times New Roman"/>
          <w:iCs/>
          <w:color w:val="auto"/>
          <w:kern w:val="0"/>
          <w:sz w:val="20"/>
          <w:szCs w:val="20"/>
          <w:highlight w:val="none"/>
        </w:rPr>
        <w:t>&lt;</w:t>
      </w:r>
      <w:r>
        <w:rPr>
          <w:rFonts w:ascii="Times New Roman" w:hAnsi="Times New Roman" w:eastAsia="Cambria" w:cs="Times New Roman"/>
          <w:iCs/>
          <w:color w:val="auto"/>
          <w:kern w:val="0"/>
          <w:sz w:val="20"/>
          <w:szCs w:val="20"/>
          <w:highlight w:val="none"/>
          <w:lang w:eastAsia="en-US"/>
        </w:rPr>
        <w:t>0.05 is regarded as statistically significant</w:t>
      </w:r>
      <w:r>
        <w:rPr>
          <w:rFonts w:ascii="Times New Roman" w:hAnsi="Times New Roman" w:cs="Times New Roman"/>
          <w:iCs/>
          <w:color w:val="auto"/>
          <w:kern w:val="0"/>
          <w:sz w:val="20"/>
          <w:szCs w:val="20"/>
          <w:highlight w:val="none"/>
        </w:rPr>
        <w:t xml:space="preserve"> (OR &gt;1, chemotherapy administration more likely; OR &lt;1, observation more likely)</w:t>
      </w:r>
      <w:r>
        <w:rPr>
          <w:rFonts w:ascii="Times New Roman" w:hAnsi="Times New Roman" w:eastAsia="Cambria" w:cs="Times New Roman"/>
          <w:iCs/>
          <w:color w:val="auto"/>
          <w:kern w:val="0"/>
          <w:sz w:val="20"/>
          <w:szCs w:val="20"/>
          <w:highlight w:val="none"/>
          <w:lang w:eastAsia="en-US"/>
        </w:rPr>
        <w:t>.</w:t>
      </w:r>
    </w:p>
    <w:p w14:paraId="25C1218B">
      <w:pPr>
        <w:widowControl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color w:val="auto"/>
          <w:kern w:val="0"/>
          <w:sz w:val="20"/>
          <w:szCs w:val="20"/>
          <w:highlight w:val="none"/>
        </w:rPr>
      </w:pPr>
      <w:r>
        <w:rPr>
          <w:rFonts w:ascii="Times New Roman" w:hAnsi="Times New Roman" w:eastAsia="Cambria" w:cs="Times New Roman"/>
          <w:b/>
          <w:color w:val="auto"/>
          <w:kern w:val="0"/>
          <w:sz w:val="20"/>
          <w:szCs w:val="20"/>
          <w:highlight w:val="none"/>
          <w:lang w:eastAsia="en-US"/>
        </w:rPr>
        <w:t xml:space="preserve">Supplementary Table S2: </w:t>
      </w:r>
      <w:r>
        <w:rPr>
          <w:rFonts w:ascii="Times New Roman" w:hAnsi="Times New Roman" w:eastAsia="Cambria" w:cs="Times New Roman"/>
          <w:color w:val="auto"/>
          <w:kern w:val="0"/>
          <w:sz w:val="20"/>
          <w:szCs w:val="20"/>
          <w:highlight w:val="none"/>
          <w:lang w:eastAsia="en-US"/>
        </w:rPr>
        <w:t>Current guideline recommendations on whether to administer chemotherapy for early-stage</w:t>
      </w:r>
      <w:r>
        <w:rPr>
          <w:rFonts w:hint="eastAsia" w:ascii="Times New Roman" w:hAnsi="Times New Roman" w:cs="Times New Roman"/>
          <w:color w:val="auto"/>
          <w:kern w:val="0"/>
          <w:sz w:val="20"/>
          <w:szCs w:val="20"/>
          <w:highlight w:val="none"/>
        </w:rPr>
        <w:t xml:space="preserve"> OEC</w:t>
      </w:r>
      <w:r>
        <w:rPr>
          <w:rFonts w:hint="eastAsia" w:ascii="Times New Roman" w:hAnsi="Times New Roman" w:cs="Times New Roman"/>
          <w:b/>
          <w:bCs/>
          <w:color w:val="auto"/>
          <w:kern w:val="0"/>
          <w:sz w:val="20"/>
          <w:szCs w:val="20"/>
          <w:highlight w:val="none"/>
        </w:rPr>
        <w:t>.</w:t>
      </w:r>
    </w:p>
    <w:tbl>
      <w:tblPr>
        <w:tblStyle w:val="6"/>
        <w:tblW w:w="11340" w:type="dxa"/>
        <w:tblInd w:w="-1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992"/>
        <w:gridCol w:w="992"/>
        <w:gridCol w:w="992"/>
        <w:gridCol w:w="993"/>
        <w:gridCol w:w="992"/>
        <w:gridCol w:w="1134"/>
        <w:gridCol w:w="1134"/>
        <w:gridCol w:w="992"/>
        <w:gridCol w:w="992"/>
      </w:tblGrid>
      <w:tr w14:paraId="5EE4A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127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7D309DFF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  <w:t>Guidelines</w:t>
            </w:r>
          </w:p>
        </w:tc>
        <w:tc>
          <w:tcPr>
            <w:tcW w:w="99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4D2A2AEF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IA-G1</w:t>
            </w:r>
          </w:p>
        </w:tc>
        <w:tc>
          <w:tcPr>
            <w:tcW w:w="99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65BDF0DB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IA-G2</w:t>
            </w:r>
          </w:p>
        </w:tc>
        <w:tc>
          <w:tcPr>
            <w:tcW w:w="99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42CE0030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IA-G3</w:t>
            </w:r>
          </w:p>
        </w:tc>
        <w:tc>
          <w:tcPr>
            <w:tcW w:w="993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73EA0A3A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IB-G1</w:t>
            </w:r>
          </w:p>
        </w:tc>
        <w:tc>
          <w:tcPr>
            <w:tcW w:w="99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74973646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IB-G2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680A0826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IB-G3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63E78939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IC-G1</w:t>
            </w:r>
          </w:p>
        </w:tc>
        <w:tc>
          <w:tcPr>
            <w:tcW w:w="99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44882D5E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IC-G2</w:t>
            </w:r>
          </w:p>
        </w:tc>
        <w:tc>
          <w:tcPr>
            <w:tcW w:w="992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 w14:paraId="37414AF0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IC-G3</w:t>
            </w:r>
          </w:p>
        </w:tc>
      </w:tr>
      <w:tr w14:paraId="40387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12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026F3F1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  <w:t>NCCN</w:t>
            </w: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 xml:space="preserve"> (2024)</w:t>
            </w:r>
            <w:r>
              <w:rPr>
                <w:rFonts w:hint="eastAsia" w:ascii="Times New Roman" w:hAnsi="Times New Roman" w:eastAsia="宋体" w:cs="Times New Roman"/>
                <w:color w:val="auto"/>
                <w:sz w:val="22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[9]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1691675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78F38EF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 or 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C87E5A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482977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0FA12AA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 or C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4AADA73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98B4DB0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 or 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0301F99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138EF13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</w:tr>
      <w:tr w14:paraId="45A32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12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0B7D8E9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  <w:t>CSCO</w:t>
            </w: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 xml:space="preserve"> (2024)</w:t>
            </w:r>
            <w:r>
              <w:rPr>
                <w:rFonts w:hint="eastAsia" w:ascii="Times New Roman" w:hAnsi="Times New Roman" w:eastAsia="宋体" w:cs="Times New Roman"/>
                <w:color w:val="auto"/>
                <w:sz w:val="22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[11]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809604C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AC034F9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 or 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ABD2DD7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69474D7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8530685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 or C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42DC872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B6FBD18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8B608FA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6A832EB1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</w:tr>
      <w:tr w14:paraId="54FA6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12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C77EB01">
            <w:pPr>
              <w:widowControl/>
              <w:spacing w:line="276" w:lineRule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sz w:val="22"/>
                <w:highlight w:val="none"/>
              </w:rPr>
              <w:t>ESMO</w:t>
            </w:r>
            <w:r>
              <w:rPr>
                <w:rFonts w:ascii="Times New Roman" w:hAnsi="Times New Roman" w:eastAsia="宋体" w:cs="Times New Roman"/>
                <w:b w:val="0"/>
                <w:bCs w:val="0"/>
                <w:color w:val="auto"/>
                <w:sz w:val="22"/>
                <w:highlight w:val="none"/>
              </w:rPr>
              <w:t xml:space="preserve"> (2023)</w:t>
            </w:r>
            <w:r>
              <w:rPr>
                <w:rFonts w:hint="eastAsia" w:ascii="Times New Roman" w:hAnsi="Times New Roman" w:eastAsia="宋体" w:cs="Times New Roman"/>
                <w:color w:val="auto"/>
                <w:sz w:val="22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[10]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F7F8438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A001FBF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1CEE68F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96FE5AD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4CADCB6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5821B2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B590D6C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264C90C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6F81788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2"/>
                <w:highlight w:val="none"/>
              </w:rPr>
              <w:t>C</w:t>
            </w:r>
          </w:p>
        </w:tc>
      </w:tr>
      <w:tr w14:paraId="1C42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12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3E365AE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bookmarkStart w:id="0" w:name="_Hlk107737824"/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NCCN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 xml:space="preserve"> (2022)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  <w:t>[3]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5C075D0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3748FD9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9BF1ECC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40D3CF8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AE8CD29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0137A48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646F492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B216BC4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C30192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</w:tr>
      <w:bookmarkEnd w:id="0"/>
      <w:tr w14:paraId="3026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6ACC0DF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FIGO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 xml:space="preserve"> (2021)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C6FFEDC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F90FB37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80236C9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7FC93A4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B8AD27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D7A24E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7A952E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2B9CF84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D5AD192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</w:tr>
      <w:tr w14:paraId="6F17E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5E0B5F6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bookmarkStart w:id="1" w:name="_Hlk107737851"/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CSCO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 xml:space="preserve"> (2021)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8B182D9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F58890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284CBF6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B91796E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6EC3B5E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AE46C9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DE6B5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EC94FD6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C088D0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</w:tr>
      <w:bookmarkEnd w:id="1"/>
      <w:tr w14:paraId="1D008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37B4673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JSGO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 xml:space="preserve"> (2020)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  <w:t>[7]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B4A6D24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149BCDE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4DF72BA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B4140D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161F1FE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8D6E6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D1F435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A928053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151DFB8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</w:tr>
      <w:tr w14:paraId="69851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7757F78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SEOM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 xml:space="preserve"> (2020)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  <w:t>[8]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1A7E241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09FB248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9871F63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FCC11C0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2D1C519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831B77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C14D5E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6C1DE45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678F614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</w:tr>
      <w:tr w14:paraId="72CE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2127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32E5836B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KSGO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 xml:space="preserve"> (2018)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2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</w:rPr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29EF6C60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611D63CF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3F8ADA3C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4CE30810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3CB9269A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O or C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260AC527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063A2F88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013E1707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 w14:paraId="460617DF">
            <w:pPr>
              <w:widowControl/>
              <w:spacing w:line="276" w:lineRule="auto"/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en-US"/>
              </w:rPr>
              <w:t>C</w:t>
            </w:r>
          </w:p>
        </w:tc>
      </w:tr>
    </w:tbl>
    <w:p w14:paraId="7CC020DA">
      <w:pPr>
        <w:widowControl/>
        <w:spacing w:line="276" w:lineRule="auto"/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</w:pP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 xml:space="preserve">Note: 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  <w:lang w:eastAsia="en-US"/>
        </w:rPr>
        <w:t>O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>,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  <w:lang w:eastAsia="en-US"/>
        </w:rPr>
        <w:t xml:space="preserve"> observation; C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>,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  <w:lang w:eastAsia="en-US"/>
        </w:rPr>
        <w:t xml:space="preserve"> chemotherapy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 xml:space="preserve">; </w:t>
      </w:r>
      <w:bookmarkStart w:id="2" w:name="OLE_LINK33"/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>NCCN, National Comprehensive Cancer Network; FIGO, International Federation of Gynecology and Obstetrics; CSCO,</w:t>
      </w:r>
      <w:r>
        <w:rPr>
          <w:rFonts w:ascii="Arial" w:hAnsi="Arial" w:cs="Arial"/>
          <w:color w:val="auto"/>
          <w:sz w:val="23"/>
          <w:szCs w:val="23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 xml:space="preserve">Chinese Society of Clinical Oncology; JSGO, </w:t>
      </w:r>
      <w:r>
        <w:rPr>
          <w:rFonts w:hint="eastAsia"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>Japan Society of Gynecologic Oncology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>; SEOM, Spanish Society for Medical Oncology; KSGO,</w:t>
      </w:r>
      <w:r>
        <w:rPr>
          <w:rFonts w:hint="eastAsia"/>
          <w:color w:val="auto"/>
          <w:highlight w:val="none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 xml:space="preserve">Korean Society of Gynecologic Oncology; ESMO, </w:t>
      </w:r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>European Society for Medical Oncology</w:t>
      </w:r>
      <w:bookmarkEnd w:id="2"/>
      <w:r>
        <w:rPr>
          <w:rFonts w:ascii="Times New Roman" w:hAnsi="Times New Roman" w:eastAsia="宋体" w:cs="Times New Roman"/>
          <w:color w:val="auto"/>
          <w:kern w:val="0"/>
          <w:sz w:val="20"/>
          <w:szCs w:val="20"/>
          <w:highlight w:val="none"/>
        </w:rPr>
        <w:t>.</w:t>
      </w:r>
    </w:p>
    <w:p w14:paraId="71B94E64">
      <w:pPr>
        <w:widowControl/>
        <w:spacing w:line="276" w:lineRule="auto"/>
        <w:ind w:firstLine="402" w:firstLineChars="200"/>
        <w:rPr>
          <w:rFonts w:ascii="Times New Roman" w:hAnsi="Times New Roman" w:eastAsia="宋体" w:cs="Times New Roman"/>
          <w:b/>
          <w:bCs/>
          <w:color w:val="auto"/>
          <w:kern w:val="0"/>
          <w:sz w:val="20"/>
          <w:szCs w:val="20"/>
          <w:highlight w:val="none"/>
          <w:lang w:eastAsia="en-US"/>
        </w:rPr>
      </w:pPr>
    </w:p>
    <w:p w14:paraId="290A780A">
      <w:pPr>
        <w:widowControl/>
        <w:spacing w:line="276" w:lineRule="auto"/>
        <w:rPr>
          <w:rFonts w:ascii="Times New Roman" w:hAnsi="Times New Roman" w:eastAsia="宋体" w:cs="Times New Roman"/>
          <w:b/>
          <w:bCs/>
          <w:color w:val="auto"/>
          <w:kern w:val="0"/>
          <w:sz w:val="20"/>
          <w:szCs w:val="20"/>
          <w:highlight w:val="none"/>
        </w:rPr>
      </w:pPr>
      <w:r>
        <w:rPr>
          <w:rFonts w:ascii="Times New Roman" w:hAnsi="Times New Roman" w:eastAsia="宋体" w:cs="Times New Roman"/>
          <w:b/>
          <w:bCs/>
          <w:color w:val="auto"/>
          <w:kern w:val="0"/>
          <w:sz w:val="20"/>
          <w:szCs w:val="20"/>
          <w:highlight w:val="none"/>
          <w:lang w:eastAsia="en-US"/>
        </w:rPr>
        <w:t>Supplementary Table S3: The basic characteristics and quality evaluation of included studies.</w:t>
      </w:r>
      <w:bookmarkStart w:id="3" w:name="_Hlk200032406"/>
    </w:p>
    <w:bookmarkEnd w:id="3"/>
    <w:tbl>
      <w:tblPr>
        <w:tblStyle w:val="4"/>
        <w:tblW w:w="11782" w:type="dxa"/>
        <w:tblInd w:w="-1701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985"/>
        <w:gridCol w:w="1366"/>
        <w:gridCol w:w="1262"/>
        <w:gridCol w:w="1263"/>
        <w:gridCol w:w="1122"/>
        <w:gridCol w:w="981"/>
        <w:gridCol w:w="1122"/>
        <w:gridCol w:w="1122"/>
      </w:tblGrid>
      <w:tr w14:paraId="45A2A5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632D3FD">
            <w:pPr>
              <w:pStyle w:val="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Study</w:t>
            </w:r>
          </w:p>
        </w:tc>
        <w:tc>
          <w:tcPr>
            <w:tcW w:w="19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FB6D39">
            <w:pPr>
              <w:pStyle w:val="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Groups</w:t>
            </w:r>
          </w:p>
        </w:tc>
        <w:tc>
          <w:tcPr>
            <w:tcW w:w="136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99F528">
            <w:pPr>
              <w:pStyle w:val="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Sample</w:t>
            </w:r>
          </w:p>
        </w:tc>
        <w:tc>
          <w:tcPr>
            <w:tcW w:w="126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5EC404">
            <w:pPr>
              <w:pStyle w:val="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Cancer type</w:t>
            </w:r>
          </w:p>
        </w:tc>
        <w:tc>
          <w:tcPr>
            <w:tcW w:w="126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92A80B">
            <w:pPr>
              <w:pStyle w:val="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Tumor grade</w:t>
            </w:r>
          </w:p>
        </w:tc>
        <w:tc>
          <w:tcPr>
            <w:tcW w:w="11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4578A0">
            <w:pPr>
              <w:pStyle w:val="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Sample size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3168AA">
            <w:pPr>
              <w:pStyle w:val="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Follow up</w:t>
            </w:r>
          </w:p>
        </w:tc>
        <w:tc>
          <w:tcPr>
            <w:tcW w:w="11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893A18">
            <w:pPr>
              <w:pStyle w:val="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Endpoint</w:t>
            </w:r>
          </w:p>
        </w:tc>
        <w:tc>
          <w:tcPr>
            <w:tcW w:w="11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F86799F">
            <w:pPr>
              <w:pStyle w:val="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NOS score</w:t>
            </w:r>
          </w:p>
        </w:tc>
      </w:tr>
      <w:tr w14:paraId="38B5E54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 w14:paraId="23D8D01E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Robert C.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Young (1990)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[16]</w:t>
            </w:r>
          </w:p>
        </w:tc>
        <w:tc>
          <w:tcPr>
            <w:tcW w:w="1985" w:type="dxa"/>
            <w:tcBorders>
              <w:top w:val="single" w:color="auto" w:sz="4" w:space="0"/>
            </w:tcBorders>
            <w:vAlign w:val="center"/>
          </w:tcPr>
          <w:p w14:paraId="4FB4CCCA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Adjuvant chemotherapy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 observation</w:t>
            </w:r>
          </w:p>
        </w:tc>
        <w:tc>
          <w:tcPr>
            <w:tcW w:w="1366" w:type="dxa"/>
            <w:tcBorders>
              <w:top w:val="single" w:color="auto" w:sz="4" w:space="0"/>
            </w:tcBorders>
            <w:vAlign w:val="center"/>
          </w:tcPr>
          <w:p w14:paraId="66213C92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Stage IA/B OC</w:t>
            </w:r>
          </w:p>
        </w:tc>
        <w:tc>
          <w:tcPr>
            <w:tcW w:w="1262" w:type="dxa"/>
            <w:tcBorders>
              <w:top w:val="single" w:color="auto" w:sz="4" w:space="0"/>
            </w:tcBorders>
            <w:vAlign w:val="center"/>
          </w:tcPr>
          <w:p w14:paraId="241D890E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S/M/E/C/O</w:t>
            </w:r>
          </w:p>
        </w:tc>
        <w:tc>
          <w:tcPr>
            <w:tcW w:w="1263" w:type="dxa"/>
            <w:tcBorders>
              <w:top w:val="single" w:color="auto" w:sz="4" w:space="0"/>
            </w:tcBorders>
            <w:vAlign w:val="center"/>
          </w:tcPr>
          <w:p w14:paraId="1C1F93AA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G1-G2</w:t>
            </w:r>
          </w:p>
        </w:tc>
        <w:tc>
          <w:tcPr>
            <w:tcW w:w="1122" w:type="dxa"/>
            <w:tcBorders>
              <w:top w:val="single" w:color="auto" w:sz="4" w:space="0"/>
            </w:tcBorders>
            <w:vAlign w:val="center"/>
          </w:tcPr>
          <w:p w14:paraId="02708F5E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38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43</w:t>
            </w:r>
          </w:p>
        </w:tc>
        <w:tc>
          <w:tcPr>
            <w:tcW w:w="981" w:type="dxa"/>
            <w:tcBorders>
              <w:top w:val="single" w:color="auto" w:sz="4" w:space="0"/>
            </w:tcBorders>
            <w:vAlign w:val="center"/>
          </w:tcPr>
          <w:p w14:paraId="3338BBE0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More than 6 years</w:t>
            </w:r>
          </w:p>
        </w:tc>
        <w:tc>
          <w:tcPr>
            <w:tcW w:w="1122" w:type="dxa"/>
            <w:tcBorders>
              <w:top w:val="single" w:color="auto" w:sz="4" w:space="0"/>
            </w:tcBorders>
            <w:vAlign w:val="center"/>
          </w:tcPr>
          <w:p w14:paraId="228C5918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Recurrence</w:t>
            </w:r>
          </w:p>
        </w:tc>
        <w:tc>
          <w:tcPr>
            <w:tcW w:w="1122" w:type="dxa"/>
            <w:tcBorders>
              <w:top w:val="single" w:color="auto" w:sz="4" w:space="0"/>
            </w:tcBorders>
            <w:vAlign w:val="center"/>
          </w:tcPr>
          <w:p w14:paraId="7D42BA97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8</w:t>
            </w:r>
          </w:p>
        </w:tc>
      </w:tr>
      <w:tr w14:paraId="0AA390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59" w:type="dxa"/>
            <w:vAlign w:val="center"/>
          </w:tcPr>
          <w:p w14:paraId="25B34025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G. Bolis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(1995)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[17]</w:t>
            </w:r>
          </w:p>
        </w:tc>
        <w:tc>
          <w:tcPr>
            <w:tcW w:w="1985" w:type="dxa"/>
            <w:vAlign w:val="center"/>
          </w:tcPr>
          <w:p w14:paraId="68B0862F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Adjuvant chemotherapy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 observation</w:t>
            </w:r>
          </w:p>
        </w:tc>
        <w:tc>
          <w:tcPr>
            <w:tcW w:w="1366" w:type="dxa"/>
            <w:vAlign w:val="center"/>
          </w:tcPr>
          <w:p w14:paraId="5718A27F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Stage IA/B OC</w:t>
            </w:r>
          </w:p>
        </w:tc>
        <w:tc>
          <w:tcPr>
            <w:tcW w:w="1262" w:type="dxa"/>
            <w:vAlign w:val="center"/>
          </w:tcPr>
          <w:p w14:paraId="671ED1C7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S/M/E/C/O</w:t>
            </w:r>
          </w:p>
        </w:tc>
        <w:tc>
          <w:tcPr>
            <w:tcW w:w="1263" w:type="dxa"/>
            <w:vAlign w:val="center"/>
          </w:tcPr>
          <w:p w14:paraId="2462B1DC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G2-G3</w:t>
            </w:r>
          </w:p>
        </w:tc>
        <w:tc>
          <w:tcPr>
            <w:tcW w:w="1122" w:type="dxa"/>
            <w:vAlign w:val="center"/>
          </w:tcPr>
          <w:p w14:paraId="794E1458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44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41</w:t>
            </w:r>
          </w:p>
        </w:tc>
        <w:tc>
          <w:tcPr>
            <w:tcW w:w="981" w:type="dxa"/>
            <w:vAlign w:val="center"/>
          </w:tcPr>
          <w:p w14:paraId="436F627D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68 months</w:t>
            </w:r>
          </w:p>
        </w:tc>
        <w:tc>
          <w:tcPr>
            <w:tcW w:w="1122" w:type="dxa"/>
            <w:vAlign w:val="center"/>
          </w:tcPr>
          <w:p w14:paraId="23222C41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Recurrence</w:t>
            </w:r>
          </w:p>
        </w:tc>
        <w:tc>
          <w:tcPr>
            <w:tcW w:w="1122" w:type="dxa"/>
            <w:vAlign w:val="center"/>
          </w:tcPr>
          <w:p w14:paraId="71088118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7</w:t>
            </w:r>
          </w:p>
        </w:tc>
      </w:tr>
      <w:tr w14:paraId="572E442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59" w:type="dxa"/>
            <w:vAlign w:val="center"/>
          </w:tcPr>
          <w:p w14:paraId="28959FD1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T. Paulsen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(2011)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[18]</w:t>
            </w:r>
          </w:p>
        </w:tc>
        <w:tc>
          <w:tcPr>
            <w:tcW w:w="1985" w:type="dxa"/>
            <w:vAlign w:val="center"/>
          </w:tcPr>
          <w:p w14:paraId="0F20DB23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Adjuvant chemotherapy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 observation</w:t>
            </w:r>
          </w:p>
        </w:tc>
        <w:tc>
          <w:tcPr>
            <w:tcW w:w="1366" w:type="dxa"/>
            <w:vAlign w:val="center"/>
          </w:tcPr>
          <w:p w14:paraId="7A8388C1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Stage IA/B OC</w:t>
            </w:r>
          </w:p>
        </w:tc>
        <w:tc>
          <w:tcPr>
            <w:tcW w:w="1262" w:type="dxa"/>
            <w:vAlign w:val="center"/>
          </w:tcPr>
          <w:p w14:paraId="2322596A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S/M/E/C/O</w:t>
            </w:r>
          </w:p>
        </w:tc>
        <w:tc>
          <w:tcPr>
            <w:tcW w:w="1263" w:type="dxa"/>
            <w:vAlign w:val="center"/>
          </w:tcPr>
          <w:p w14:paraId="77CCF060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G1-G3</w:t>
            </w:r>
          </w:p>
        </w:tc>
        <w:tc>
          <w:tcPr>
            <w:tcW w:w="1122" w:type="dxa"/>
            <w:vAlign w:val="center"/>
          </w:tcPr>
          <w:p w14:paraId="0C2E8DE9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142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130</w:t>
            </w:r>
          </w:p>
        </w:tc>
        <w:tc>
          <w:tcPr>
            <w:tcW w:w="981" w:type="dxa"/>
            <w:vAlign w:val="center"/>
          </w:tcPr>
          <w:p w14:paraId="7106E102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56 months</w:t>
            </w:r>
          </w:p>
        </w:tc>
        <w:tc>
          <w:tcPr>
            <w:tcW w:w="1122" w:type="dxa"/>
            <w:vAlign w:val="center"/>
          </w:tcPr>
          <w:p w14:paraId="2FF300DD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Recurrence</w:t>
            </w:r>
          </w:p>
        </w:tc>
        <w:tc>
          <w:tcPr>
            <w:tcW w:w="1122" w:type="dxa"/>
            <w:vAlign w:val="center"/>
          </w:tcPr>
          <w:p w14:paraId="1874F0EF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7</w:t>
            </w:r>
          </w:p>
        </w:tc>
      </w:tr>
      <w:tr w14:paraId="15BADA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559" w:type="dxa"/>
            <w:vAlign w:val="center"/>
          </w:tcPr>
          <w:p w14:paraId="4A53487F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Dai Shimizu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(2015)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[19]</w:t>
            </w:r>
          </w:p>
        </w:tc>
        <w:tc>
          <w:tcPr>
            <w:tcW w:w="1985" w:type="dxa"/>
            <w:vAlign w:val="center"/>
          </w:tcPr>
          <w:p w14:paraId="781100C2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Adjuvant chemotherapy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 observation</w:t>
            </w:r>
          </w:p>
        </w:tc>
        <w:tc>
          <w:tcPr>
            <w:tcW w:w="1366" w:type="dxa"/>
            <w:vAlign w:val="center"/>
          </w:tcPr>
          <w:p w14:paraId="035A2FE3">
            <w:pPr>
              <w:widowControl/>
              <w:ind w:right="-1308" w:rightChars="-623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Stage IA OC</w:t>
            </w:r>
          </w:p>
          <w:p w14:paraId="3F56FD66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Stage IC OC</w:t>
            </w:r>
          </w:p>
        </w:tc>
        <w:tc>
          <w:tcPr>
            <w:tcW w:w="1262" w:type="dxa"/>
            <w:vAlign w:val="center"/>
          </w:tcPr>
          <w:p w14:paraId="074413B1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S/M/E/C/O</w:t>
            </w:r>
          </w:p>
        </w:tc>
        <w:tc>
          <w:tcPr>
            <w:tcW w:w="1263" w:type="dxa"/>
            <w:vAlign w:val="center"/>
          </w:tcPr>
          <w:p w14:paraId="59B4146A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NA</w:t>
            </w:r>
          </w:p>
        </w:tc>
        <w:tc>
          <w:tcPr>
            <w:tcW w:w="1122" w:type="dxa"/>
            <w:vAlign w:val="center"/>
          </w:tcPr>
          <w:p w14:paraId="1200A12B">
            <w:pPr>
              <w:widowControl/>
              <w:ind w:right="-1308" w:rightChars="-623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76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17</w:t>
            </w:r>
          </w:p>
          <w:p w14:paraId="6C7FF94D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38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133</w:t>
            </w:r>
          </w:p>
        </w:tc>
        <w:tc>
          <w:tcPr>
            <w:tcW w:w="981" w:type="dxa"/>
            <w:vAlign w:val="center"/>
          </w:tcPr>
          <w:p w14:paraId="048BF42A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65 months</w:t>
            </w:r>
          </w:p>
        </w:tc>
        <w:tc>
          <w:tcPr>
            <w:tcW w:w="1122" w:type="dxa"/>
            <w:vAlign w:val="center"/>
          </w:tcPr>
          <w:p w14:paraId="0822A609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Recurrence</w:t>
            </w:r>
          </w:p>
        </w:tc>
        <w:tc>
          <w:tcPr>
            <w:tcW w:w="1122" w:type="dxa"/>
            <w:vAlign w:val="center"/>
          </w:tcPr>
          <w:p w14:paraId="34485248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7</w:t>
            </w:r>
          </w:p>
        </w:tc>
      </w:tr>
      <w:tr w14:paraId="6D31DDB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559" w:type="dxa"/>
            <w:vAlign w:val="center"/>
          </w:tcPr>
          <w:p w14:paraId="100F1232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Masato Yoshihara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(2021)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[22]</w:t>
            </w:r>
          </w:p>
        </w:tc>
        <w:tc>
          <w:tcPr>
            <w:tcW w:w="1985" w:type="dxa"/>
            <w:vAlign w:val="center"/>
          </w:tcPr>
          <w:p w14:paraId="2D39D26B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Adjuvant chemotherapy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 observation</w:t>
            </w:r>
          </w:p>
        </w:tc>
        <w:tc>
          <w:tcPr>
            <w:tcW w:w="1366" w:type="dxa"/>
            <w:vAlign w:val="center"/>
          </w:tcPr>
          <w:p w14:paraId="7D4A7731">
            <w:pPr>
              <w:widowControl/>
              <w:ind w:right="-1308" w:rightChars="-623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Stage IA OC</w:t>
            </w:r>
          </w:p>
          <w:p w14:paraId="1E4A2CF0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Stage IC OC</w:t>
            </w:r>
          </w:p>
        </w:tc>
        <w:tc>
          <w:tcPr>
            <w:tcW w:w="1262" w:type="dxa"/>
            <w:vAlign w:val="center"/>
          </w:tcPr>
          <w:p w14:paraId="1EAAB367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S/M/E/C/O</w:t>
            </w:r>
          </w:p>
        </w:tc>
        <w:tc>
          <w:tcPr>
            <w:tcW w:w="1263" w:type="dxa"/>
            <w:vAlign w:val="center"/>
          </w:tcPr>
          <w:p w14:paraId="15B14372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NA</w:t>
            </w:r>
          </w:p>
        </w:tc>
        <w:tc>
          <w:tcPr>
            <w:tcW w:w="1122" w:type="dxa"/>
            <w:vAlign w:val="center"/>
          </w:tcPr>
          <w:p w14:paraId="4ECE8BA9">
            <w:pPr>
              <w:widowControl/>
              <w:ind w:right="-1308" w:rightChars="-623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117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131</w:t>
            </w:r>
          </w:p>
          <w:p w14:paraId="4C753BC3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31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306</w:t>
            </w:r>
          </w:p>
        </w:tc>
        <w:tc>
          <w:tcPr>
            <w:tcW w:w="981" w:type="dxa"/>
            <w:vAlign w:val="center"/>
          </w:tcPr>
          <w:p w14:paraId="48828F64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More than 10 years</w:t>
            </w:r>
          </w:p>
        </w:tc>
        <w:tc>
          <w:tcPr>
            <w:tcW w:w="1122" w:type="dxa"/>
            <w:vAlign w:val="center"/>
          </w:tcPr>
          <w:p w14:paraId="53C3CA37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Recurrence</w:t>
            </w:r>
          </w:p>
        </w:tc>
        <w:tc>
          <w:tcPr>
            <w:tcW w:w="1122" w:type="dxa"/>
            <w:vAlign w:val="center"/>
          </w:tcPr>
          <w:p w14:paraId="1931867C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7</w:t>
            </w:r>
          </w:p>
        </w:tc>
      </w:tr>
      <w:tr w14:paraId="3C6A5AF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59" w:type="dxa"/>
            <w:vAlign w:val="center"/>
          </w:tcPr>
          <w:p w14:paraId="6EC72447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Brenna E Swift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(2021)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[20]</w:t>
            </w:r>
          </w:p>
        </w:tc>
        <w:tc>
          <w:tcPr>
            <w:tcW w:w="1985" w:type="dxa"/>
            <w:vAlign w:val="center"/>
          </w:tcPr>
          <w:p w14:paraId="68C79EF8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Adjuvant chemotherapy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 observation</w:t>
            </w:r>
          </w:p>
        </w:tc>
        <w:tc>
          <w:tcPr>
            <w:tcW w:w="1366" w:type="dxa"/>
            <w:vAlign w:val="center"/>
          </w:tcPr>
          <w:p w14:paraId="4D2A6E94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Stage IA/B OC</w:t>
            </w:r>
          </w:p>
        </w:tc>
        <w:tc>
          <w:tcPr>
            <w:tcW w:w="1262" w:type="dxa"/>
            <w:vAlign w:val="center"/>
          </w:tcPr>
          <w:p w14:paraId="6FE0FF7A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E</w:t>
            </w:r>
          </w:p>
        </w:tc>
        <w:tc>
          <w:tcPr>
            <w:tcW w:w="1263" w:type="dxa"/>
            <w:vAlign w:val="center"/>
          </w:tcPr>
          <w:p w14:paraId="25B5D1C0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G1-G2</w:t>
            </w:r>
          </w:p>
        </w:tc>
        <w:tc>
          <w:tcPr>
            <w:tcW w:w="1122" w:type="dxa"/>
            <w:vAlign w:val="center"/>
          </w:tcPr>
          <w:p w14:paraId="4B3C71EA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66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10</w:t>
            </w:r>
          </w:p>
        </w:tc>
        <w:tc>
          <w:tcPr>
            <w:tcW w:w="981" w:type="dxa"/>
            <w:vAlign w:val="center"/>
          </w:tcPr>
          <w:p w14:paraId="68EAFC91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52 months</w:t>
            </w:r>
          </w:p>
        </w:tc>
        <w:tc>
          <w:tcPr>
            <w:tcW w:w="1122" w:type="dxa"/>
            <w:vAlign w:val="center"/>
          </w:tcPr>
          <w:p w14:paraId="19E8295C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Recurrence</w:t>
            </w:r>
          </w:p>
        </w:tc>
        <w:tc>
          <w:tcPr>
            <w:tcW w:w="1122" w:type="dxa"/>
            <w:vAlign w:val="center"/>
          </w:tcPr>
          <w:p w14:paraId="7A876A5C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7</w:t>
            </w:r>
          </w:p>
        </w:tc>
      </w:tr>
      <w:tr w14:paraId="429189A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559" w:type="dxa"/>
            <w:vAlign w:val="center"/>
          </w:tcPr>
          <w:p w14:paraId="3315F62E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Caner Cakir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(2021)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[21]</w:t>
            </w:r>
          </w:p>
        </w:tc>
        <w:tc>
          <w:tcPr>
            <w:tcW w:w="1985" w:type="dxa"/>
            <w:vAlign w:val="center"/>
          </w:tcPr>
          <w:p w14:paraId="6C921BE0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Adjuvant chemotherapy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 xml:space="preserve"> observation</w:t>
            </w:r>
          </w:p>
        </w:tc>
        <w:tc>
          <w:tcPr>
            <w:tcW w:w="1366" w:type="dxa"/>
            <w:vAlign w:val="center"/>
          </w:tcPr>
          <w:p w14:paraId="3C44400F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Stage IA OC</w:t>
            </w:r>
          </w:p>
        </w:tc>
        <w:tc>
          <w:tcPr>
            <w:tcW w:w="1262" w:type="dxa"/>
            <w:vAlign w:val="center"/>
          </w:tcPr>
          <w:p w14:paraId="215A57A4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E</w:t>
            </w:r>
          </w:p>
        </w:tc>
        <w:tc>
          <w:tcPr>
            <w:tcW w:w="1263" w:type="dxa"/>
            <w:vAlign w:val="center"/>
          </w:tcPr>
          <w:p w14:paraId="21E10067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G1-G3</w:t>
            </w:r>
          </w:p>
        </w:tc>
        <w:tc>
          <w:tcPr>
            <w:tcW w:w="1122" w:type="dxa"/>
            <w:vAlign w:val="center"/>
          </w:tcPr>
          <w:p w14:paraId="4FD93061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10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iCs/>
                <w:color w:val="auto"/>
                <w:kern w:val="0"/>
                <w:sz w:val="18"/>
                <w:szCs w:val="18"/>
                <w:highlight w:val="none"/>
              </w:rPr>
              <w:t>vs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12</w:t>
            </w:r>
          </w:p>
        </w:tc>
        <w:tc>
          <w:tcPr>
            <w:tcW w:w="981" w:type="dxa"/>
            <w:vAlign w:val="center"/>
          </w:tcPr>
          <w:p w14:paraId="5A21E595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92 months</w:t>
            </w:r>
          </w:p>
        </w:tc>
        <w:tc>
          <w:tcPr>
            <w:tcW w:w="1122" w:type="dxa"/>
            <w:vAlign w:val="center"/>
          </w:tcPr>
          <w:p w14:paraId="617177FE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Recurrence</w:t>
            </w:r>
          </w:p>
        </w:tc>
        <w:tc>
          <w:tcPr>
            <w:tcW w:w="1122" w:type="dxa"/>
            <w:vAlign w:val="center"/>
          </w:tcPr>
          <w:p w14:paraId="59153692">
            <w:pPr>
              <w:pStyle w:val="7"/>
              <w:rPr>
                <w:rFonts w:ascii="Times New Roman" w:hAnsi="Times New Roman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7</w:t>
            </w:r>
          </w:p>
        </w:tc>
      </w:tr>
    </w:tbl>
    <w:p w14:paraId="1B56C006">
      <w:pPr>
        <w:pStyle w:val="7"/>
        <w:spacing w:line="276" w:lineRule="auto"/>
        <w:rPr>
          <w:rFonts w:ascii="Times New Roman" w:hAnsi="Times New Roman" w:cs="Times New Roman"/>
          <w:color w:val="auto"/>
          <w:szCs w:val="20"/>
          <w:highlight w:val="none"/>
        </w:rPr>
      </w:pPr>
      <w:r>
        <w:rPr>
          <w:rFonts w:ascii="Times New Roman" w:hAnsi="Times New Roman" w:cs="Times New Roman"/>
          <w:color w:val="auto"/>
          <w:szCs w:val="20"/>
          <w:highlight w:val="none"/>
        </w:rPr>
        <w:t>Note: OC, ovarian cancer; S, serous; M, mucinous; E, Endometrioid; C, clear cell; O, other; NA, not mentioned.</w:t>
      </w:r>
    </w:p>
    <w:p w14:paraId="5C9924B0">
      <w:pPr>
        <w:rPr>
          <w:color w:val="auto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lnNumType w:countBy="0" w:restart="continuous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2031708"/>
    </w:sdtPr>
    <w:sdtContent>
      <w:p w14:paraId="6BD2B0FC">
        <w:pPr>
          <w:pStyle w:val="2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CDCB421">
    <w:pPr>
      <w:pStyle w:val="2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118D8"/>
    <w:rsid w:val="5AC1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Grid1"/>
    <w:basedOn w:val="3"/>
    <w:qFormat/>
    <w:uiPriority w:val="59"/>
    <w:rPr>
      <w:rFonts w:ascii="Cambria" w:hAnsi="Cambria" w:eastAsia="MS Minch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EndNote Bibliography"/>
    <w:basedOn w:val="1"/>
    <w:qFormat/>
    <w:uiPriority w:val="0"/>
    <w:rPr>
      <w:rFonts w:ascii="Calibri" w:hAnsi="Calibri" w:cs="Calibri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2025-06-17T00:40:00Z</dcterms:created>
  <dc:creator>Mia</dc:creator>
  <cp:lastModifiedBy>Mia</cp:lastModifiedBy>
  <dcterms:modified xsi:type="dcterms:W3CDTF">2025-06-17T00:40:48Z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960D955B5F6042FEA52C92EC78E1DEB1_11</vt:lpwstr>
  </property>
  <property fmtid="{D5CDD505-2E9C-101B-9397-08002B2CF9AE}" pid="4" name="KSOTemplateDocerSaveRecord">
    <vt:lpwstr>eyJoZGlkIjoiNGQzNmFmODQ1YWIwOTg1MjhlOTUyYjY3NDNjNjM1MDEiLCJ1c2VySWQiOiIyMTM1MjkzOTMifQ==</vt:lpwstr>
  </property>
</Properties>
</file>