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52E4" w14:textId="46CCCA6E" w:rsidR="003A378C" w:rsidRPr="003A378C" w:rsidRDefault="00682114" w:rsidP="003A378C">
      <w:pPr>
        <w:spacing w:line="360" w:lineRule="auto"/>
        <w:rPr>
          <w:rFonts w:eastAsia="等线" w:cs="Times New Roman"/>
          <w:sz w:val="24"/>
          <w:szCs w:val="24"/>
        </w:rPr>
      </w:pPr>
      <w:r w:rsidRPr="00682114">
        <w:rPr>
          <w:rFonts w:eastAsia="等线" w:cs="Times New Roman"/>
          <w:sz w:val="24"/>
          <w:szCs w:val="24"/>
        </w:rPr>
        <w:t>Supplementary</w:t>
      </w:r>
      <w:r w:rsidR="003A378C" w:rsidRPr="003A378C">
        <w:rPr>
          <w:rFonts w:eastAsia="等线" w:cs="Times New Roman" w:hint="eastAsia"/>
          <w:sz w:val="24"/>
          <w:szCs w:val="24"/>
        </w:rPr>
        <w:t xml:space="preserve"> T</w:t>
      </w:r>
      <w:r w:rsidR="003A378C" w:rsidRPr="003A378C">
        <w:rPr>
          <w:rFonts w:eastAsia="等线" w:cs="Times New Roman"/>
          <w:sz w:val="24"/>
          <w:szCs w:val="24"/>
        </w:rPr>
        <w:t>able</w:t>
      </w:r>
      <w:r w:rsidR="00484510">
        <w:rPr>
          <w:rFonts w:eastAsia="等线" w:cs="Times New Roman" w:hint="eastAsia"/>
          <w:sz w:val="24"/>
          <w:szCs w:val="24"/>
        </w:rPr>
        <w:t xml:space="preserve"> S</w:t>
      </w:r>
      <w:r w:rsidR="003A378C" w:rsidRPr="003A378C">
        <w:rPr>
          <w:rFonts w:eastAsia="等线" w:cs="Times New Roman"/>
          <w:sz w:val="24"/>
          <w:szCs w:val="24"/>
        </w:rPr>
        <w:t>1.</w:t>
      </w:r>
      <w:r w:rsidR="003A378C" w:rsidRPr="003A378C">
        <w:rPr>
          <w:rFonts w:ascii="等线" w:eastAsia="等线" w:hAnsi="等线" w:cs="Times New Roman"/>
          <w:sz w:val="21"/>
        </w:rPr>
        <w:t xml:space="preserve"> </w:t>
      </w:r>
      <w:r w:rsidR="003A378C" w:rsidRPr="003A378C">
        <w:rPr>
          <w:rFonts w:eastAsia="等线" w:cs="Times New Roman"/>
          <w:sz w:val="24"/>
          <w:szCs w:val="24"/>
        </w:rPr>
        <w:t>Sequence of the anti-HER2 single-chain antibody gene.</w:t>
      </w:r>
    </w:p>
    <w:tbl>
      <w:tblPr>
        <w:tblStyle w:val="TableGrid"/>
        <w:tblW w:w="9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7914"/>
      </w:tblGrid>
      <w:tr w:rsidR="003A378C" w:rsidRPr="003A378C" w14:paraId="301C71D5" w14:textId="77777777" w:rsidTr="00F27AA0"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DDF4" w14:textId="77777777" w:rsidR="003A378C" w:rsidRPr="003A378C" w:rsidRDefault="003A378C" w:rsidP="003A378C">
            <w:pPr>
              <w:spacing w:line="360" w:lineRule="auto"/>
              <w:jc w:val="center"/>
              <w:rPr>
                <w:rFonts w:ascii="Arial" w:hAnsi="Arial" w:cs="Arial"/>
                <w:b/>
                <w:szCs w:val="28"/>
              </w:rPr>
            </w:pPr>
            <w:proofErr w:type="spellStart"/>
            <w:r w:rsidRPr="003A378C">
              <w:rPr>
                <w:rFonts w:eastAsia="等线"/>
                <w:b/>
                <w:sz w:val="24"/>
                <w:szCs w:val="24"/>
              </w:rPr>
              <w:t>scFv</w:t>
            </w:r>
            <w:proofErr w:type="spellEnd"/>
          </w:p>
        </w:tc>
        <w:tc>
          <w:tcPr>
            <w:tcW w:w="7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FAD69" w14:textId="77777777" w:rsidR="003A378C" w:rsidRPr="003A378C" w:rsidRDefault="003A378C" w:rsidP="003A378C">
            <w:pPr>
              <w:spacing w:line="360" w:lineRule="auto"/>
              <w:jc w:val="center"/>
              <w:rPr>
                <w:rFonts w:eastAsia="等线"/>
                <w:b/>
                <w:sz w:val="24"/>
                <w:szCs w:val="24"/>
              </w:rPr>
            </w:pPr>
            <w:r w:rsidRPr="003A378C">
              <w:rPr>
                <w:rFonts w:eastAsia="等线"/>
                <w:b/>
                <w:sz w:val="24"/>
                <w:szCs w:val="24"/>
              </w:rPr>
              <w:t>gene sequence</w:t>
            </w:r>
          </w:p>
        </w:tc>
      </w:tr>
      <w:tr w:rsidR="003A378C" w:rsidRPr="003A378C" w14:paraId="44782E3A" w14:textId="77777777" w:rsidTr="00F27AA0">
        <w:tc>
          <w:tcPr>
            <w:tcW w:w="1316" w:type="dxa"/>
            <w:tcBorders>
              <w:top w:val="single" w:sz="4" w:space="0" w:color="auto"/>
              <w:bottom w:val="nil"/>
            </w:tcBorders>
            <w:vAlign w:val="center"/>
          </w:tcPr>
          <w:p w14:paraId="4E47C64E" w14:textId="77777777" w:rsidR="003A378C" w:rsidRPr="003A378C" w:rsidRDefault="003A378C" w:rsidP="003A378C">
            <w:pPr>
              <w:spacing w:line="360" w:lineRule="auto"/>
              <w:jc w:val="center"/>
              <w:rPr>
                <w:rFonts w:eastAsia="等线"/>
                <w:sz w:val="24"/>
                <w:szCs w:val="24"/>
              </w:rPr>
            </w:pPr>
            <w:r w:rsidRPr="003A378C">
              <w:rPr>
                <w:rFonts w:eastAsia="等线"/>
                <w:sz w:val="24"/>
                <w:szCs w:val="24"/>
              </w:rPr>
              <w:t>HER2</w:t>
            </w:r>
          </w:p>
        </w:tc>
        <w:tc>
          <w:tcPr>
            <w:tcW w:w="7914" w:type="dxa"/>
            <w:tcBorders>
              <w:top w:val="single" w:sz="4" w:space="0" w:color="auto"/>
              <w:bottom w:val="nil"/>
            </w:tcBorders>
          </w:tcPr>
          <w:p w14:paraId="328F7494" w14:textId="77777777" w:rsidR="003A378C" w:rsidRPr="003A378C" w:rsidRDefault="003A378C" w:rsidP="003A378C">
            <w:pPr>
              <w:spacing w:line="360" w:lineRule="auto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5’-</w:t>
            </w:r>
            <w:r w:rsidRPr="003A378C">
              <w:rPr>
                <w:rFonts w:eastAsia="等线"/>
                <w:sz w:val="18"/>
                <w:szCs w:val="18"/>
              </w:rPr>
              <w:t>ATGGATTTCCAGGTGCAGATATTCTCCTTTCTCCTCATATCAGCCTCTGTGATCATGAGCAGAGGAGATATACAGATGACACAATCTCCATCTAGTCTGTCTGCCTCAGTCGGTGATCGCGTTACCATCACTTGTAGGGCAAGCCAGGACGTGAATACAGCCGTTGCCTGGTATCAGCAGAAACCTGGAAAGGCTCCCAAGCTGCTGATCTATAGCGCCAGTTTCCTGTATAGCGGAGTTCCCTCCAGATTCAGTGGTAGCAGGAGTGGCACAGATTTCACTCTCACAATCAGCAGCCTCCAGCCAGAGGACTTTGCTACTTACTATTGCCAACAGCACTATACCACTCCTCCCACATTTGGCCAGGGCACCAAAGTCGAGATTAAGCGCACAGGGTCTACAAGCGGTAGCGGAAAGCCAGGATCAGGCGAAGGCAGCGAGGTCCAGCTGGTGGAATCTGGAGGTGGACTGGTGCAACCCGGAGGATCTCTGCGCCTCTCATGTGCCGCAAGCGGGTTCAACATTAAGGACACTTACATTCACTGGGTCAGGCAGGCACCTGGGAAGGGACTCGAATGGGTGGCTAGGATCTATCCAACCAACGGCTACACTCGCTACGCAGACTCAGTCAAGGGTCGCTTTACCATATCAGCCGATACTTCTAAGAACACCGCCTACCTGCAAATGAACTCACTGAGGGCTGAGGACACCGCAGTGTACTACTGCTCTAGGTGGGGTGGAGATGGCTTCTATGCTATGGATGTGTGGGGGCAGGGCACCCTCGTGACCGTCAGTAGTGCCGCTGGGTCA-3’</w:t>
            </w:r>
          </w:p>
        </w:tc>
      </w:tr>
      <w:tr w:rsidR="003A378C" w:rsidRPr="003A378C" w14:paraId="36C724BA" w14:textId="77777777" w:rsidTr="00F27AA0">
        <w:tc>
          <w:tcPr>
            <w:tcW w:w="1316" w:type="dxa"/>
            <w:tcBorders>
              <w:top w:val="nil"/>
              <w:bottom w:val="single" w:sz="4" w:space="0" w:color="auto"/>
            </w:tcBorders>
            <w:vAlign w:val="center"/>
          </w:tcPr>
          <w:p w14:paraId="51924674" w14:textId="77777777" w:rsidR="003A378C" w:rsidRPr="003A378C" w:rsidRDefault="003A378C" w:rsidP="003A378C">
            <w:pPr>
              <w:spacing w:line="360" w:lineRule="auto"/>
              <w:jc w:val="center"/>
              <w:rPr>
                <w:rFonts w:eastAsia="等线"/>
                <w:sz w:val="24"/>
                <w:szCs w:val="24"/>
              </w:rPr>
            </w:pPr>
            <w:r w:rsidRPr="003A378C">
              <w:rPr>
                <w:rFonts w:eastAsia="等线"/>
                <w:sz w:val="24"/>
                <w:szCs w:val="24"/>
              </w:rPr>
              <w:t>HER2-13</w:t>
            </w:r>
          </w:p>
        </w:tc>
        <w:tc>
          <w:tcPr>
            <w:tcW w:w="7914" w:type="dxa"/>
            <w:tcBorders>
              <w:top w:val="nil"/>
              <w:bottom w:val="single" w:sz="4" w:space="0" w:color="auto"/>
            </w:tcBorders>
          </w:tcPr>
          <w:p w14:paraId="73A5B2BE" w14:textId="77777777" w:rsidR="003A378C" w:rsidRPr="003A378C" w:rsidRDefault="003A378C" w:rsidP="003A378C">
            <w:pPr>
              <w:spacing w:line="360" w:lineRule="auto"/>
              <w:rPr>
                <w:rFonts w:eastAsia="等线"/>
                <w:sz w:val="18"/>
                <w:szCs w:val="18"/>
              </w:rPr>
            </w:pPr>
            <w:r w:rsidRPr="003A378C">
              <w:rPr>
                <w:rFonts w:eastAsia="等线"/>
                <w:sz w:val="18"/>
                <w:szCs w:val="18"/>
              </w:rPr>
              <w:t>5’-</w:t>
            </w:r>
            <w:r>
              <w:t xml:space="preserve"> </w:t>
            </w:r>
            <w:r w:rsidRPr="003A378C">
              <w:rPr>
                <w:rFonts w:eastAsia="等线"/>
                <w:sz w:val="18"/>
                <w:szCs w:val="18"/>
              </w:rPr>
              <w:t>ATGGCACAGGTACAGCTGCAGCAGTCAGGAACTGAAGTGGTAAAGCCTGGGGCTTCAGTGAAGTTGTCCTGCAAGGCTTCTGGCTACATCTTCACAAGTTATGATATAGACTGGGTGAGGCAGACGCCTGAACAGGGACTTGAGTGGATTGGATGGATTTTTCCTGGAGAGGGGAGTACTGAATACAATGAGAAGTTCAAGGGCAGGGCCACACTGAGTGTAGACAAGTCCTCCAGCACAGCCTATATGGAGCTCACTAGGCTGACATCTGAGGACTCTGCTGTCTATTTCTGTGCTAGAGGGGACTACTATAGGCGCTACTTTGACTTGTGGGGCCAAGGCACCCTGGTCACCGTCTCCTCAGGCGGCGGCGGCTCTGGCGGAGGTGGCAGCGGCGGTGGCGGATCCGACATCGTGATGACCCAGTCTCCATCCTCCCTGTCCGCATCTGTTGGAGACAGAGTCTCCATCACTTGCCGGGCAAGTCAGAACATTGGCCAGCGTTTGAATTGGTATCAGCAGCAACCAGGGAAAGCCCCTAAAGTCCTGATCTATGCTACATCCAAATTGCACATTGGGGTCCCATCAAGATTCAGTGCCAGTGGATCTGGGACAGAATTCAGTCTCACCATCAGCGCTCTGCAACCTGAAGATTTTGCAACTTATTATTGTCAACAGAGCTA</w:t>
            </w:r>
            <w:r w:rsidRPr="003A378C">
              <w:rPr>
                <w:rFonts w:eastAsia="等线"/>
                <w:sz w:val="18"/>
                <w:szCs w:val="18"/>
              </w:rPr>
              <w:lastRenderedPageBreak/>
              <w:t>CAGTCTCCCGCTCGCTTTCGGCGGAGGGACCAAGCTGGAGATCAAACGT-3’</w:t>
            </w:r>
          </w:p>
        </w:tc>
      </w:tr>
    </w:tbl>
    <w:p w14:paraId="10D8B73C" w14:textId="77777777" w:rsidR="003A378C" w:rsidRDefault="003A378C" w:rsidP="003A378C">
      <w:pPr>
        <w:spacing w:line="360" w:lineRule="auto"/>
        <w:rPr>
          <w:rFonts w:eastAsia="等线" w:cs="Times New Roman"/>
          <w:sz w:val="24"/>
          <w:szCs w:val="24"/>
        </w:rPr>
      </w:pPr>
      <w:r w:rsidRPr="003A378C">
        <w:rPr>
          <w:rFonts w:eastAsia="等线" w:cs="Times New Roman"/>
          <w:sz w:val="24"/>
          <w:szCs w:val="24"/>
        </w:rPr>
        <w:lastRenderedPageBreak/>
        <w:t>HER2: anti-HER2 sequence (trastuzumab); HER2-13: anti-HER2-13 sequence (from combinatorial cellular library of CARs)</w:t>
      </w:r>
    </w:p>
    <w:p w14:paraId="64FA2D18" w14:textId="77777777" w:rsidR="00682114" w:rsidRDefault="00682114" w:rsidP="003A378C">
      <w:pPr>
        <w:spacing w:line="360" w:lineRule="auto"/>
        <w:rPr>
          <w:rFonts w:eastAsia="等线" w:cs="Times New Roman"/>
          <w:sz w:val="24"/>
          <w:szCs w:val="24"/>
        </w:rPr>
      </w:pPr>
    </w:p>
    <w:p w14:paraId="6AA5F458" w14:textId="77777777" w:rsidR="00196808" w:rsidRPr="00986BA2" w:rsidRDefault="00196808" w:rsidP="00196808">
      <w:pPr>
        <w:pStyle w:val="ListParagraph"/>
        <w:adjustRightInd w:val="0"/>
        <w:snapToGrid w:val="0"/>
        <w:spacing w:line="228" w:lineRule="auto"/>
        <w:ind w:left="425" w:firstLineChars="0" w:firstLine="0"/>
        <w:rPr>
          <w:rFonts w:ascii="Minion Pro" w:hAnsi="Minion Pro"/>
          <w:shd w:val="clear" w:color="auto" w:fill="FFFFFF"/>
        </w:rPr>
      </w:pPr>
      <w:r w:rsidRPr="00986BA2">
        <w:rPr>
          <w:rFonts w:ascii="Minion Pro" w:hAnsi="Minion Pro"/>
          <w:noProof/>
        </w:rPr>
        <w:drawing>
          <wp:inline distT="0" distB="0" distL="0" distR="0" wp14:anchorId="21C60913" wp14:editId="4556EEC0">
            <wp:extent cx="5486400" cy="7407235"/>
            <wp:effectExtent l="0" t="0" r="0" b="3810"/>
            <wp:docPr id="1704409361" name="图片 4" descr="图片包含 地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409361" name="图片 4" descr="图片包含 地图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290" cy="7409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BC448" w14:textId="77777777" w:rsidR="00196808" w:rsidRPr="00986BA2" w:rsidRDefault="00196808" w:rsidP="00196808">
      <w:pPr>
        <w:pStyle w:val="ListParagraph"/>
        <w:adjustRightInd w:val="0"/>
        <w:snapToGrid w:val="0"/>
        <w:spacing w:line="228" w:lineRule="auto"/>
        <w:ind w:left="425" w:firstLineChars="0" w:firstLine="0"/>
        <w:rPr>
          <w:rFonts w:ascii="Minion Pro" w:hAnsi="Minion Pro"/>
          <w:shd w:val="clear" w:color="auto" w:fill="FFFFFF"/>
        </w:rPr>
      </w:pPr>
      <w:r w:rsidRPr="00986BA2">
        <w:rPr>
          <w:rFonts w:ascii="Minion Pro" w:hAnsi="Minion Pro"/>
        </w:rPr>
        <w:lastRenderedPageBreak/>
        <w:t xml:space="preserve">Supplementary Figure </w:t>
      </w:r>
      <w:r w:rsidRPr="00986BA2">
        <w:rPr>
          <w:rFonts w:ascii="Minion Pro" w:hAnsi="Minion Pro" w:hint="eastAsia"/>
        </w:rPr>
        <w:t>S</w:t>
      </w:r>
      <w:r w:rsidRPr="00986BA2">
        <w:rPr>
          <w:rFonts w:ascii="Minion Pro" w:hAnsi="Minion Pro"/>
        </w:rPr>
        <w:t>1. The result of the binding score and residues participating in the modeled binding</w:t>
      </w:r>
      <w:r w:rsidRPr="00986BA2">
        <w:rPr>
          <w:rFonts w:ascii="Minion Pro" w:hAnsi="Minion Pro" w:hint="eastAsia"/>
        </w:rPr>
        <w:t xml:space="preserve"> </w:t>
      </w:r>
      <w:r w:rsidRPr="00986BA2">
        <w:rPr>
          <w:rFonts w:ascii="Minion Pro" w:hAnsi="Minion Pro"/>
        </w:rPr>
        <w:t xml:space="preserve">between the antigen and humanized anti-HER2-13 or anti-HER2 </w:t>
      </w:r>
      <w:proofErr w:type="spellStart"/>
      <w:r w:rsidRPr="00986BA2">
        <w:rPr>
          <w:rFonts w:ascii="Minion Pro" w:hAnsi="Minion Pro"/>
        </w:rPr>
        <w:t>scFv</w:t>
      </w:r>
      <w:proofErr w:type="spellEnd"/>
      <w:r w:rsidRPr="00986BA2">
        <w:rPr>
          <w:rFonts w:ascii="Minion Pro" w:hAnsi="Minion Pro"/>
        </w:rPr>
        <w:t xml:space="preserve"> </w:t>
      </w:r>
      <w:r w:rsidRPr="00986BA2">
        <w:rPr>
          <w:rFonts w:ascii="Minion Pro" w:hAnsi="Minion Pro" w:hint="eastAsia"/>
        </w:rPr>
        <w:t xml:space="preserve">(A) </w:t>
      </w:r>
      <w:r w:rsidRPr="00986BA2">
        <w:rPr>
          <w:rFonts w:ascii="Minion Pro" w:hAnsi="Minion Pro" w:hint="eastAsia"/>
          <w:shd w:val="clear" w:color="auto" w:fill="FFFFFF"/>
        </w:rPr>
        <w:t xml:space="preserve">HADDOCK score for anti-HER2-13 </w:t>
      </w:r>
      <w:proofErr w:type="spellStart"/>
      <w:r w:rsidRPr="00986BA2">
        <w:rPr>
          <w:rFonts w:ascii="Minion Pro" w:hAnsi="Minion Pro" w:hint="eastAsia"/>
          <w:shd w:val="clear" w:color="auto" w:fill="FFFFFF"/>
        </w:rPr>
        <w:t>scFv</w:t>
      </w:r>
      <w:proofErr w:type="spellEnd"/>
      <w:r w:rsidRPr="00986BA2">
        <w:rPr>
          <w:rFonts w:ascii="Minion Pro" w:hAnsi="Minion Pro" w:hint="eastAsia"/>
          <w:noProof/>
        </w:rPr>
        <w:t xml:space="preserve">. (B) </w:t>
      </w:r>
      <w:r w:rsidRPr="00986BA2">
        <w:rPr>
          <w:rFonts w:ascii="Minion Pro" w:hAnsi="Minion Pro" w:hint="eastAsia"/>
          <w:shd w:val="clear" w:color="auto" w:fill="FFFFFF"/>
        </w:rPr>
        <w:t xml:space="preserve">HADDOCK score for anti-HER2 </w:t>
      </w:r>
      <w:proofErr w:type="spellStart"/>
      <w:r w:rsidRPr="00986BA2">
        <w:rPr>
          <w:rFonts w:ascii="Minion Pro" w:hAnsi="Minion Pro" w:hint="eastAsia"/>
          <w:shd w:val="clear" w:color="auto" w:fill="FFFFFF"/>
        </w:rPr>
        <w:t>scFv</w:t>
      </w:r>
      <w:proofErr w:type="spellEnd"/>
      <w:r w:rsidRPr="00986BA2">
        <w:rPr>
          <w:rFonts w:ascii="Minion Pro" w:hAnsi="Minion Pro" w:hint="eastAsia"/>
          <w:shd w:val="clear" w:color="auto" w:fill="FFFFFF"/>
        </w:rPr>
        <w:t xml:space="preserve">. (C&amp;D) The HER2 antigen in complex with two </w:t>
      </w:r>
      <w:proofErr w:type="spellStart"/>
      <w:r w:rsidRPr="00986BA2">
        <w:rPr>
          <w:rFonts w:ascii="Minion Pro" w:hAnsi="Minion Pro" w:hint="eastAsia"/>
          <w:shd w:val="clear" w:color="auto" w:fill="FFFFFF"/>
        </w:rPr>
        <w:t>scFvs</w:t>
      </w:r>
      <w:proofErr w:type="spellEnd"/>
      <w:r w:rsidRPr="00986BA2">
        <w:rPr>
          <w:rFonts w:ascii="Minion Pro" w:hAnsi="Minion Pro" w:hint="eastAsia"/>
          <w:shd w:val="clear" w:color="auto" w:fill="FFFFFF"/>
        </w:rPr>
        <w:t xml:space="preserve"> was visualized using </w:t>
      </w:r>
      <w:proofErr w:type="spellStart"/>
      <w:r w:rsidRPr="00986BA2">
        <w:rPr>
          <w:rFonts w:ascii="Minion Pro" w:hAnsi="Minion Pro" w:hint="eastAsia"/>
          <w:shd w:val="clear" w:color="auto" w:fill="FFFFFF"/>
        </w:rPr>
        <w:t>PyMOL</w:t>
      </w:r>
      <w:proofErr w:type="spellEnd"/>
      <w:r w:rsidRPr="00986BA2">
        <w:rPr>
          <w:rFonts w:ascii="Minion Pro" w:hAnsi="Minion Pro" w:hint="eastAsia"/>
          <w:shd w:val="clear" w:color="auto" w:fill="FFFFFF"/>
        </w:rPr>
        <w:t>, and their binding interfaces were analyzed. The amino acid residues involved in the modeled binding interface were highlighted with black dashed lines.</w:t>
      </w:r>
    </w:p>
    <w:p w14:paraId="5E7ED7DE" w14:textId="77777777" w:rsidR="00E52FF7" w:rsidRDefault="00E52FF7" w:rsidP="00682114"/>
    <w:sectPr w:rsidR="00E52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D80A8" w14:textId="77777777" w:rsidR="0079774E" w:rsidRDefault="0079774E" w:rsidP="00484510">
      <w:r>
        <w:separator/>
      </w:r>
    </w:p>
  </w:endnote>
  <w:endnote w:type="continuationSeparator" w:id="0">
    <w:p w14:paraId="52B7C583" w14:textId="77777777" w:rsidR="0079774E" w:rsidRDefault="0079774E" w:rsidP="0048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FA567" w14:textId="77777777" w:rsidR="0079774E" w:rsidRDefault="0079774E" w:rsidP="00484510">
      <w:r>
        <w:separator/>
      </w:r>
    </w:p>
  </w:footnote>
  <w:footnote w:type="continuationSeparator" w:id="0">
    <w:p w14:paraId="2CBD6523" w14:textId="77777777" w:rsidR="0079774E" w:rsidRDefault="0079774E" w:rsidP="00484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8CB"/>
    <w:rsid w:val="00196808"/>
    <w:rsid w:val="003A378C"/>
    <w:rsid w:val="00484510"/>
    <w:rsid w:val="00682114"/>
    <w:rsid w:val="0079774E"/>
    <w:rsid w:val="00897BFF"/>
    <w:rsid w:val="00AF62FF"/>
    <w:rsid w:val="00DC0127"/>
    <w:rsid w:val="00E52FF7"/>
    <w:rsid w:val="00F0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D5320"/>
  <w15:chartTrackingRefBased/>
  <w15:docId w15:val="{CC79127A-E19F-4603-8CFC-50C504D2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378C"/>
    <w:rPr>
      <w:rFonts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451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510"/>
  </w:style>
  <w:style w:type="paragraph" w:styleId="Footer">
    <w:name w:val="footer"/>
    <w:basedOn w:val="Normal"/>
    <w:link w:val="FooterChar"/>
    <w:uiPriority w:val="99"/>
    <w:unhideWhenUsed/>
    <w:rsid w:val="0048451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510"/>
  </w:style>
  <w:style w:type="paragraph" w:styleId="ListParagraph">
    <w:name w:val="List Paragraph"/>
    <w:basedOn w:val="Normal"/>
    <w:uiPriority w:val="34"/>
    <w:qFormat/>
    <w:rsid w:val="00196808"/>
    <w:pPr>
      <w:widowControl/>
      <w:spacing w:line="260" w:lineRule="atLeast"/>
      <w:ind w:firstLineChars="200" w:firstLine="420"/>
    </w:pPr>
    <w:rPr>
      <w:rFonts w:ascii="Palatino Linotype" w:eastAsiaTheme="minorEastAsia" w:hAnsi="Palatino Linotype" w:cs="Times New Roman"/>
      <w:color w:val="000000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ltt</dc:creator>
  <cp:keywords/>
  <dc:description/>
  <cp:lastModifiedBy>Tech Science Press</cp:lastModifiedBy>
  <cp:revision>5</cp:revision>
  <dcterms:created xsi:type="dcterms:W3CDTF">2025-05-15T12:38:00Z</dcterms:created>
  <dcterms:modified xsi:type="dcterms:W3CDTF">2025-08-14T03:00:00Z</dcterms:modified>
</cp:coreProperties>
</file>