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6C46C" w14:textId="77777777" w:rsidR="00D117C9" w:rsidRDefault="00D117C9" w:rsidP="00D117C9">
      <w:pPr>
        <w:pStyle w:val="EndNoteBibliography"/>
        <w:rPr>
          <w:rFonts w:ascii="Times New Roman" w:hAnsi="Times New Roman" w:cs="Times New Roman"/>
          <w:noProof/>
          <w:szCs w:val="20"/>
        </w:rPr>
      </w:pPr>
    </w:p>
    <w:p w14:paraId="381A1FB4" w14:textId="77777777" w:rsidR="00D117C9" w:rsidRDefault="00D117C9" w:rsidP="00D117C9">
      <w:pPr>
        <w:pStyle w:val="EndNoteBibliography"/>
        <w:rPr>
          <w:noProof/>
        </w:rPr>
      </w:pPr>
    </w:p>
    <w:p w14:paraId="5D3F0645" w14:textId="77777777" w:rsidR="00D117C9" w:rsidRPr="00671109" w:rsidRDefault="00D117C9" w:rsidP="00D117C9">
      <w:pPr>
        <w:widowControl w:val="0"/>
        <w:spacing w:line="240" w:lineRule="auto"/>
        <w:rPr>
          <w:rFonts w:ascii="Times New Roman" w:eastAsia="等线" w:hAnsi="Times New Roman"/>
          <w:b/>
          <w:bCs/>
          <w:color w:val="auto"/>
          <w:kern w:val="2"/>
          <w:sz w:val="24"/>
          <w:szCs w:val="28"/>
        </w:rPr>
      </w:pPr>
      <w:r w:rsidRPr="00671109">
        <w:rPr>
          <w:rFonts w:ascii="Times New Roman" w:eastAsia="等线" w:hAnsi="Times New Roman" w:hint="eastAsia"/>
          <w:b/>
          <w:bCs/>
          <w:color w:val="auto"/>
          <w:kern w:val="2"/>
          <w:sz w:val="24"/>
          <w:szCs w:val="28"/>
        </w:rPr>
        <w:t>Supplementary</w:t>
      </w:r>
      <w:r w:rsidRPr="00671109">
        <w:rPr>
          <w:rFonts w:ascii="Times New Roman" w:eastAsia="等线" w:hAnsi="Times New Roman"/>
          <w:b/>
          <w:bCs/>
          <w:color w:val="auto"/>
          <w:kern w:val="2"/>
          <w:sz w:val="24"/>
          <w:szCs w:val="28"/>
        </w:rPr>
        <w:t xml:space="preserve"> Figure S1</w:t>
      </w:r>
    </w:p>
    <w:p w14:paraId="55E062A7" w14:textId="77777777" w:rsidR="00D117C9" w:rsidRPr="00671109" w:rsidRDefault="00D117C9" w:rsidP="00D117C9">
      <w:pPr>
        <w:widowControl w:val="0"/>
        <w:spacing w:line="240" w:lineRule="auto"/>
        <w:rPr>
          <w:rFonts w:ascii="等线" w:eastAsia="等线" w:hAnsi="等线"/>
          <w:color w:val="auto"/>
          <w:kern w:val="2"/>
          <w:sz w:val="21"/>
          <w:szCs w:val="22"/>
        </w:rPr>
      </w:pPr>
      <w:r w:rsidRPr="00671109">
        <w:rPr>
          <w:rFonts w:ascii="等线" w:eastAsia="等线" w:hAnsi="等线"/>
          <w:color w:val="auto"/>
          <w:kern w:val="2"/>
          <w:sz w:val="21"/>
          <w:szCs w:val="22"/>
        </w:rPr>
        <w:drawing>
          <wp:inline distT="0" distB="0" distL="0" distR="0" wp14:anchorId="59E69595" wp14:editId="7E0554E2">
            <wp:extent cx="5220000" cy="150840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150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5757D" w14:textId="77777777" w:rsidR="00D117C9" w:rsidRPr="00671109" w:rsidRDefault="00D117C9" w:rsidP="00D117C9">
      <w:pPr>
        <w:widowControl w:val="0"/>
        <w:spacing w:line="240" w:lineRule="auto"/>
        <w:rPr>
          <w:rFonts w:ascii="Times New Roman" w:eastAsia="Times New Roman" w:hAnsi="Times New Roman"/>
          <w:snapToGrid w:val="0"/>
          <w:sz w:val="22"/>
          <w:szCs w:val="22"/>
          <w:lang w:eastAsia="de-DE" w:bidi="en-US"/>
        </w:rPr>
      </w:pPr>
      <w:r w:rsidRPr="00671109">
        <w:rPr>
          <w:rFonts w:ascii="Times New Roman" w:eastAsia="Times New Roman" w:hAnsi="Times New Roman"/>
          <w:b/>
          <w:bCs/>
          <w:snapToGrid w:val="0"/>
          <w:sz w:val="22"/>
          <w:szCs w:val="22"/>
          <w:lang w:eastAsia="de-DE" w:bidi="en-US"/>
        </w:rPr>
        <w:t>Supplementary Figure S1.</w:t>
      </w:r>
      <w:r w:rsidRPr="00671109">
        <w:rPr>
          <w:rFonts w:ascii="Times New Roman" w:eastAsia="Times New Roman" w:hAnsi="Times New Roman"/>
          <w:snapToGrid w:val="0"/>
          <w:sz w:val="22"/>
          <w:szCs w:val="22"/>
          <w:lang w:eastAsia="de-DE" w:bidi="en-US"/>
        </w:rPr>
        <w:t xml:space="preserve"> VPS37A overexpression disrupts cell cycle progression in CRC cells. Flow cytometric quantification of cell cycle phases (G0/G1, S, G2/M) in control and VPS37A-overexpressing cells using PI-based DNA staining.</w:t>
      </w:r>
    </w:p>
    <w:p w14:paraId="49E90790" w14:textId="77777777" w:rsidR="00D117C9" w:rsidRPr="00671109" w:rsidRDefault="00D117C9" w:rsidP="00D117C9">
      <w:pPr>
        <w:widowControl w:val="0"/>
        <w:spacing w:line="240" w:lineRule="auto"/>
        <w:rPr>
          <w:rFonts w:ascii="Times New Roman" w:eastAsia="等线" w:hAnsi="Times New Roman"/>
          <w:color w:val="auto"/>
          <w:kern w:val="2"/>
          <w:sz w:val="24"/>
          <w:szCs w:val="28"/>
        </w:rPr>
      </w:pPr>
    </w:p>
    <w:p w14:paraId="0BD40046" w14:textId="77777777" w:rsidR="00D117C9" w:rsidRPr="00671109" w:rsidRDefault="00D117C9" w:rsidP="00D117C9">
      <w:pPr>
        <w:widowControl w:val="0"/>
        <w:spacing w:line="240" w:lineRule="auto"/>
        <w:rPr>
          <w:rFonts w:ascii="Times New Roman" w:eastAsia="等线" w:hAnsi="Times New Roman"/>
          <w:b/>
          <w:bCs/>
          <w:color w:val="auto"/>
          <w:kern w:val="2"/>
          <w:sz w:val="24"/>
          <w:szCs w:val="24"/>
        </w:rPr>
      </w:pPr>
      <w:r w:rsidRPr="00671109">
        <w:rPr>
          <w:rFonts w:ascii="Times New Roman" w:eastAsia="等线" w:hAnsi="Times New Roman" w:hint="eastAsia"/>
          <w:b/>
          <w:bCs/>
          <w:color w:val="auto"/>
          <w:kern w:val="2"/>
          <w:sz w:val="24"/>
          <w:szCs w:val="24"/>
        </w:rPr>
        <w:t>Supplementary</w:t>
      </w:r>
      <w:r w:rsidRPr="00671109">
        <w:rPr>
          <w:rFonts w:ascii="Times New Roman" w:eastAsia="等线" w:hAnsi="Times New Roman"/>
          <w:b/>
          <w:bCs/>
          <w:color w:val="auto"/>
          <w:kern w:val="2"/>
          <w:sz w:val="24"/>
          <w:szCs w:val="24"/>
        </w:rPr>
        <w:t xml:space="preserve"> Figure S2  </w:t>
      </w:r>
    </w:p>
    <w:p w14:paraId="5F1B328D" w14:textId="77777777" w:rsidR="00D117C9" w:rsidRPr="00671109" w:rsidRDefault="00D117C9" w:rsidP="00D117C9">
      <w:pPr>
        <w:widowControl w:val="0"/>
        <w:spacing w:line="240" w:lineRule="auto"/>
        <w:rPr>
          <w:rFonts w:ascii="等线" w:eastAsia="等线" w:hAnsi="等线"/>
          <w:color w:val="auto"/>
          <w:kern w:val="2"/>
          <w:sz w:val="21"/>
          <w:szCs w:val="22"/>
        </w:rPr>
      </w:pPr>
      <w:r w:rsidRPr="00671109">
        <w:rPr>
          <w:rFonts w:ascii="等线" w:eastAsia="等线" w:hAnsi="等线"/>
          <w:color w:val="auto"/>
          <w:kern w:val="2"/>
          <w:sz w:val="21"/>
          <w:szCs w:val="22"/>
        </w:rPr>
        <w:drawing>
          <wp:inline distT="0" distB="0" distL="0" distR="0" wp14:anchorId="2D96678D" wp14:editId="7E0F5307">
            <wp:extent cx="5220000" cy="1363185"/>
            <wp:effectExtent l="0" t="0" r="0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136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F431C" w14:textId="77777777" w:rsidR="00D117C9" w:rsidRDefault="00D117C9" w:rsidP="00D117C9">
      <w:pPr>
        <w:widowControl w:val="0"/>
        <w:spacing w:line="240" w:lineRule="auto"/>
        <w:rPr>
          <w:rFonts w:ascii="Times New Roman" w:eastAsiaTheme="minorEastAsia" w:hAnsi="Times New Roman"/>
          <w:snapToGrid w:val="0"/>
          <w:sz w:val="22"/>
          <w:szCs w:val="22"/>
          <w:lang w:bidi="en-US"/>
        </w:rPr>
      </w:pPr>
      <w:r w:rsidRPr="00671109">
        <w:rPr>
          <w:rFonts w:ascii="Times New Roman" w:eastAsia="Times New Roman" w:hAnsi="Times New Roman"/>
          <w:b/>
          <w:bCs/>
          <w:snapToGrid w:val="0"/>
          <w:sz w:val="22"/>
          <w:szCs w:val="22"/>
          <w:lang w:eastAsia="de-DE" w:bidi="en-US"/>
        </w:rPr>
        <w:t>Supplementary Figure S2</w:t>
      </w:r>
      <w:r w:rsidRPr="00671109">
        <w:rPr>
          <w:rFonts w:ascii="Times New Roman" w:eastAsia="Times New Roman" w:hAnsi="Times New Roman"/>
          <w:snapToGrid w:val="0"/>
          <w:sz w:val="22"/>
          <w:szCs w:val="22"/>
          <w:lang w:eastAsia="de-DE" w:bidi="en-US"/>
        </w:rPr>
        <w:t>. VPS37A overexpression induces cell death in colorectal cancer (CRC) cells under metabolic stress conditions. (A) Flow cytometry analysis of PI-positive cells (indicative of late apoptosis/necrosis) in VPS37A-overexpressing and control cells cultured under galactose adaptation (GA) or glucose deprivation (GD). (B) Quantification of cell death (mean ± SD, n=3; NS, not significant; **</w:t>
      </w:r>
      <w:r w:rsidRPr="00112701">
        <w:rPr>
          <w:rFonts w:ascii="Times New Roman" w:eastAsia="Times New Roman" w:hAnsi="Times New Roman"/>
          <w:i/>
          <w:iCs/>
          <w:snapToGrid w:val="0"/>
          <w:sz w:val="22"/>
          <w:szCs w:val="22"/>
          <w:lang w:eastAsia="de-DE" w:bidi="en-US"/>
        </w:rPr>
        <w:t>p</w:t>
      </w:r>
      <w:r>
        <w:rPr>
          <w:rFonts w:ascii="Times New Roman" w:eastAsiaTheme="minorEastAsia" w:hAnsi="Times New Roman" w:hint="eastAsia"/>
          <w:snapToGrid w:val="0"/>
          <w:sz w:val="22"/>
          <w:szCs w:val="22"/>
          <w:lang w:bidi="en-US"/>
        </w:rPr>
        <w:t xml:space="preserve"> </w:t>
      </w:r>
      <w:r w:rsidRPr="00671109">
        <w:rPr>
          <w:rFonts w:ascii="Times New Roman" w:eastAsia="Times New Roman" w:hAnsi="Times New Roman"/>
          <w:snapToGrid w:val="0"/>
          <w:sz w:val="22"/>
          <w:szCs w:val="22"/>
          <w:lang w:eastAsia="de-DE" w:bidi="en-US"/>
        </w:rPr>
        <w:t>&lt;</w:t>
      </w:r>
      <w:r>
        <w:rPr>
          <w:rFonts w:ascii="Times New Roman" w:eastAsiaTheme="minorEastAsia" w:hAnsi="Times New Roman" w:hint="eastAsia"/>
          <w:snapToGrid w:val="0"/>
          <w:sz w:val="22"/>
          <w:szCs w:val="22"/>
          <w:lang w:bidi="en-US"/>
        </w:rPr>
        <w:t xml:space="preserve"> </w:t>
      </w:r>
      <w:r w:rsidRPr="00671109">
        <w:rPr>
          <w:rFonts w:ascii="Times New Roman" w:eastAsia="Times New Roman" w:hAnsi="Times New Roman"/>
          <w:snapToGrid w:val="0"/>
          <w:sz w:val="22"/>
          <w:szCs w:val="22"/>
          <w:lang w:eastAsia="de-DE" w:bidi="en-US"/>
        </w:rPr>
        <w:t>0.01)</w:t>
      </w:r>
    </w:p>
    <w:p w14:paraId="146E54A1" w14:textId="77777777" w:rsidR="00D117C9" w:rsidRDefault="00D117C9" w:rsidP="00D117C9">
      <w:pPr>
        <w:widowControl w:val="0"/>
        <w:spacing w:line="240" w:lineRule="auto"/>
        <w:rPr>
          <w:rFonts w:ascii="Times New Roman" w:eastAsiaTheme="minorEastAsia" w:hAnsi="Times New Roman"/>
          <w:snapToGrid w:val="0"/>
          <w:sz w:val="22"/>
          <w:szCs w:val="22"/>
          <w:lang w:bidi="en-US"/>
        </w:rPr>
      </w:pPr>
    </w:p>
    <w:p w14:paraId="67B15497" w14:textId="77777777" w:rsidR="00D117C9" w:rsidRPr="00112701" w:rsidRDefault="00D117C9" w:rsidP="00D117C9">
      <w:pPr>
        <w:widowControl w:val="0"/>
        <w:spacing w:line="240" w:lineRule="auto"/>
        <w:rPr>
          <w:rFonts w:ascii="Times New Roman" w:eastAsiaTheme="minorEastAsia" w:hAnsi="Times New Roman"/>
          <w:snapToGrid w:val="0"/>
          <w:sz w:val="22"/>
          <w:szCs w:val="22"/>
          <w:lang w:bidi="en-US"/>
        </w:rPr>
      </w:pPr>
    </w:p>
    <w:p w14:paraId="1907163A" w14:textId="77777777" w:rsidR="00D117C9" w:rsidRPr="00756BA1" w:rsidRDefault="00D117C9" w:rsidP="00D117C9">
      <w:pPr>
        <w:pStyle w:val="EndNoteBibliography"/>
      </w:pPr>
      <w:r w:rsidRPr="00671109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Supplementary Table S1. The expression levels of the VPS37A protein in both normal tissue and the corresponding paired tumor tissue specimens.</w:t>
      </w:r>
      <w:bookmarkStart w:id="0" w:name="_Hlk193128853"/>
    </w:p>
    <w:tbl>
      <w:tblPr>
        <w:tblW w:w="5000" w:type="pct"/>
        <w:tblLook w:val="04A0" w:firstRow="1" w:lastRow="0" w:firstColumn="1" w:lastColumn="0" w:noHBand="0" w:noVBand="1"/>
      </w:tblPr>
      <w:tblGrid>
        <w:gridCol w:w="1354"/>
        <w:gridCol w:w="1596"/>
        <w:gridCol w:w="847"/>
        <w:gridCol w:w="1186"/>
        <w:gridCol w:w="2130"/>
        <w:gridCol w:w="2465"/>
      </w:tblGrid>
      <w:tr w:rsidR="00D117C9" w:rsidRPr="00756BA1" w14:paraId="600C05E2" w14:textId="77777777" w:rsidTr="00D117C9">
        <w:trPr>
          <w:trHeight w:val="240"/>
        </w:trPr>
        <w:tc>
          <w:tcPr>
            <w:tcW w:w="70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bookmarkEnd w:id="0"/>
          <w:p w14:paraId="3FEC5BBA" w14:textId="77777777" w:rsidR="00D117C9" w:rsidRPr="00756BA1" w:rsidRDefault="00D117C9" w:rsidP="00D117C9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>Patient ID</w:t>
            </w:r>
          </w:p>
        </w:tc>
        <w:tc>
          <w:tcPr>
            <w:tcW w:w="18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87D24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>Characteristics</w:t>
            </w:r>
          </w:p>
        </w:tc>
        <w:tc>
          <w:tcPr>
            <w:tcW w:w="23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9BA4B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56BA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VPS37A</w:t>
            </w: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756BA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protein</w:t>
            </w: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756BA1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level</w:t>
            </w: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(IHC intensity)</w:t>
            </w:r>
          </w:p>
        </w:tc>
      </w:tr>
      <w:tr w:rsidR="00D117C9" w:rsidRPr="00756BA1" w14:paraId="12E10100" w14:textId="77777777" w:rsidTr="00D117C9">
        <w:trPr>
          <w:trHeight w:val="240"/>
        </w:trPr>
        <w:tc>
          <w:tcPr>
            <w:tcW w:w="70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4A886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0382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Sex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619D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AFF0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b/>
                <w:bCs/>
                <w:color w:val="auto"/>
                <w:sz w:val="18"/>
                <w:szCs w:val="18"/>
              </w:rPr>
              <w:t>location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6EEB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>paired tumor tissue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F976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56BA1">
              <w:rPr>
                <w:rFonts w:ascii="Times New Roman" w:hAnsi="Times New Roman"/>
                <w:b/>
                <w:bCs/>
                <w:sz w:val="18"/>
                <w:szCs w:val="18"/>
              </w:rPr>
              <w:t>Normal tissue</w:t>
            </w:r>
          </w:p>
        </w:tc>
      </w:tr>
      <w:tr w:rsidR="00D117C9" w:rsidRPr="00756BA1" w14:paraId="43B6E74A" w14:textId="77777777" w:rsidTr="00D117C9">
        <w:trPr>
          <w:trHeight w:val="240"/>
        </w:trPr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0CA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509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763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E3A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FED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60E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117C9" w:rsidRPr="00756BA1" w14:paraId="5EA1F087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ECC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7C6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F53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7C7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EFD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D1F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117C9" w:rsidRPr="00756BA1" w14:paraId="489E3327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4D0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B5A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926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4A1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2C6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2F0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02138C08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328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9E8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36D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F73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4D9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B9F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117C9" w:rsidRPr="00756BA1" w14:paraId="505FFC04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CB1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6C4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982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675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A01F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612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4F11D0F2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F4C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440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5751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F3A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204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CA8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534970E2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B25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lastRenderedPageBreak/>
              <w:t>P11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EEE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B1D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649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8BA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CE2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2E311851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C747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64A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D29D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DD2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A01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D0A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5DA47B93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B51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703A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33F7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458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F87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2F2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117C9" w:rsidRPr="00756BA1" w14:paraId="2EE03835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AE2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6F9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4163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7A2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DDC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945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D117C9" w:rsidRPr="00756BA1" w14:paraId="32E2F690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183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542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D8A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1D8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0AA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7CF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74A5C836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C76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ADF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936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F39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AB5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01D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117C9" w:rsidRPr="00756BA1" w14:paraId="0F9F18BC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B7A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P21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85B3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DC6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B86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545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F45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6D050D6F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975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P22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196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69F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014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D54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0D9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4C493459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4D9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P25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A73D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B052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1814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986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5FF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117C9" w:rsidRPr="00756BA1" w14:paraId="4D6AA244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A151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P28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2C1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D61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9C2E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6930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14B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13F85D98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EE2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P30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699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38F0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644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806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11B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5A6C7752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47F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P37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ADF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B16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79A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251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1E5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117C9" w:rsidRPr="00756BA1" w14:paraId="76F04DC6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79D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P44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893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DC9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965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BA1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AB3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5AA2E5EE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4A6A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P46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588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5745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931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5AE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42F2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241D9C22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BCB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P47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AFD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B28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22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971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390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33345591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8EF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P51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09B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F68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016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63D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363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3276DD0F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773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P60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37A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C91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BBB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1ED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034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52310F7F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596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71F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21F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AF1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F5F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056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D117C9" w:rsidRPr="00756BA1" w14:paraId="0F4F3275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605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P66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CFD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2ED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CCFB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533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186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4484296C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779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P75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BA17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225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D10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colon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AB38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6D9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D117C9" w:rsidRPr="00756BA1" w14:paraId="18B05CDD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FFE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P83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741C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F2C6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4A3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8B0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8453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38D89196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55BD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P102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0A22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5EFE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094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65F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8F8AB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4270AFF8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FCA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P115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BB391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B464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63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3DB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6F37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688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D117C9" w:rsidRPr="00756BA1" w14:paraId="16372E78" w14:textId="77777777" w:rsidTr="00D117C9">
        <w:trPr>
          <w:trHeight w:val="240"/>
        </w:trPr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BA325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P120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EAB6A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female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2EDC9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47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8D730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color w:val="auto"/>
                <w:sz w:val="18"/>
                <w:szCs w:val="18"/>
              </w:rPr>
              <w:t>rectum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43BDC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92BEF" w14:textId="77777777" w:rsidR="00D117C9" w:rsidRPr="00756BA1" w:rsidRDefault="00D117C9" w:rsidP="00D117C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6B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</w:tbl>
    <w:p w14:paraId="5DFE5F60" w14:textId="77777777" w:rsidR="00D117C9" w:rsidRPr="00756BA1" w:rsidRDefault="00D117C9" w:rsidP="00D117C9">
      <w:pPr>
        <w:widowControl w:val="0"/>
        <w:spacing w:line="240" w:lineRule="auto"/>
        <w:rPr>
          <w:rFonts w:ascii="Times New Roman" w:eastAsia="等线" w:hAnsi="Times New Roman"/>
          <w:color w:val="auto"/>
          <w:kern w:val="2"/>
          <w:sz w:val="24"/>
          <w:szCs w:val="28"/>
        </w:rPr>
      </w:pPr>
    </w:p>
    <w:p w14:paraId="029DBF0B" w14:textId="77777777" w:rsidR="00D117C9" w:rsidRDefault="00D117C9" w:rsidP="00D117C9">
      <w:pPr>
        <w:pStyle w:val="EndNoteBibliography"/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</w:pPr>
      <w:bookmarkStart w:id="1" w:name="_Hlk193128894"/>
      <w:bookmarkStart w:id="2" w:name="_Hlk182584057"/>
    </w:p>
    <w:p w14:paraId="78B6C250" w14:textId="77777777" w:rsidR="00D117C9" w:rsidRPr="00671109" w:rsidRDefault="00D117C9" w:rsidP="00D117C9">
      <w:pPr>
        <w:pStyle w:val="EndNoteBibliography"/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</w:pPr>
      <w:r w:rsidRPr="00671109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 xml:space="preserve">Supplementary Table S2. Primer pair sequences for </w:t>
      </w:r>
      <w:proofErr w:type="spellStart"/>
      <w:r w:rsidRPr="00671109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qRT</w:t>
      </w:r>
      <w:proofErr w:type="spellEnd"/>
      <w:r w:rsidRPr="00671109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-PCR</w:t>
      </w:r>
    </w:p>
    <w:tbl>
      <w:tblPr>
        <w:tblStyle w:val="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1672"/>
        <w:gridCol w:w="6389"/>
      </w:tblGrid>
      <w:tr w:rsidR="00D117C9" w:rsidRPr="00756BA1" w14:paraId="08B1E198" w14:textId="77777777" w:rsidTr="00E316F1">
        <w:trPr>
          <w:jc w:val="center"/>
        </w:trPr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</w:tcPr>
          <w:bookmarkEnd w:id="1"/>
          <w:p w14:paraId="1649758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Gene Symbol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1B2F376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Transcript ID</w:t>
            </w:r>
          </w:p>
        </w:tc>
        <w:tc>
          <w:tcPr>
            <w:tcW w:w="3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E39F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Sequence</w:t>
            </w:r>
          </w:p>
        </w:tc>
      </w:tr>
      <w:bookmarkEnd w:id="2"/>
      <w:tr w:rsidR="00D117C9" w:rsidRPr="00756BA1" w14:paraId="399FE887" w14:textId="77777777" w:rsidTr="00E316F1">
        <w:trPr>
          <w:jc w:val="center"/>
        </w:trPr>
        <w:tc>
          <w:tcPr>
            <w:tcW w:w="792" w:type="pct"/>
            <w:vMerge w:val="restart"/>
            <w:tcBorders>
              <w:top w:val="single" w:sz="4" w:space="0" w:color="auto"/>
            </w:tcBorders>
            <w:vAlign w:val="center"/>
          </w:tcPr>
          <w:p w14:paraId="2B282E4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VPS37A</w:t>
            </w:r>
          </w:p>
        </w:tc>
        <w:tc>
          <w:tcPr>
            <w:tcW w:w="873" w:type="pct"/>
            <w:vMerge w:val="restart"/>
            <w:tcBorders>
              <w:top w:val="single" w:sz="4" w:space="0" w:color="auto"/>
            </w:tcBorders>
            <w:vAlign w:val="center"/>
          </w:tcPr>
          <w:p w14:paraId="3F8349A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NM_152415.3</w:t>
            </w:r>
          </w:p>
        </w:tc>
        <w:tc>
          <w:tcPr>
            <w:tcW w:w="3335" w:type="pct"/>
            <w:tcBorders>
              <w:top w:val="single" w:sz="4" w:space="0" w:color="auto"/>
            </w:tcBorders>
          </w:tcPr>
          <w:p w14:paraId="2AAC936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5’-TGCACATGAAGCTGAGGAAG-3'</w:t>
            </w:r>
          </w:p>
        </w:tc>
      </w:tr>
      <w:tr w:rsidR="00D117C9" w:rsidRPr="00756BA1" w14:paraId="36B590B3" w14:textId="77777777" w:rsidTr="00E316F1">
        <w:trPr>
          <w:jc w:val="center"/>
        </w:trPr>
        <w:tc>
          <w:tcPr>
            <w:tcW w:w="792" w:type="pct"/>
            <w:vMerge/>
            <w:vAlign w:val="center"/>
          </w:tcPr>
          <w:p w14:paraId="46A8648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vAlign w:val="center"/>
          </w:tcPr>
          <w:p w14:paraId="45254E9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</w:tcPr>
          <w:p w14:paraId="4344852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5’-TTGGCTGTGCATTGCTATCG-3'</w:t>
            </w:r>
          </w:p>
        </w:tc>
      </w:tr>
      <w:tr w:rsidR="00D117C9" w:rsidRPr="00756BA1" w14:paraId="25A8701A" w14:textId="77777777" w:rsidTr="00E316F1">
        <w:trPr>
          <w:jc w:val="center"/>
        </w:trPr>
        <w:tc>
          <w:tcPr>
            <w:tcW w:w="792" w:type="pct"/>
            <w:vMerge w:val="restart"/>
            <w:vAlign w:val="center"/>
          </w:tcPr>
          <w:p w14:paraId="6E7CE0D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MKI67</w:t>
            </w:r>
          </w:p>
        </w:tc>
        <w:tc>
          <w:tcPr>
            <w:tcW w:w="873" w:type="pct"/>
            <w:vMerge w:val="restart"/>
            <w:vAlign w:val="center"/>
          </w:tcPr>
          <w:p w14:paraId="47CA92B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NM_002417.5</w:t>
            </w:r>
          </w:p>
        </w:tc>
        <w:tc>
          <w:tcPr>
            <w:tcW w:w="3335" w:type="pct"/>
          </w:tcPr>
          <w:p w14:paraId="416A4A1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5’-GAAAGAGTGGCAACCTGCCTTC-3'</w:t>
            </w:r>
          </w:p>
        </w:tc>
      </w:tr>
      <w:tr w:rsidR="00D117C9" w:rsidRPr="00756BA1" w14:paraId="5052CC60" w14:textId="77777777" w:rsidTr="00E316F1">
        <w:trPr>
          <w:jc w:val="center"/>
        </w:trPr>
        <w:tc>
          <w:tcPr>
            <w:tcW w:w="792" w:type="pct"/>
            <w:vMerge/>
            <w:vAlign w:val="center"/>
          </w:tcPr>
          <w:p w14:paraId="49E16DE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vAlign w:val="center"/>
          </w:tcPr>
          <w:p w14:paraId="6843578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</w:tcPr>
          <w:p w14:paraId="7A81602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5’-GCACCAAGTTTTACTACATCTGCC-3'</w:t>
            </w:r>
          </w:p>
        </w:tc>
      </w:tr>
      <w:tr w:rsidR="00D117C9" w:rsidRPr="00756BA1" w14:paraId="0FC44D30" w14:textId="77777777" w:rsidTr="00E316F1">
        <w:trPr>
          <w:trHeight w:val="41"/>
          <w:jc w:val="center"/>
        </w:trPr>
        <w:tc>
          <w:tcPr>
            <w:tcW w:w="792" w:type="pct"/>
            <w:vMerge w:val="restart"/>
            <w:vAlign w:val="center"/>
          </w:tcPr>
          <w:p w14:paraId="137763C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CDK1</w:t>
            </w:r>
          </w:p>
        </w:tc>
        <w:tc>
          <w:tcPr>
            <w:tcW w:w="873" w:type="pct"/>
            <w:vMerge w:val="restart"/>
            <w:vAlign w:val="center"/>
          </w:tcPr>
          <w:p w14:paraId="663CA30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NM_001786.5</w:t>
            </w:r>
          </w:p>
        </w:tc>
        <w:tc>
          <w:tcPr>
            <w:tcW w:w="3335" w:type="pct"/>
          </w:tcPr>
          <w:p w14:paraId="3F46876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5’-AGTCTACGGGCTACCCGATT-3'</w:t>
            </w:r>
          </w:p>
        </w:tc>
      </w:tr>
      <w:tr w:rsidR="00D117C9" w:rsidRPr="00756BA1" w14:paraId="56B0A5C7" w14:textId="77777777" w:rsidTr="00E316F1">
        <w:trPr>
          <w:trHeight w:val="41"/>
          <w:jc w:val="center"/>
        </w:trPr>
        <w:tc>
          <w:tcPr>
            <w:tcW w:w="792" w:type="pct"/>
            <w:vMerge/>
            <w:vAlign w:val="center"/>
          </w:tcPr>
          <w:p w14:paraId="78D1DFB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vAlign w:val="center"/>
          </w:tcPr>
          <w:p w14:paraId="2680289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</w:tcPr>
          <w:p w14:paraId="1DA1792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5’-CCACTCTGCCCTAGGCTTTC-3'</w:t>
            </w:r>
          </w:p>
        </w:tc>
      </w:tr>
      <w:tr w:rsidR="00D117C9" w:rsidRPr="00756BA1" w14:paraId="0FE75392" w14:textId="77777777" w:rsidTr="00E316F1">
        <w:trPr>
          <w:trHeight w:val="41"/>
          <w:jc w:val="center"/>
        </w:trPr>
        <w:tc>
          <w:tcPr>
            <w:tcW w:w="792" w:type="pct"/>
            <w:vMerge w:val="restart"/>
            <w:vAlign w:val="center"/>
          </w:tcPr>
          <w:p w14:paraId="51D4A56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HIF1A</w:t>
            </w:r>
          </w:p>
        </w:tc>
        <w:tc>
          <w:tcPr>
            <w:tcW w:w="873" w:type="pct"/>
            <w:vMerge w:val="restart"/>
            <w:vAlign w:val="center"/>
          </w:tcPr>
          <w:p w14:paraId="65D924C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NM_001530.4</w:t>
            </w:r>
          </w:p>
        </w:tc>
        <w:tc>
          <w:tcPr>
            <w:tcW w:w="3335" w:type="pct"/>
          </w:tcPr>
          <w:p w14:paraId="5665868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5’-TATGAGCCAGAAGAACTTTTAGGC-3'</w:t>
            </w:r>
          </w:p>
        </w:tc>
      </w:tr>
      <w:tr w:rsidR="00D117C9" w:rsidRPr="00756BA1" w14:paraId="709ADCBC" w14:textId="77777777" w:rsidTr="00E316F1">
        <w:trPr>
          <w:trHeight w:val="41"/>
          <w:jc w:val="center"/>
        </w:trPr>
        <w:tc>
          <w:tcPr>
            <w:tcW w:w="792" w:type="pct"/>
            <w:vMerge/>
            <w:vAlign w:val="center"/>
          </w:tcPr>
          <w:p w14:paraId="387DD00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vAlign w:val="center"/>
          </w:tcPr>
          <w:p w14:paraId="4DA3253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</w:tcPr>
          <w:p w14:paraId="06D6918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5’-CACCTCTTTTGGCAAGCATCCTG-3'</w:t>
            </w:r>
          </w:p>
        </w:tc>
      </w:tr>
      <w:tr w:rsidR="00D117C9" w:rsidRPr="00756BA1" w14:paraId="742BD7D7" w14:textId="77777777" w:rsidTr="00E316F1">
        <w:trPr>
          <w:trHeight w:val="41"/>
          <w:jc w:val="center"/>
        </w:trPr>
        <w:tc>
          <w:tcPr>
            <w:tcW w:w="792" w:type="pct"/>
            <w:vMerge w:val="restart"/>
            <w:vAlign w:val="center"/>
          </w:tcPr>
          <w:p w14:paraId="0013049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YES1</w:t>
            </w:r>
          </w:p>
        </w:tc>
        <w:tc>
          <w:tcPr>
            <w:tcW w:w="873" w:type="pct"/>
            <w:vMerge w:val="restart"/>
            <w:vAlign w:val="center"/>
          </w:tcPr>
          <w:p w14:paraId="74A31AA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NM_005433.4</w:t>
            </w:r>
          </w:p>
        </w:tc>
        <w:tc>
          <w:tcPr>
            <w:tcW w:w="3335" w:type="pct"/>
          </w:tcPr>
          <w:p w14:paraId="3042225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5’-GTTTCGGCGAAGTGTGGATG-3'</w:t>
            </w:r>
          </w:p>
        </w:tc>
      </w:tr>
      <w:tr w:rsidR="00D117C9" w:rsidRPr="00756BA1" w14:paraId="1D036232" w14:textId="77777777" w:rsidTr="00E316F1">
        <w:trPr>
          <w:trHeight w:val="41"/>
          <w:jc w:val="center"/>
        </w:trPr>
        <w:tc>
          <w:tcPr>
            <w:tcW w:w="792" w:type="pct"/>
            <w:vMerge/>
            <w:vAlign w:val="center"/>
          </w:tcPr>
          <w:p w14:paraId="51043F7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vAlign w:val="center"/>
          </w:tcPr>
          <w:p w14:paraId="2B0311C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</w:tcPr>
          <w:p w14:paraId="2FCE6B9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5’-TCACCATACCTTGTCTTGCTGT-3'</w:t>
            </w:r>
          </w:p>
        </w:tc>
      </w:tr>
      <w:tr w:rsidR="00D117C9" w:rsidRPr="00756BA1" w14:paraId="666FE392" w14:textId="77777777" w:rsidTr="00E316F1">
        <w:trPr>
          <w:trHeight w:val="41"/>
          <w:jc w:val="center"/>
        </w:trPr>
        <w:tc>
          <w:tcPr>
            <w:tcW w:w="792" w:type="pct"/>
            <w:vMerge w:val="restart"/>
            <w:vAlign w:val="center"/>
          </w:tcPr>
          <w:p w14:paraId="25DACAD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PIK3CA</w:t>
            </w:r>
          </w:p>
        </w:tc>
        <w:tc>
          <w:tcPr>
            <w:tcW w:w="873" w:type="pct"/>
            <w:vMerge w:val="restart"/>
            <w:vAlign w:val="center"/>
          </w:tcPr>
          <w:p w14:paraId="55A385A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NM_006218.4</w:t>
            </w:r>
          </w:p>
        </w:tc>
        <w:tc>
          <w:tcPr>
            <w:tcW w:w="3335" w:type="pct"/>
          </w:tcPr>
          <w:p w14:paraId="7D4BF7D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5’-GGACCCGATGCGGTTAGAG-3'</w:t>
            </w:r>
          </w:p>
        </w:tc>
      </w:tr>
      <w:tr w:rsidR="00D117C9" w:rsidRPr="00756BA1" w14:paraId="595A5FE8" w14:textId="77777777" w:rsidTr="00E316F1">
        <w:trPr>
          <w:trHeight w:val="41"/>
          <w:jc w:val="center"/>
        </w:trPr>
        <w:tc>
          <w:tcPr>
            <w:tcW w:w="792" w:type="pct"/>
            <w:vMerge/>
            <w:vAlign w:val="center"/>
          </w:tcPr>
          <w:p w14:paraId="6D7A4A9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vAlign w:val="center"/>
          </w:tcPr>
          <w:p w14:paraId="078CEBB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</w:tcPr>
          <w:p w14:paraId="443C537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5’-ATCAAGTGGATGCCCCACAG-3'</w:t>
            </w:r>
          </w:p>
        </w:tc>
      </w:tr>
      <w:tr w:rsidR="00D117C9" w:rsidRPr="00756BA1" w14:paraId="460F9C7D" w14:textId="77777777" w:rsidTr="00E316F1">
        <w:trPr>
          <w:trHeight w:val="41"/>
          <w:jc w:val="center"/>
        </w:trPr>
        <w:tc>
          <w:tcPr>
            <w:tcW w:w="792" w:type="pct"/>
            <w:vMerge w:val="restart"/>
            <w:vAlign w:val="center"/>
          </w:tcPr>
          <w:p w14:paraId="7B1E2E2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bookmarkStart w:id="3" w:name="OLE_LINK1"/>
            <w:r w:rsidRPr="00756BA1">
              <w:rPr>
                <w:rFonts w:ascii="Times New Roman" w:hAnsi="Times New Roman"/>
                <w:color w:val="auto"/>
                <w:szCs w:val="21"/>
              </w:rPr>
              <w:t>ACTB</w:t>
            </w:r>
            <w:bookmarkEnd w:id="3"/>
          </w:p>
        </w:tc>
        <w:tc>
          <w:tcPr>
            <w:tcW w:w="873" w:type="pct"/>
            <w:vMerge w:val="restart"/>
            <w:vAlign w:val="center"/>
          </w:tcPr>
          <w:p w14:paraId="4FDD9D6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NM_001101.5</w:t>
            </w:r>
          </w:p>
        </w:tc>
        <w:tc>
          <w:tcPr>
            <w:tcW w:w="3335" w:type="pct"/>
          </w:tcPr>
          <w:p w14:paraId="03ED6A3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Forward: 5’-TCACCAACTGGGACGACATG-3'</w:t>
            </w:r>
          </w:p>
        </w:tc>
      </w:tr>
      <w:tr w:rsidR="00D117C9" w:rsidRPr="00756BA1" w14:paraId="4AC8FE92" w14:textId="77777777" w:rsidTr="00E316F1">
        <w:trPr>
          <w:trHeight w:val="41"/>
          <w:jc w:val="center"/>
        </w:trPr>
        <w:tc>
          <w:tcPr>
            <w:tcW w:w="792" w:type="pct"/>
            <w:vMerge/>
            <w:tcBorders>
              <w:bottom w:val="single" w:sz="4" w:space="0" w:color="auto"/>
            </w:tcBorders>
          </w:tcPr>
          <w:p w14:paraId="5FF3343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</w:tcPr>
          <w:p w14:paraId="1026DC6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335" w:type="pct"/>
            <w:tcBorders>
              <w:bottom w:val="single" w:sz="4" w:space="0" w:color="auto"/>
            </w:tcBorders>
          </w:tcPr>
          <w:p w14:paraId="3DE30F2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Reverse: 5’-GTCACCGGAGTCCATCACGAT-3'</w:t>
            </w:r>
          </w:p>
        </w:tc>
      </w:tr>
    </w:tbl>
    <w:p w14:paraId="1BDAF1BF" w14:textId="77777777" w:rsidR="00D117C9" w:rsidRPr="00756BA1" w:rsidRDefault="00D117C9" w:rsidP="00D117C9">
      <w:pPr>
        <w:spacing w:line="240" w:lineRule="auto"/>
        <w:rPr>
          <w:rFonts w:ascii="Arial" w:eastAsia="等线" w:hAnsi="Arial" w:cs="Arial"/>
          <w:b/>
          <w:bCs/>
          <w:color w:val="auto"/>
          <w:kern w:val="2"/>
        </w:rPr>
      </w:pPr>
    </w:p>
    <w:p w14:paraId="3978E389" w14:textId="77777777" w:rsidR="00D117C9" w:rsidRPr="00671109" w:rsidRDefault="00D117C9" w:rsidP="00D117C9">
      <w:pPr>
        <w:pStyle w:val="EndNoteBibliography"/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</w:pPr>
      <w:bookmarkStart w:id="4" w:name="_Hlk193128924"/>
      <w:r w:rsidRPr="00671109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 xml:space="preserve">Supplementary Table S3. Antibodies for Western Blotting </w:t>
      </w:r>
      <w:r w:rsidRPr="00671109">
        <w:rPr>
          <w:rFonts w:ascii="Times New Roman" w:eastAsia="Times New Roman" w:hAnsi="Times New Roman" w:cs="Times New Roman" w:hint="eastAsia"/>
          <w:b/>
          <w:bCs/>
          <w:snapToGrid w:val="0"/>
          <w:color w:val="000000"/>
          <w:kern w:val="0"/>
          <w:sz w:val="22"/>
          <w:lang w:eastAsia="de-DE" w:bidi="en-US"/>
        </w:rPr>
        <w:t>Analysis</w:t>
      </w:r>
    </w:p>
    <w:tbl>
      <w:tblPr>
        <w:tblStyle w:val="1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2615"/>
        <w:gridCol w:w="1144"/>
        <w:gridCol w:w="1569"/>
      </w:tblGrid>
      <w:tr w:rsidR="00D117C9" w:rsidRPr="00756BA1" w14:paraId="53FF22CC" w14:textId="77777777" w:rsidTr="00E316F1">
        <w:trPr>
          <w:jc w:val="center"/>
        </w:trPr>
        <w:tc>
          <w:tcPr>
            <w:tcW w:w="22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bookmarkEnd w:id="4"/>
          <w:p w14:paraId="6DBDCC9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Antibodies Name</w:t>
            </w:r>
          </w:p>
        </w:tc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FBF0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Brand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09D0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Dilution</w:t>
            </w: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3F5F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Lot#</w:t>
            </w:r>
          </w:p>
        </w:tc>
      </w:tr>
      <w:tr w:rsidR="00D117C9" w:rsidRPr="00756BA1" w14:paraId="1727B086" w14:textId="77777777" w:rsidTr="00E316F1">
        <w:trPr>
          <w:jc w:val="center"/>
        </w:trPr>
        <w:tc>
          <w:tcPr>
            <w:tcW w:w="2219" w:type="pct"/>
            <w:tcBorders>
              <w:top w:val="single" w:sz="4" w:space="0" w:color="auto"/>
            </w:tcBorders>
            <w:vAlign w:val="center"/>
          </w:tcPr>
          <w:p w14:paraId="7DE6DCC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VPS37A</w:t>
            </w:r>
          </w:p>
        </w:tc>
        <w:tc>
          <w:tcPr>
            <w:tcW w:w="1365" w:type="pct"/>
            <w:tcBorders>
              <w:top w:val="single" w:sz="4" w:space="0" w:color="auto"/>
            </w:tcBorders>
            <w:vAlign w:val="center"/>
          </w:tcPr>
          <w:p w14:paraId="1CB1858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Santa Cruz</w:t>
            </w:r>
          </w:p>
        </w:tc>
        <w:tc>
          <w:tcPr>
            <w:tcW w:w="597" w:type="pct"/>
            <w:tcBorders>
              <w:top w:val="single" w:sz="4" w:space="0" w:color="auto"/>
            </w:tcBorders>
            <w:vAlign w:val="center"/>
          </w:tcPr>
          <w:p w14:paraId="615B886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1:500</w:t>
            </w:r>
          </w:p>
        </w:tc>
        <w:tc>
          <w:tcPr>
            <w:tcW w:w="819" w:type="pct"/>
            <w:tcBorders>
              <w:top w:val="single" w:sz="4" w:space="0" w:color="auto"/>
            </w:tcBorders>
            <w:vAlign w:val="center"/>
          </w:tcPr>
          <w:p w14:paraId="0F8C5F1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sc-376978</w:t>
            </w:r>
          </w:p>
        </w:tc>
      </w:tr>
      <w:tr w:rsidR="00D117C9" w:rsidRPr="00756BA1" w14:paraId="43F48E54" w14:textId="77777777" w:rsidTr="00E316F1">
        <w:trPr>
          <w:jc w:val="center"/>
        </w:trPr>
        <w:tc>
          <w:tcPr>
            <w:tcW w:w="2219" w:type="pct"/>
            <w:vAlign w:val="center"/>
          </w:tcPr>
          <w:p w14:paraId="68ABB1A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Flag</w:t>
            </w:r>
          </w:p>
        </w:tc>
        <w:tc>
          <w:tcPr>
            <w:tcW w:w="1365" w:type="pct"/>
            <w:vAlign w:val="center"/>
          </w:tcPr>
          <w:p w14:paraId="1DCA937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Sigma-</w:t>
            </w:r>
            <w:r w:rsidRPr="00756BA1">
              <w:rPr>
                <w:rFonts w:ascii="Times New Roman" w:hAnsi="Times New Roman" w:hint="eastAsia"/>
                <w:color w:val="auto"/>
                <w:szCs w:val="21"/>
              </w:rPr>
              <w:t>Aldrich</w:t>
            </w:r>
          </w:p>
        </w:tc>
        <w:tc>
          <w:tcPr>
            <w:tcW w:w="597" w:type="pct"/>
            <w:vAlign w:val="center"/>
          </w:tcPr>
          <w:p w14:paraId="7F87AFC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1:2000</w:t>
            </w:r>
          </w:p>
        </w:tc>
        <w:tc>
          <w:tcPr>
            <w:tcW w:w="819" w:type="pct"/>
            <w:vAlign w:val="center"/>
          </w:tcPr>
          <w:p w14:paraId="136FD2B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F1804</w:t>
            </w:r>
          </w:p>
        </w:tc>
      </w:tr>
      <w:tr w:rsidR="00D117C9" w:rsidRPr="00756BA1" w14:paraId="47BAC5D4" w14:textId="77777777" w:rsidTr="00E316F1">
        <w:trPr>
          <w:jc w:val="center"/>
        </w:trPr>
        <w:tc>
          <w:tcPr>
            <w:tcW w:w="2219" w:type="pct"/>
            <w:vAlign w:val="center"/>
          </w:tcPr>
          <w:p w14:paraId="1804F50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LC3B</w:t>
            </w:r>
          </w:p>
        </w:tc>
        <w:tc>
          <w:tcPr>
            <w:tcW w:w="1365" w:type="pct"/>
            <w:vAlign w:val="center"/>
          </w:tcPr>
          <w:p w14:paraId="1139A09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Proteintech</w:t>
            </w:r>
          </w:p>
        </w:tc>
        <w:tc>
          <w:tcPr>
            <w:tcW w:w="597" w:type="pct"/>
            <w:vAlign w:val="center"/>
          </w:tcPr>
          <w:p w14:paraId="6AD32C9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1:1000</w:t>
            </w:r>
          </w:p>
        </w:tc>
        <w:tc>
          <w:tcPr>
            <w:tcW w:w="819" w:type="pct"/>
            <w:vAlign w:val="center"/>
          </w:tcPr>
          <w:p w14:paraId="4262148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14600-1-AP</w:t>
            </w:r>
          </w:p>
        </w:tc>
      </w:tr>
      <w:tr w:rsidR="00D117C9" w:rsidRPr="00756BA1" w14:paraId="1E923833" w14:textId="77777777" w:rsidTr="00E316F1">
        <w:trPr>
          <w:jc w:val="center"/>
        </w:trPr>
        <w:tc>
          <w:tcPr>
            <w:tcW w:w="2219" w:type="pct"/>
            <w:vAlign w:val="center"/>
          </w:tcPr>
          <w:p w14:paraId="63442BB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P62</w:t>
            </w:r>
          </w:p>
        </w:tc>
        <w:tc>
          <w:tcPr>
            <w:tcW w:w="1365" w:type="pct"/>
            <w:vAlign w:val="center"/>
          </w:tcPr>
          <w:p w14:paraId="494E9D5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Proteintech</w:t>
            </w:r>
          </w:p>
        </w:tc>
        <w:tc>
          <w:tcPr>
            <w:tcW w:w="597" w:type="pct"/>
            <w:vAlign w:val="center"/>
          </w:tcPr>
          <w:p w14:paraId="67F70ED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1:1000</w:t>
            </w:r>
          </w:p>
        </w:tc>
        <w:tc>
          <w:tcPr>
            <w:tcW w:w="819" w:type="pct"/>
            <w:vAlign w:val="center"/>
          </w:tcPr>
          <w:p w14:paraId="0C0107B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18420-1-AP</w:t>
            </w:r>
          </w:p>
        </w:tc>
      </w:tr>
      <w:tr w:rsidR="00D117C9" w:rsidRPr="00756BA1" w14:paraId="2443CC77" w14:textId="77777777" w:rsidTr="00E316F1">
        <w:trPr>
          <w:jc w:val="center"/>
        </w:trPr>
        <w:tc>
          <w:tcPr>
            <w:tcW w:w="2219" w:type="pct"/>
            <w:vAlign w:val="center"/>
          </w:tcPr>
          <w:p w14:paraId="6A82B6E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Gpx4</w:t>
            </w:r>
          </w:p>
        </w:tc>
        <w:tc>
          <w:tcPr>
            <w:tcW w:w="1365" w:type="pct"/>
            <w:vAlign w:val="center"/>
          </w:tcPr>
          <w:p w14:paraId="33AF5C2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Santa Cruz</w:t>
            </w:r>
          </w:p>
        </w:tc>
        <w:tc>
          <w:tcPr>
            <w:tcW w:w="597" w:type="pct"/>
            <w:vAlign w:val="center"/>
          </w:tcPr>
          <w:p w14:paraId="696E889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1:1000</w:t>
            </w:r>
          </w:p>
        </w:tc>
        <w:tc>
          <w:tcPr>
            <w:tcW w:w="819" w:type="pct"/>
            <w:vAlign w:val="center"/>
          </w:tcPr>
          <w:p w14:paraId="507B464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sc-166437</w:t>
            </w:r>
          </w:p>
        </w:tc>
      </w:tr>
      <w:tr w:rsidR="00D117C9" w:rsidRPr="00756BA1" w14:paraId="753758E6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5807AD5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MLKL</w:t>
            </w:r>
          </w:p>
        </w:tc>
        <w:tc>
          <w:tcPr>
            <w:tcW w:w="1365" w:type="pct"/>
            <w:vAlign w:val="center"/>
          </w:tcPr>
          <w:p w14:paraId="3991168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Santa Cruz</w:t>
            </w:r>
          </w:p>
        </w:tc>
        <w:tc>
          <w:tcPr>
            <w:tcW w:w="597" w:type="pct"/>
            <w:vAlign w:val="center"/>
          </w:tcPr>
          <w:p w14:paraId="0E1B116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1:1000</w:t>
            </w:r>
          </w:p>
        </w:tc>
        <w:tc>
          <w:tcPr>
            <w:tcW w:w="819" w:type="pct"/>
            <w:vAlign w:val="center"/>
          </w:tcPr>
          <w:p w14:paraId="3F77E27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sc-293201</w:t>
            </w:r>
          </w:p>
        </w:tc>
      </w:tr>
      <w:tr w:rsidR="00D117C9" w:rsidRPr="00756BA1" w14:paraId="3B356401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675A6AC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 w:hint="eastAsia"/>
                <w:color w:val="auto"/>
                <w:szCs w:val="21"/>
              </w:rPr>
              <w:lastRenderedPageBreak/>
              <w:t>p</w:t>
            </w:r>
            <w:r w:rsidRPr="00756BA1">
              <w:rPr>
                <w:rFonts w:ascii="Times New Roman" w:hAnsi="Times New Roman"/>
                <w:color w:val="auto"/>
                <w:szCs w:val="21"/>
              </w:rPr>
              <w:t>-MLKL</w:t>
            </w:r>
          </w:p>
        </w:tc>
        <w:tc>
          <w:tcPr>
            <w:tcW w:w="1365" w:type="pct"/>
            <w:vAlign w:val="center"/>
          </w:tcPr>
          <w:p w14:paraId="12C07FC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Affinity</w:t>
            </w:r>
          </w:p>
        </w:tc>
        <w:tc>
          <w:tcPr>
            <w:tcW w:w="597" w:type="pct"/>
            <w:vAlign w:val="center"/>
          </w:tcPr>
          <w:p w14:paraId="7DF2194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 w:hint="eastAsia"/>
                <w:color w:val="auto"/>
                <w:szCs w:val="21"/>
              </w:rPr>
              <w:t>1</w:t>
            </w:r>
            <w:r w:rsidRPr="00756BA1">
              <w:rPr>
                <w:rFonts w:ascii="Times New Roman" w:hAnsi="Times New Roman"/>
                <w:color w:val="auto"/>
                <w:szCs w:val="21"/>
              </w:rPr>
              <w:t>:1000</w:t>
            </w:r>
          </w:p>
        </w:tc>
        <w:tc>
          <w:tcPr>
            <w:tcW w:w="819" w:type="pct"/>
            <w:vAlign w:val="center"/>
          </w:tcPr>
          <w:p w14:paraId="4BC0B6E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AF7420</w:t>
            </w:r>
          </w:p>
        </w:tc>
      </w:tr>
      <w:tr w:rsidR="00D117C9" w:rsidRPr="00756BA1" w14:paraId="4A9087BB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0A4A5B0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PARP</w:t>
            </w:r>
          </w:p>
        </w:tc>
        <w:tc>
          <w:tcPr>
            <w:tcW w:w="1365" w:type="pct"/>
            <w:vAlign w:val="center"/>
          </w:tcPr>
          <w:p w14:paraId="6192B4C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Proteintech</w:t>
            </w:r>
          </w:p>
        </w:tc>
        <w:tc>
          <w:tcPr>
            <w:tcW w:w="597" w:type="pct"/>
            <w:vAlign w:val="center"/>
          </w:tcPr>
          <w:p w14:paraId="542EB1C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1:1000</w:t>
            </w:r>
          </w:p>
        </w:tc>
        <w:tc>
          <w:tcPr>
            <w:tcW w:w="819" w:type="pct"/>
            <w:vAlign w:val="center"/>
          </w:tcPr>
          <w:p w14:paraId="1E66031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13371-1-AP</w:t>
            </w:r>
          </w:p>
        </w:tc>
      </w:tr>
      <w:tr w:rsidR="00D117C9" w:rsidRPr="00756BA1" w14:paraId="6EC60CCA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25B3E1A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 w:hint="eastAsia"/>
                <w:color w:val="auto"/>
                <w:szCs w:val="21"/>
              </w:rPr>
              <w:t>c</w:t>
            </w:r>
            <w:r w:rsidRPr="00756BA1">
              <w:rPr>
                <w:rFonts w:ascii="Times New Roman" w:hAnsi="Times New Roman"/>
                <w:color w:val="auto"/>
                <w:szCs w:val="21"/>
              </w:rPr>
              <w:t>PARP, cleaved PARP (Asp214)</w:t>
            </w:r>
          </w:p>
        </w:tc>
        <w:tc>
          <w:tcPr>
            <w:tcW w:w="1365" w:type="pct"/>
            <w:vAlign w:val="center"/>
          </w:tcPr>
          <w:p w14:paraId="00E3CF6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 Signal Technology</w:t>
            </w:r>
          </w:p>
        </w:tc>
        <w:tc>
          <w:tcPr>
            <w:tcW w:w="597" w:type="pct"/>
            <w:vAlign w:val="center"/>
          </w:tcPr>
          <w:p w14:paraId="3E9799A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1:1000</w:t>
            </w:r>
          </w:p>
        </w:tc>
        <w:tc>
          <w:tcPr>
            <w:tcW w:w="819" w:type="pct"/>
            <w:vAlign w:val="center"/>
          </w:tcPr>
          <w:p w14:paraId="58EF48B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#9541</w:t>
            </w:r>
          </w:p>
        </w:tc>
      </w:tr>
      <w:tr w:rsidR="00D117C9" w:rsidRPr="00756BA1" w14:paraId="5D0A623E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3EE59FF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TNFR1</w:t>
            </w:r>
          </w:p>
        </w:tc>
        <w:tc>
          <w:tcPr>
            <w:tcW w:w="1365" w:type="pct"/>
            <w:vAlign w:val="center"/>
          </w:tcPr>
          <w:p w14:paraId="0A358C1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Santa Cruz</w:t>
            </w:r>
          </w:p>
        </w:tc>
        <w:tc>
          <w:tcPr>
            <w:tcW w:w="597" w:type="pct"/>
            <w:vAlign w:val="center"/>
          </w:tcPr>
          <w:p w14:paraId="434BEFE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1:400</w:t>
            </w:r>
          </w:p>
        </w:tc>
        <w:tc>
          <w:tcPr>
            <w:tcW w:w="819" w:type="pct"/>
            <w:vAlign w:val="center"/>
          </w:tcPr>
          <w:p w14:paraId="534018F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sc-8436</w:t>
            </w:r>
          </w:p>
        </w:tc>
      </w:tr>
      <w:tr w:rsidR="00D117C9" w:rsidRPr="00756BA1" w14:paraId="479A9E42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7267CC4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GAPDH</w:t>
            </w:r>
          </w:p>
        </w:tc>
        <w:tc>
          <w:tcPr>
            <w:tcW w:w="1365" w:type="pct"/>
            <w:vAlign w:val="center"/>
          </w:tcPr>
          <w:p w14:paraId="13156F6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 xml:space="preserve">Proteintech </w:t>
            </w:r>
          </w:p>
        </w:tc>
        <w:tc>
          <w:tcPr>
            <w:tcW w:w="597" w:type="pct"/>
            <w:vAlign w:val="center"/>
          </w:tcPr>
          <w:p w14:paraId="385F9C8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1:5000</w:t>
            </w:r>
          </w:p>
        </w:tc>
        <w:tc>
          <w:tcPr>
            <w:tcW w:w="819" w:type="pct"/>
            <w:vAlign w:val="center"/>
          </w:tcPr>
          <w:p w14:paraId="4705E12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60004-1-Ig</w:t>
            </w:r>
          </w:p>
        </w:tc>
      </w:tr>
      <w:tr w:rsidR="00D117C9" w:rsidRPr="00756BA1" w14:paraId="5A3F1083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11B619B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β-</w:t>
            </w:r>
            <w:r w:rsidRPr="00756BA1">
              <w:rPr>
                <w:rFonts w:ascii="Times New Roman" w:hAnsi="Times New Roman" w:hint="eastAsia"/>
                <w:color w:val="auto"/>
                <w:szCs w:val="21"/>
              </w:rPr>
              <w:t>a</w:t>
            </w:r>
            <w:r w:rsidRPr="00756BA1">
              <w:rPr>
                <w:rFonts w:ascii="Times New Roman" w:hAnsi="Times New Roman"/>
                <w:color w:val="auto"/>
                <w:szCs w:val="21"/>
              </w:rPr>
              <w:t>ctin</w:t>
            </w:r>
          </w:p>
        </w:tc>
        <w:tc>
          <w:tcPr>
            <w:tcW w:w="1365" w:type="pct"/>
            <w:vAlign w:val="center"/>
          </w:tcPr>
          <w:p w14:paraId="1204CC0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Proteintech</w:t>
            </w:r>
          </w:p>
        </w:tc>
        <w:tc>
          <w:tcPr>
            <w:tcW w:w="597" w:type="pct"/>
            <w:vAlign w:val="center"/>
          </w:tcPr>
          <w:p w14:paraId="5D1521B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1:5000</w:t>
            </w:r>
          </w:p>
        </w:tc>
        <w:tc>
          <w:tcPr>
            <w:tcW w:w="819" w:type="pct"/>
            <w:vAlign w:val="center"/>
          </w:tcPr>
          <w:p w14:paraId="0EBBEB50" w14:textId="77777777" w:rsidR="00D117C9" w:rsidRPr="00756BA1" w:rsidRDefault="00D117C9" w:rsidP="00E316F1">
            <w:pPr>
              <w:widowControl w:val="0"/>
              <w:spacing w:line="240" w:lineRule="auto"/>
              <w:ind w:left="840" w:hanging="840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66009-1-Ig</w:t>
            </w:r>
          </w:p>
        </w:tc>
      </w:tr>
      <w:tr w:rsidR="00D117C9" w:rsidRPr="00756BA1" w14:paraId="0024158D" w14:textId="77777777" w:rsidTr="00E316F1">
        <w:trPr>
          <w:trHeight w:val="41"/>
          <w:jc w:val="center"/>
        </w:trPr>
        <w:tc>
          <w:tcPr>
            <w:tcW w:w="2219" w:type="pct"/>
            <w:vAlign w:val="center"/>
          </w:tcPr>
          <w:p w14:paraId="4069512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HRP-conjugated Goat Anti-Rabbit IgG(H+L)</w:t>
            </w:r>
          </w:p>
        </w:tc>
        <w:tc>
          <w:tcPr>
            <w:tcW w:w="1365" w:type="pct"/>
            <w:vAlign w:val="center"/>
          </w:tcPr>
          <w:p w14:paraId="235A02C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Proteintech</w:t>
            </w:r>
          </w:p>
        </w:tc>
        <w:tc>
          <w:tcPr>
            <w:tcW w:w="597" w:type="pct"/>
            <w:vAlign w:val="center"/>
          </w:tcPr>
          <w:p w14:paraId="4F2A6BE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1:5000</w:t>
            </w:r>
          </w:p>
        </w:tc>
        <w:tc>
          <w:tcPr>
            <w:tcW w:w="819" w:type="pct"/>
            <w:vAlign w:val="center"/>
          </w:tcPr>
          <w:p w14:paraId="297B742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SA00001-2</w:t>
            </w:r>
          </w:p>
        </w:tc>
      </w:tr>
      <w:tr w:rsidR="00D117C9" w:rsidRPr="00756BA1" w14:paraId="39EFA69D" w14:textId="77777777" w:rsidTr="00E316F1">
        <w:trPr>
          <w:trHeight w:val="41"/>
          <w:jc w:val="center"/>
        </w:trPr>
        <w:tc>
          <w:tcPr>
            <w:tcW w:w="2219" w:type="pct"/>
            <w:tcBorders>
              <w:bottom w:val="single" w:sz="4" w:space="0" w:color="auto"/>
            </w:tcBorders>
            <w:vAlign w:val="center"/>
          </w:tcPr>
          <w:p w14:paraId="035B6EB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HRP-conjugated Goat Anti-Mouse IgG(H+L)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vAlign w:val="center"/>
          </w:tcPr>
          <w:p w14:paraId="65B3D1B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Proteintech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vAlign w:val="center"/>
          </w:tcPr>
          <w:p w14:paraId="3E81B3F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1:5000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vAlign w:val="center"/>
          </w:tcPr>
          <w:p w14:paraId="10E19A7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SA00001-1</w:t>
            </w:r>
          </w:p>
        </w:tc>
      </w:tr>
    </w:tbl>
    <w:p w14:paraId="39D7B7A4" w14:textId="77777777" w:rsidR="00D117C9" w:rsidRPr="00756BA1" w:rsidRDefault="00D117C9" w:rsidP="00D117C9">
      <w:pPr>
        <w:spacing w:line="240" w:lineRule="auto"/>
        <w:rPr>
          <w:rFonts w:ascii="Times New Roman" w:eastAsia="等线" w:hAnsi="Times New Roman"/>
          <w:color w:val="auto"/>
          <w:kern w:val="2"/>
          <w:sz w:val="21"/>
          <w:szCs w:val="21"/>
        </w:rPr>
      </w:pPr>
    </w:p>
    <w:p w14:paraId="23ACE9EB" w14:textId="77777777" w:rsidR="00D117C9" w:rsidRPr="00112701" w:rsidRDefault="00D117C9" w:rsidP="00D117C9">
      <w:pPr>
        <w:pStyle w:val="EndNoteBibliography"/>
        <w:rPr>
          <w:rFonts w:ascii="Times New Roman" w:eastAsia="Times New Roman" w:hAnsi="Times New Roman"/>
          <w:b/>
          <w:bCs/>
          <w:snapToGrid w:val="0"/>
          <w:color w:val="000000"/>
          <w:kern w:val="0"/>
          <w:sz w:val="22"/>
          <w:lang w:eastAsia="de-DE" w:bidi="en-US"/>
        </w:rPr>
      </w:pPr>
      <w:bookmarkStart w:id="5" w:name="_Hlk193128946"/>
      <w:r w:rsidRPr="00112701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Supplementary Table S4. GO analysis (Biological processes) of DEGs</w:t>
      </w: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5760"/>
        <w:gridCol w:w="2222"/>
      </w:tblGrid>
      <w:tr w:rsidR="00D117C9" w:rsidRPr="00756BA1" w14:paraId="2171EE6F" w14:textId="77777777" w:rsidTr="00E316F1">
        <w:trPr>
          <w:trHeight w:val="283"/>
        </w:trPr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bookmarkEnd w:id="5"/>
          <w:p w14:paraId="3B969FF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Accession</w:t>
            </w:r>
          </w:p>
        </w:tc>
        <w:tc>
          <w:tcPr>
            <w:tcW w:w="3007" w:type="pct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1C834DB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Name</w:t>
            </w:r>
          </w:p>
        </w:tc>
        <w:tc>
          <w:tcPr>
            <w:tcW w:w="1160" w:type="pct"/>
            <w:tcBorders>
              <w:top w:val="single" w:sz="12" w:space="0" w:color="auto"/>
              <w:bottom w:val="single" w:sz="12" w:space="0" w:color="auto"/>
            </w:tcBorders>
            <w:noWrap/>
            <w:hideMark/>
          </w:tcPr>
          <w:p w14:paraId="7448A1B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Down DEGs Count</w:t>
            </w:r>
          </w:p>
        </w:tc>
      </w:tr>
      <w:tr w:rsidR="00D117C9" w:rsidRPr="00756BA1" w14:paraId="6EA47BE0" w14:textId="77777777" w:rsidTr="00E316F1">
        <w:trPr>
          <w:trHeight w:val="283"/>
        </w:trPr>
        <w:tc>
          <w:tcPr>
            <w:tcW w:w="833" w:type="pct"/>
            <w:tcBorders>
              <w:top w:val="single" w:sz="12" w:space="0" w:color="auto"/>
            </w:tcBorders>
            <w:noWrap/>
            <w:hideMark/>
          </w:tcPr>
          <w:p w14:paraId="2AD4EE4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GO:0009987</w:t>
            </w:r>
          </w:p>
        </w:tc>
        <w:tc>
          <w:tcPr>
            <w:tcW w:w="3007" w:type="pct"/>
            <w:tcBorders>
              <w:top w:val="single" w:sz="12" w:space="0" w:color="auto"/>
            </w:tcBorders>
            <w:noWrap/>
            <w:hideMark/>
          </w:tcPr>
          <w:p w14:paraId="45C58DA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process</w:t>
            </w:r>
          </w:p>
        </w:tc>
        <w:tc>
          <w:tcPr>
            <w:tcW w:w="1160" w:type="pct"/>
            <w:tcBorders>
              <w:top w:val="single" w:sz="12" w:space="0" w:color="auto"/>
            </w:tcBorders>
            <w:noWrap/>
            <w:hideMark/>
          </w:tcPr>
          <w:p w14:paraId="46D82F8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1179</w:t>
            </w:r>
          </w:p>
        </w:tc>
      </w:tr>
      <w:tr w:rsidR="00D117C9" w:rsidRPr="00756BA1" w14:paraId="123A4AE5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373129C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GO:0008152</w:t>
            </w:r>
          </w:p>
        </w:tc>
        <w:tc>
          <w:tcPr>
            <w:tcW w:w="3007" w:type="pct"/>
            <w:noWrap/>
            <w:hideMark/>
          </w:tcPr>
          <w:p w14:paraId="741D66D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metabolic process</w:t>
            </w:r>
          </w:p>
        </w:tc>
        <w:tc>
          <w:tcPr>
            <w:tcW w:w="1160" w:type="pct"/>
            <w:noWrap/>
            <w:hideMark/>
          </w:tcPr>
          <w:p w14:paraId="26FEA63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922</w:t>
            </w:r>
          </w:p>
        </w:tc>
      </w:tr>
      <w:tr w:rsidR="00D117C9" w:rsidRPr="00756BA1" w14:paraId="77A13BD0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6157E34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GO:0044237</w:t>
            </w:r>
          </w:p>
        </w:tc>
        <w:tc>
          <w:tcPr>
            <w:tcW w:w="3007" w:type="pct"/>
            <w:noWrap/>
            <w:hideMark/>
          </w:tcPr>
          <w:p w14:paraId="03B7A59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metabolic process</w:t>
            </w:r>
          </w:p>
        </w:tc>
        <w:tc>
          <w:tcPr>
            <w:tcW w:w="1160" w:type="pct"/>
            <w:noWrap/>
            <w:hideMark/>
          </w:tcPr>
          <w:p w14:paraId="37594B0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885</w:t>
            </w:r>
          </w:p>
        </w:tc>
      </w:tr>
      <w:tr w:rsidR="00D117C9" w:rsidRPr="00756BA1" w14:paraId="59A32C8C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7F8091B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GO:0071704</w:t>
            </w:r>
          </w:p>
        </w:tc>
        <w:tc>
          <w:tcPr>
            <w:tcW w:w="3007" w:type="pct"/>
            <w:noWrap/>
            <w:hideMark/>
          </w:tcPr>
          <w:p w14:paraId="026252A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organic substance metabolic process</w:t>
            </w:r>
          </w:p>
        </w:tc>
        <w:tc>
          <w:tcPr>
            <w:tcW w:w="1160" w:type="pct"/>
            <w:noWrap/>
            <w:hideMark/>
          </w:tcPr>
          <w:p w14:paraId="110A77D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876</w:t>
            </w:r>
          </w:p>
        </w:tc>
      </w:tr>
      <w:tr w:rsidR="00D117C9" w:rsidRPr="00756BA1" w14:paraId="7DEA9140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63F0DA5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GO:0050789</w:t>
            </w:r>
          </w:p>
        </w:tc>
        <w:tc>
          <w:tcPr>
            <w:tcW w:w="3007" w:type="pct"/>
            <w:noWrap/>
            <w:hideMark/>
          </w:tcPr>
          <w:p w14:paraId="29F6040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biological process</w:t>
            </w:r>
          </w:p>
        </w:tc>
        <w:tc>
          <w:tcPr>
            <w:tcW w:w="1160" w:type="pct"/>
            <w:noWrap/>
            <w:hideMark/>
          </w:tcPr>
          <w:p w14:paraId="5E04EC5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875</w:t>
            </w:r>
          </w:p>
        </w:tc>
      </w:tr>
      <w:tr w:rsidR="00D117C9" w:rsidRPr="00756BA1" w14:paraId="347EAC2C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2AD33C7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GO:0044238</w:t>
            </w:r>
          </w:p>
        </w:tc>
        <w:tc>
          <w:tcPr>
            <w:tcW w:w="3007" w:type="pct"/>
            <w:noWrap/>
            <w:hideMark/>
          </w:tcPr>
          <w:p w14:paraId="04C255A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primary metabolic process</w:t>
            </w:r>
          </w:p>
        </w:tc>
        <w:tc>
          <w:tcPr>
            <w:tcW w:w="1160" w:type="pct"/>
            <w:noWrap/>
            <w:hideMark/>
          </w:tcPr>
          <w:p w14:paraId="2E5CADA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856</w:t>
            </w:r>
          </w:p>
        </w:tc>
      </w:tr>
      <w:tr w:rsidR="00D117C9" w:rsidRPr="00756BA1" w14:paraId="7DDA3004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7A9FD8E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GO:0050794</w:t>
            </w:r>
          </w:p>
        </w:tc>
        <w:tc>
          <w:tcPr>
            <w:tcW w:w="3007" w:type="pct"/>
            <w:noWrap/>
            <w:hideMark/>
          </w:tcPr>
          <w:p w14:paraId="61518D6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cellular process</w:t>
            </w:r>
          </w:p>
        </w:tc>
        <w:tc>
          <w:tcPr>
            <w:tcW w:w="1160" w:type="pct"/>
            <w:noWrap/>
            <w:hideMark/>
          </w:tcPr>
          <w:p w14:paraId="10AAA72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844</w:t>
            </w:r>
          </w:p>
        </w:tc>
      </w:tr>
      <w:tr w:rsidR="00D117C9" w:rsidRPr="00756BA1" w14:paraId="608A03F7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36710EE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GO:0006807</w:t>
            </w:r>
          </w:p>
        </w:tc>
        <w:tc>
          <w:tcPr>
            <w:tcW w:w="3007" w:type="pct"/>
            <w:noWrap/>
            <w:hideMark/>
          </w:tcPr>
          <w:p w14:paraId="2A557AB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nitrogen compound metabolic process</w:t>
            </w:r>
          </w:p>
        </w:tc>
        <w:tc>
          <w:tcPr>
            <w:tcW w:w="1160" w:type="pct"/>
            <w:noWrap/>
            <w:hideMark/>
          </w:tcPr>
          <w:p w14:paraId="2C51FE0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834</w:t>
            </w:r>
          </w:p>
        </w:tc>
      </w:tr>
      <w:tr w:rsidR="00D117C9" w:rsidRPr="00756BA1" w14:paraId="708ED8F5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29C6FCE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GO:0043170</w:t>
            </w:r>
          </w:p>
        </w:tc>
        <w:tc>
          <w:tcPr>
            <w:tcW w:w="3007" w:type="pct"/>
            <w:noWrap/>
            <w:hideMark/>
          </w:tcPr>
          <w:p w14:paraId="51E0685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macromolecule metabolic process</w:t>
            </w:r>
          </w:p>
        </w:tc>
        <w:tc>
          <w:tcPr>
            <w:tcW w:w="1160" w:type="pct"/>
            <w:noWrap/>
            <w:hideMark/>
          </w:tcPr>
          <w:p w14:paraId="2910475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802</w:t>
            </w:r>
          </w:p>
        </w:tc>
      </w:tr>
      <w:tr w:rsidR="00D117C9" w:rsidRPr="00756BA1" w14:paraId="401419A1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332619D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GO:0044260</w:t>
            </w:r>
          </w:p>
        </w:tc>
        <w:tc>
          <w:tcPr>
            <w:tcW w:w="3007" w:type="pct"/>
            <w:noWrap/>
            <w:hideMark/>
          </w:tcPr>
          <w:p w14:paraId="57BA9AE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macromolecule metabolic process</w:t>
            </w:r>
          </w:p>
        </w:tc>
        <w:tc>
          <w:tcPr>
            <w:tcW w:w="1160" w:type="pct"/>
            <w:noWrap/>
            <w:hideMark/>
          </w:tcPr>
          <w:p w14:paraId="2CD69B6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733</w:t>
            </w:r>
          </w:p>
        </w:tc>
      </w:tr>
      <w:tr w:rsidR="00D117C9" w:rsidRPr="00756BA1" w14:paraId="51D964FA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5E28083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GO:0034641</w:t>
            </w:r>
          </w:p>
        </w:tc>
        <w:tc>
          <w:tcPr>
            <w:tcW w:w="3007" w:type="pct"/>
            <w:noWrap/>
            <w:hideMark/>
          </w:tcPr>
          <w:p w14:paraId="40CFC77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nitrogen compound metabolic process</w:t>
            </w:r>
          </w:p>
        </w:tc>
        <w:tc>
          <w:tcPr>
            <w:tcW w:w="1160" w:type="pct"/>
            <w:noWrap/>
            <w:hideMark/>
          </w:tcPr>
          <w:p w14:paraId="7E244E3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629</w:t>
            </w:r>
          </w:p>
        </w:tc>
      </w:tr>
      <w:tr w:rsidR="00D117C9" w:rsidRPr="00756BA1" w14:paraId="366F7FCE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1C03B24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GO:1901360</w:t>
            </w:r>
          </w:p>
        </w:tc>
        <w:tc>
          <w:tcPr>
            <w:tcW w:w="3007" w:type="pct"/>
            <w:noWrap/>
            <w:hideMark/>
          </w:tcPr>
          <w:p w14:paraId="54DBE18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organic cyclic compound metabolic process</w:t>
            </w:r>
          </w:p>
        </w:tc>
        <w:tc>
          <w:tcPr>
            <w:tcW w:w="1160" w:type="pct"/>
            <w:noWrap/>
            <w:hideMark/>
          </w:tcPr>
          <w:p w14:paraId="1267E2A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614</w:t>
            </w:r>
          </w:p>
        </w:tc>
      </w:tr>
      <w:tr w:rsidR="00D117C9" w:rsidRPr="00756BA1" w14:paraId="08B1C647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6E86D8D3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GO:0006725</w:t>
            </w:r>
          </w:p>
        </w:tc>
        <w:tc>
          <w:tcPr>
            <w:tcW w:w="3007" w:type="pct"/>
            <w:noWrap/>
            <w:hideMark/>
          </w:tcPr>
          <w:p w14:paraId="4639126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aromatic compound metabolic process</w:t>
            </w:r>
          </w:p>
        </w:tc>
        <w:tc>
          <w:tcPr>
            <w:tcW w:w="1160" w:type="pct"/>
            <w:noWrap/>
            <w:hideMark/>
          </w:tcPr>
          <w:p w14:paraId="168508D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603</w:t>
            </w:r>
          </w:p>
        </w:tc>
      </w:tr>
      <w:tr w:rsidR="00D117C9" w:rsidRPr="00756BA1" w14:paraId="6FF6EA84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271049E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GO:0046483</w:t>
            </w:r>
          </w:p>
        </w:tc>
        <w:tc>
          <w:tcPr>
            <w:tcW w:w="3007" w:type="pct"/>
            <w:noWrap/>
            <w:hideMark/>
          </w:tcPr>
          <w:p w14:paraId="36F071B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heterocycle metabolic process</w:t>
            </w:r>
          </w:p>
        </w:tc>
        <w:tc>
          <w:tcPr>
            <w:tcW w:w="1160" w:type="pct"/>
            <w:noWrap/>
            <w:hideMark/>
          </w:tcPr>
          <w:p w14:paraId="4147864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602</w:t>
            </w:r>
          </w:p>
        </w:tc>
      </w:tr>
      <w:tr w:rsidR="00D117C9" w:rsidRPr="00756BA1" w14:paraId="5F3B520F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6E8FC7E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GO:0006139</w:t>
            </w:r>
          </w:p>
        </w:tc>
        <w:tc>
          <w:tcPr>
            <w:tcW w:w="3007" w:type="pct"/>
            <w:noWrap/>
            <w:hideMark/>
          </w:tcPr>
          <w:p w14:paraId="1CF4F62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nucleobase-containing compound metabolic process</w:t>
            </w:r>
          </w:p>
        </w:tc>
        <w:tc>
          <w:tcPr>
            <w:tcW w:w="1160" w:type="pct"/>
            <w:noWrap/>
            <w:hideMark/>
          </w:tcPr>
          <w:p w14:paraId="7C94458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592</w:t>
            </w:r>
          </w:p>
        </w:tc>
      </w:tr>
      <w:tr w:rsidR="00D117C9" w:rsidRPr="00756BA1" w14:paraId="3EC2F10F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01C7EE6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GO:0019222</w:t>
            </w:r>
          </w:p>
        </w:tc>
        <w:tc>
          <w:tcPr>
            <w:tcW w:w="3007" w:type="pct"/>
            <w:noWrap/>
            <w:hideMark/>
          </w:tcPr>
          <w:p w14:paraId="6E10CC6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metabolic process</w:t>
            </w:r>
          </w:p>
        </w:tc>
        <w:tc>
          <w:tcPr>
            <w:tcW w:w="1160" w:type="pct"/>
            <w:noWrap/>
            <w:hideMark/>
          </w:tcPr>
          <w:p w14:paraId="157EDBC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580</w:t>
            </w:r>
          </w:p>
        </w:tc>
      </w:tr>
      <w:tr w:rsidR="00D117C9" w:rsidRPr="00756BA1" w14:paraId="056BE762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57A69F0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GO:0090304</w:t>
            </w:r>
          </w:p>
        </w:tc>
        <w:tc>
          <w:tcPr>
            <w:tcW w:w="3007" w:type="pct"/>
            <w:noWrap/>
            <w:hideMark/>
          </w:tcPr>
          <w:p w14:paraId="2E2F631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nucleic acid metabolic process</w:t>
            </w:r>
          </w:p>
        </w:tc>
        <w:tc>
          <w:tcPr>
            <w:tcW w:w="1160" w:type="pct"/>
            <w:noWrap/>
            <w:hideMark/>
          </w:tcPr>
          <w:p w14:paraId="6AF99F9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561</w:t>
            </w:r>
          </w:p>
        </w:tc>
      </w:tr>
      <w:tr w:rsidR="00D117C9" w:rsidRPr="00756BA1" w14:paraId="09487224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17983C6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GO:0031323</w:t>
            </w:r>
          </w:p>
        </w:tc>
        <w:tc>
          <w:tcPr>
            <w:tcW w:w="3007" w:type="pct"/>
            <w:noWrap/>
            <w:hideMark/>
          </w:tcPr>
          <w:p w14:paraId="4651C57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cellular metabolic process</w:t>
            </w:r>
          </w:p>
        </w:tc>
        <w:tc>
          <w:tcPr>
            <w:tcW w:w="1160" w:type="pct"/>
            <w:noWrap/>
            <w:hideMark/>
          </w:tcPr>
          <w:p w14:paraId="4A11006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558</w:t>
            </w:r>
          </w:p>
        </w:tc>
      </w:tr>
      <w:tr w:rsidR="00D117C9" w:rsidRPr="00756BA1" w14:paraId="55135745" w14:textId="77777777" w:rsidTr="00E316F1">
        <w:trPr>
          <w:trHeight w:val="283"/>
        </w:trPr>
        <w:tc>
          <w:tcPr>
            <w:tcW w:w="833" w:type="pct"/>
            <w:noWrap/>
            <w:hideMark/>
          </w:tcPr>
          <w:p w14:paraId="3B4F8DF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GO:0009058</w:t>
            </w:r>
          </w:p>
        </w:tc>
        <w:tc>
          <w:tcPr>
            <w:tcW w:w="3007" w:type="pct"/>
            <w:noWrap/>
            <w:hideMark/>
          </w:tcPr>
          <w:p w14:paraId="76053F9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biosynthetic process</w:t>
            </w:r>
          </w:p>
        </w:tc>
        <w:tc>
          <w:tcPr>
            <w:tcW w:w="1160" w:type="pct"/>
            <w:noWrap/>
            <w:hideMark/>
          </w:tcPr>
          <w:p w14:paraId="4265C3B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558</w:t>
            </w:r>
          </w:p>
        </w:tc>
      </w:tr>
      <w:tr w:rsidR="00D117C9" w:rsidRPr="00756BA1" w14:paraId="5DAF38BC" w14:textId="77777777" w:rsidTr="00E316F1">
        <w:trPr>
          <w:trHeight w:val="283"/>
        </w:trPr>
        <w:tc>
          <w:tcPr>
            <w:tcW w:w="833" w:type="pct"/>
            <w:tcBorders>
              <w:bottom w:val="single" w:sz="12" w:space="0" w:color="auto"/>
            </w:tcBorders>
            <w:noWrap/>
            <w:hideMark/>
          </w:tcPr>
          <w:p w14:paraId="6207C69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GO:0044249</w:t>
            </w:r>
          </w:p>
        </w:tc>
        <w:tc>
          <w:tcPr>
            <w:tcW w:w="3007" w:type="pct"/>
            <w:tcBorders>
              <w:bottom w:val="single" w:sz="12" w:space="0" w:color="auto"/>
            </w:tcBorders>
            <w:noWrap/>
            <w:hideMark/>
          </w:tcPr>
          <w:p w14:paraId="5F5A3E2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biosynthetic process</w:t>
            </w:r>
          </w:p>
        </w:tc>
        <w:tc>
          <w:tcPr>
            <w:tcW w:w="1160" w:type="pct"/>
            <w:tcBorders>
              <w:bottom w:val="single" w:sz="12" w:space="0" w:color="auto"/>
            </w:tcBorders>
            <w:noWrap/>
            <w:hideMark/>
          </w:tcPr>
          <w:p w14:paraId="240E8FC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553</w:t>
            </w:r>
          </w:p>
        </w:tc>
      </w:tr>
      <w:tr w:rsidR="00D117C9" w:rsidRPr="00756BA1" w14:paraId="172789E6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262063E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Accession</w:t>
            </w:r>
          </w:p>
        </w:tc>
        <w:tc>
          <w:tcPr>
            <w:tcW w:w="3007" w:type="pct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3A58C6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Name</w:t>
            </w:r>
          </w:p>
        </w:tc>
        <w:tc>
          <w:tcPr>
            <w:tcW w:w="1160" w:type="pct"/>
            <w:tcBorders>
              <w:top w:val="single" w:sz="12" w:space="0" w:color="auto"/>
              <w:bottom w:val="single" w:sz="8" w:space="0" w:color="auto"/>
            </w:tcBorders>
            <w:noWrap/>
            <w:hideMark/>
          </w:tcPr>
          <w:p w14:paraId="410926F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bCs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bCs/>
                <w:color w:val="auto"/>
                <w:szCs w:val="21"/>
              </w:rPr>
              <w:t>Up DEGs Count</w:t>
            </w:r>
          </w:p>
        </w:tc>
      </w:tr>
      <w:tr w:rsidR="00D117C9" w:rsidRPr="00756BA1" w14:paraId="37DBB65B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tcBorders>
              <w:top w:val="single" w:sz="8" w:space="0" w:color="auto"/>
            </w:tcBorders>
            <w:noWrap/>
            <w:hideMark/>
          </w:tcPr>
          <w:p w14:paraId="62E205A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GO:0050896</w:t>
            </w:r>
          </w:p>
        </w:tc>
        <w:tc>
          <w:tcPr>
            <w:tcW w:w="3007" w:type="pct"/>
            <w:tcBorders>
              <w:top w:val="single" w:sz="8" w:space="0" w:color="auto"/>
            </w:tcBorders>
            <w:noWrap/>
            <w:hideMark/>
          </w:tcPr>
          <w:p w14:paraId="1400EF3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response to stimulus</w:t>
            </w:r>
          </w:p>
        </w:tc>
        <w:tc>
          <w:tcPr>
            <w:tcW w:w="1160" w:type="pct"/>
            <w:tcBorders>
              <w:top w:val="single" w:sz="8" w:space="0" w:color="auto"/>
            </w:tcBorders>
            <w:noWrap/>
            <w:hideMark/>
          </w:tcPr>
          <w:p w14:paraId="02E5759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114</w:t>
            </w:r>
          </w:p>
        </w:tc>
      </w:tr>
      <w:tr w:rsidR="00D117C9" w:rsidRPr="00756BA1" w14:paraId="76AEA046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02EF9EE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GO:0032501</w:t>
            </w:r>
          </w:p>
        </w:tc>
        <w:tc>
          <w:tcPr>
            <w:tcW w:w="3007" w:type="pct"/>
            <w:noWrap/>
            <w:hideMark/>
          </w:tcPr>
          <w:p w14:paraId="3DAEAB6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multicellular organismal process</w:t>
            </w:r>
          </w:p>
        </w:tc>
        <w:tc>
          <w:tcPr>
            <w:tcW w:w="1160" w:type="pct"/>
            <w:noWrap/>
            <w:hideMark/>
          </w:tcPr>
          <w:p w14:paraId="70F15DF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103</w:t>
            </w:r>
          </w:p>
        </w:tc>
      </w:tr>
      <w:tr w:rsidR="00D117C9" w:rsidRPr="00756BA1" w14:paraId="59FB18FD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24478BA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GO:0023052</w:t>
            </w:r>
          </w:p>
        </w:tc>
        <w:tc>
          <w:tcPr>
            <w:tcW w:w="3007" w:type="pct"/>
            <w:noWrap/>
            <w:hideMark/>
          </w:tcPr>
          <w:p w14:paraId="67C540A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signaling</w:t>
            </w:r>
          </w:p>
        </w:tc>
        <w:tc>
          <w:tcPr>
            <w:tcW w:w="1160" w:type="pct"/>
            <w:noWrap/>
            <w:hideMark/>
          </w:tcPr>
          <w:p w14:paraId="154D852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98</w:t>
            </w:r>
          </w:p>
        </w:tc>
      </w:tr>
      <w:tr w:rsidR="00D117C9" w:rsidRPr="00756BA1" w14:paraId="4CD7BC74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10FA959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GO:0007154</w:t>
            </w:r>
          </w:p>
        </w:tc>
        <w:tc>
          <w:tcPr>
            <w:tcW w:w="3007" w:type="pct"/>
            <w:noWrap/>
            <w:hideMark/>
          </w:tcPr>
          <w:p w14:paraId="7849F9C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 communication</w:t>
            </w:r>
          </w:p>
        </w:tc>
        <w:tc>
          <w:tcPr>
            <w:tcW w:w="1160" w:type="pct"/>
            <w:noWrap/>
            <w:hideMark/>
          </w:tcPr>
          <w:p w14:paraId="49012AE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98</w:t>
            </w:r>
          </w:p>
        </w:tc>
      </w:tr>
      <w:tr w:rsidR="00D117C9" w:rsidRPr="00756BA1" w14:paraId="600E4D5D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0B65947F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GO:0032502</w:t>
            </w:r>
          </w:p>
        </w:tc>
        <w:tc>
          <w:tcPr>
            <w:tcW w:w="3007" w:type="pct"/>
            <w:noWrap/>
            <w:hideMark/>
          </w:tcPr>
          <w:p w14:paraId="52FE844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developmental process</w:t>
            </w:r>
          </w:p>
        </w:tc>
        <w:tc>
          <w:tcPr>
            <w:tcW w:w="1160" w:type="pct"/>
            <w:noWrap/>
            <w:hideMark/>
          </w:tcPr>
          <w:p w14:paraId="0924B3B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90</w:t>
            </w:r>
          </w:p>
        </w:tc>
      </w:tr>
      <w:tr w:rsidR="00D117C9" w:rsidRPr="00756BA1" w14:paraId="45F49827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1FBACE3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GO:0048856</w:t>
            </w:r>
          </w:p>
        </w:tc>
        <w:tc>
          <w:tcPr>
            <w:tcW w:w="3007" w:type="pct"/>
            <w:noWrap/>
            <w:hideMark/>
          </w:tcPr>
          <w:p w14:paraId="5C86D1C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anatomical structure development</w:t>
            </w:r>
          </w:p>
        </w:tc>
        <w:tc>
          <w:tcPr>
            <w:tcW w:w="1160" w:type="pct"/>
            <w:noWrap/>
            <w:hideMark/>
          </w:tcPr>
          <w:p w14:paraId="3B29998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86</w:t>
            </w:r>
          </w:p>
        </w:tc>
      </w:tr>
      <w:tr w:rsidR="00D117C9" w:rsidRPr="00756BA1" w14:paraId="78CF379C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537DF98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GO:0007275</w:t>
            </w:r>
          </w:p>
        </w:tc>
        <w:tc>
          <w:tcPr>
            <w:tcW w:w="3007" w:type="pct"/>
            <w:noWrap/>
            <w:hideMark/>
          </w:tcPr>
          <w:p w14:paraId="22DA25A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multicellular organism development</w:t>
            </w:r>
          </w:p>
        </w:tc>
        <w:tc>
          <w:tcPr>
            <w:tcW w:w="1160" w:type="pct"/>
            <w:noWrap/>
            <w:hideMark/>
          </w:tcPr>
          <w:p w14:paraId="25E261D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81</w:t>
            </w:r>
          </w:p>
        </w:tc>
      </w:tr>
      <w:tr w:rsidR="00D117C9" w:rsidRPr="00756BA1" w14:paraId="6FB4A46E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40954DB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GO:0007165</w:t>
            </w:r>
          </w:p>
        </w:tc>
        <w:tc>
          <w:tcPr>
            <w:tcW w:w="3007" w:type="pct"/>
            <w:noWrap/>
            <w:hideMark/>
          </w:tcPr>
          <w:p w14:paraId="3AD32AA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signal transduction</w:t>
            </w:r>
          </w:p>
        </w:tc>
        <w:tc>
          <w:tcPr>
            <w:tcW w:w="1160" w:type="pct"/>
            <w:noWrap/>
            <w:hideMark/>
          </w:tcPr>
          <w:p w14:paraId="5217A22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81</w:t>
            </w:r>
          </w:p>
        </w:tc>
      </w:tr>
      <w:tr w:rsidR="00D117C9" w:rsidRPr="00756BA1" w14:paraId="1921BA43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0015103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GO:0048731</w:t>
            </w:r>
          </w:p>
        </w:tc>
        <w:tc>
          <w:tcPr>
            <w:tcW w:w="3007" w:type="pct"/>
            <w:noWrap/>
            <w:hideMark/>
          </w:tcPr>
          <w:p w14:paraId="431CCCC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system development</w:t>
            </w:r>
          </w:p>
        </w:tc>
        <w:tc>
          <w:tcPr>
            <w:tcW w:w="1160" w:type="pct"/>
            <w:noWrap/>
            <w:hideMark/>
          </w:tcPr>
          <w:p w14:paraId="42E9A9B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77</w:t>
            </w:r>
          </w:p>
        </w:tc>
      </w:tr>
      <w:tr w:rsidR="00D117C9" w:rsidRPr="00756BA1" w14:paraId="2C1040EF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3DF366D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GO:0048523</w:t>
            </w:r>
          </w:p>
        </w:tc>
        <w:tc>
          <w:tcPr>
            <w:tcW w:w="3007" w:type="pct"/>
            <w:noWrap/>
            <w:hideMark/>
          </w:tcPr>
          <w:p w14:paraId="3DBC4EE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negative regulation of cellular process</w:t>
            </w:r>
          </w:p>
        </w:tc>
        <w:tc>
          <w:tcPr>
            <w:tcW w:w="1160" w:type="pct"/>
            <w:noWrap/>
            <w:hideMark/>
          </w:tcPr>
          <w:p w14:paraId="7C2B8167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63</w:t>
            </w:r>
          </w:p>
        </w:tc>
      </w:tr>
      <w:tr w:rsidR="00D117C9" w:rsidRPr="00756BA1" w14:paraId="6D1FE825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0697D5B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GO:0048513</w:t>
            </w:r>
          </w:p>
        </w:tc>
        <w:tc>
          <w:tcPr>
            <w:tcW w:w="3007" w:type="pct"/>
            <w:noWrap/>
            <w:hideMark/>
          </w:tcPr>
          <w:p w14:paraId="09ED71A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animal organ development</w:t>
            </w:r>
          </w:p>
        </w:tc>
        <w:tc>
          <w:tcPr>
            <w:tcW w:w="1160" w:type="pct"/>
            <w:noWrap/>
            <w:hideMark/>
          </w:tcPr>
          <w:p w14:paraId="752D7CF6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61</w:t>
            </w:r>
          </w:p>
        </w:tc>
      </w:tr>
      <w:tr w:rsidR="00D117C9" w:rsidRPr="00756BA1" w14:paraId="29F50AA6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7C19BA2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GO:0030154</w:t>
            </w:r>
          </w:p>
        </w:tc>
        <w:tc>
          <w:tcPr>
            <w:tcW w:w="3007" w:type="pct"/>
            <w:noWrap/>
            <w:hideMark/>
          </w:tcPr>
          <w:p w14:paraId="0207DEA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 differentiation</w:t>
            </w:r>
          </w:p>
        </w:tc>
        <w:tc>
          <w:tcPr>
            <w:tcW w:w="1160" w:type="pct"/>
            <w:noWrap/>
            <w:hideMark/>
          </w:tcPr>
          <w:p w14:paraId="02F5C78C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58</w:t>
            </w:r>
          </w:p>
        </w:tc>
      </w:tr>
      <w:tr w:rsidR="00D117C9" w:rsidRPr="00756BA1" w14:paraId="4A2A0387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38A6430A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GO:0048869</w:t>
            </w:r>
          </w:p>
        </w:tc>
        <w:tc>
          <w:tcPr>
            <w:tcW w:w="3007" w:type="pct"/>
            <w:noWrap/>
            <w:hideMark/>
          </w:tcPr>
          <w:p w14:paraId="5D66A66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cellular developmental process</w:t>
            </w:r>
          </w:p>
        </w:tc>
        <w:tc>
          <w:tcPr>
            <w:tcW w:w="1160" w:type="pct"/>
            <w:noWrap/>
            <w:hideMark/>
          </w:tcPr>
          <w:p w14:paraId="460BB4F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58</w:t>
            </w:r>
          </w:p>
        </w:tc>
      </w:tr>
      <w:tr w:rsidR="00D117C9" w:rsidRPr="00756BA1" w14:paraId="683CFF5D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48D63AC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lastRenderedPageBreak/>
              <w:t>GO:0009893</w:t>
            </w:r>
          </w:p>
        </w:tc>
        <w:tc>
          <w:tcPr>
            <w:tcW w:w="3007" w:type="pct"/>
            <w:noWrap/>
            <w:hideMark/>
          </w:tcPr>
          <w:p w14:paraId="5D9A550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positive regulation of metabolic process</w:t>
            </w:r>
          </w:p>
        </w:tc>
        <w:tc>
          <w:tcPr>
            <w:tcW w:w="1160" w:type="pct"/>
            <w:noWrap/>
            <w:hideMark/>
          </w:tcPr>
          <w:p w14:paraId="04BD2B9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50</w:t>
            </w:r>
          </w:p>
        </w:tc>
      </w:tr>
      <w:tr w:rsidR="00D117C9" w:rsidRPr="00756BA1" w14:paraId="673BF0A4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071D7AA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GO:0051239</w:t>
            </w:r>
          </w:p>
        </w:tc>
        <w:tc>
          <w:tcPr>
            <w:tcW w:w="3007" w:type="pct"/>
            <w:noWrap/>
            <w:hideMark/>
          </w:tcPr>
          <w:p w14:paraId="10F68F9E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multicellular organismal process</w:t>
            </w:r>
          </w:p>
        </w:tc>
        <w:tc>
          <w:tcPr>
            <w:tcW w:w="1160" w:type="pct"/>
            <w:noWrap/>
            <w:hideMark/>
          </w:tcPr>
          <w:p w14:paraId="5DF0500D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49</w:t>
            </w:r>
          </w:p>
        </w:tc>
      </w:tr>
      <w:tr w:rsidR="00D117C9" w:rsidRPr="00756BA1" w14:paraId="4852D29D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018BAF5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GO:0023051</w:t>
            </w:r>
          </w:p>
        </w:tc>
        <w:tc>
          <w:tcPr>
            <w:tcW w:w="3007" w:type="pct"/>
            <w:noWrap/>
            <w:hideMark/>
          </w:tcPr>
          <w:p w14:paraId="66D1E4A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signaling</w:t>
            </w:r>
          </w:p>
        </w:tc>
        <w:tc>
          <w:tcPr>
            <w:tcW w:w="1160" w:type="pct"/>
            <w:noWrap/>
            <w:hideMark/>
          </w:tcPr>
          <w:p w14:paraId="1D3D00C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49</w:t>
            </w:r>
          </w:p>
        </w:tc>
      </w:tr>
      <w:tr w:rsidR="00D117C9" w:rsidRPr="00756BA1" w14:paraId="723B4455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2C66BD75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GO:0031325</w:t>
            </w:r>
          </w:p>
        </w:tc>
        <w:tc>
          <w:tcPr>
            <w:tcW w:w="3007" w:type="pct"/>
            <w:noWrap/>
            <w:hideMark/>
          </w:tcPr>
          <w:p w14:paraId="7C7F04F8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positive regulation of cellular metabolic process</w:t>
            </w:r>
          </w:p>
        </w:tc>
        <w:tc>
          <w:tcPr>
            <w:tcW w:w="1160" w:type="pct"/>
            <w:noWrap/>
            <w:hideMark/>
          </w:tcPr>
          <w:p w14:paraId="2FEEABA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48</w:t>
            </w:r>
          </w:p>
        </w:tc>
      </w:tr>
      <w:tr w:rsidR="00D117C9" w:rsidRPr="00756BA1" w14:paraId="3AE7AE3B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66B972F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GO:0010646</w:t>
            </w:r>
          </w:p>
        </w:tc>
        <w:tc>
          <w:tcPr>
            <w:tcW w:w="3007" w:type="pct"/>
            <w:noWrap/>
            <w:hideMark/>
          </w:tcPr>
          <w:p w14:paraId="737BE111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regulation of cell communication</w:t>
            </w:r>
          </w:p>
        </w:tc>
        <w:tc>
          <w:tcPr>
            <w:tcW w:w="1160" w:type="pct"/>
            <w:noWrap/>
            <w:hideMark/>
          </w:tcPr>
          <w:p w14:paraId="72762EA0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48</w:t>
            </w:r>
          </w:p>
        </w:tc>
      </w:tr>
      <w:tr w:rsidR="00D117C9" w:rsidRPr="00756BA1" w14:paraId="4DA1D125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6513DBE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GO:0007166</w:t>
            </w:r>
          </w:p>
        </w:tc>
        <w:tc>
          <w:tcPr>
            <w:tcW w:w="3007" w:type="pct"/>
            <w:noWrap/>
            <w:hideMark/>
          </w:tcPr>
          <w:p w14:paraId="45E74DC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cell surface receptor signaling pathway</w:t>
            </w:r>
          </w:p>
        </w:tc>
        <w:tc>
          <w:tcPr>
            <w:tcW w:w="1160" w:type="pct"/>
            <w:noWrap/>
            <w:hideMark/>
          </w:tcPr>
          <w:p w14:paraId="559EF174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46</w:t>
            </w:r>
          </w:p>
        </w:tc>
      </w:tr>
      <w:tr w:rsidR="00D117C9" w:rsidRPr="00756BA1" w14:paraId="10A213D7" w14:textId="77777777" w:rsidTr="00E316F1">
        <w:tblPrEx>
          <w:tblBorders>
            <w:top w:val="single" w:sz="12" w:space="0" w:color="auto"/>
            <w:bottom w:val="single" w:sz="12" w:space="0" w:color="auto"/>
          </w:tblBorders>
        </w:tblPrEx>
        <w:trPr>
          <w:trHeight w:val="283"/>
        </w:trPr>
        <w:tc>
          <w:tcPr>
            <w:tcW w:w="833" w:type="pct"/>
            <w:noWrap/>
            <w:hideMark/>
          </w:tcPr>
          <w:p w14:paraId="53E168C2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GO:0010604</w:t>
            </w:r>
          </w:p>
        </w:tc>
        <w:tc>
          <w:tcPr>
            <w:tcW w:w="3007" w:type="pct"/>
            <w:noWrap/>
            <w:hideMark/>
          </w:tcPr>
          <w:p w14:paraId="097CBF09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positive regulation of macromolecule metabolic process</w:t>
            </w:r>
          </w:p>
        </w:tc>
        <w:tc>
          <w:tcPr>
            <w:tcW w:w="1160" w:type="pct"/>
            <w:noWrap/>
            <w:hideMark/>
          </w:tcPr>
          <w:p w14:paraId="11B9669B" w14:textId="77777777" w:rsidR="00D117C9" w:rsidRPr="00756BA1" w:rsidRDefault="00D117C9" w:rsidP="00E316F1">
            <w:pPr>
              <w:widowControl w:val="0"/>
              <w:spacing w:line="240" w:lineRule="auto"/>
              <w:rPr>
                <w:rFonts w:ascii="Times New Roman" w:hAnsi="Times New Roman"/>
                <w:color w:val="auto"/>
                <w:szCs w:val="21"/>
              </w:rPr>
            </w:pPr>
            <w:r w:rsidRPr="00756BA1">
              <w:rPr>
                <w:rFonts w:ascii="Times New Roman" w:hAnsi="Times New Roman"/>
                <w:color w:val="auto"/>
                <w:szCs w:val="21"/>
              </w:rPr>
              <w:t>45</w:t>
            </w:r>
          </w:p>
        </w:tc>
      </w:tr>
    </w:tbl>
    <w:p w14:paraId="34DFD62E" w14:textId="77777777" w:rsidR="00D117C9" w:rsidRDefault="00D117C9" w:rsidP="00D117C9">
      <w:pPr>
        <w:pStyle w:val="EndNoteBibliography"/>
        <w:rPr>
          <w:rFonts w:ascii="Times New Roman" w:hAnsi="Times New Roman" w:cs="Times New Roman"/>
          <w:noProof/>
          <w:szCs w:val="20"/>
        </w:rPr>
      </w:pPr>
    </w:p>
    <w:p w14:paraId="0A286999" w14:textId="77777777" w:rsidR="00D117C9" w:rsidRPr="00052F6F" w:rsidRDefault="00D117C9" w:rsidP="00D117C9">
      <w:pPr>
        <w:pStyle w:val="EndNoteBibliography"/>
        <w:rPr>
          <w:rFonts w:ascii="Times New Roman" w:eastAsia="Times New Roman" w:hAnsi="Times New Roman"/>
          <w:b/>
          <w:bCs/>
          <w:snapToGrid w:val="0"/>
          <w:color w:val="000000"/>
          <w:kern w:val="0"/>
          <w:sz w:val="22"/>
          <w:lang w:eastAsia="de-DE" w:bidi="en-US"/>
        </w:rPr>
      </w:pPr>
      <w:r w:rsidRPr="00052F6F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Supplementary Table S</w:t>
      </w:r>
      <w:r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5</w:t>
      </w:r>
      <w:r w:rsidRPr="00052F6F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 xml:space="preserve">. </w:t>
      </w:r>
      <w:r w:rsidRPr="00D637A7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Differentially Expressed Genes (DEGs) Identified by Gene Set Enrichment Analysis (GSEA)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04"/>
        <w:gridCol w:w="1161"/>
        <w:gridCol w:w="7113"/>
      </w:tblGrid>
      <w:tr w:rsidR="00D117C9" w:rsidRPr="00D637A7" w14:paraId="38A9E075" w14:textId="77777777" w:rsidTr="00E316F1">
        <w:trPr>
          <w:trHeight w:val="276"/>
        </w:trPr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7BF9D" w14:textId="77777777" w:rsidR="00D117C9" w:rsidRPr="00447792" w:rsidRDefault="00D117C9" w:rsidP="00E316F1">
            <w:pPr>
              <w:spacing w:line="240" w:lineRule="auto"/>
              <w:jc w:val="center"/>
              <w:rPr>
                <w:rFonts w:ascii="Times New Roman" w:eastAsia="等线" w:hAnsi="Times New Roman"/>
                <w:b/>
                <w:bCs/>
                <w:sz w:val="21"/>
                <w:szCs w:val="21"/>
              </w:rPr>
            </w:pPr>
            <w:r w:rsidRPr="00447792">
              <w:rPr>
                <w:rFonts w:ascii="Times New Roman" w:eastAsia="等线" w:hAnsi="Times New Roman"/>
                <w:b/>
                <w:bCs/>
                <w:sz w:val="21"/>
                <w:szCs w:val="21"/>
              </w:rPr>
              <w:t>Pathway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ECA3E" w14:textId="77777777" w:rsidR="00D117C9" w:rsidRPr="00447792" w:rsidRDefault="00D117C9" w:rsidP="00E316F1">
            <w:pPr>
              <w:spacing w:line="240" w:lineRule="auto"/>
              <w:jc w:val="center"/>
              <w:rPr>
                <w:rFonts w:ascii="Times New Roman" w:eastAsia="等线" w:hAnsi="Times New Roman"/>
                <w:b/>
                <w:bCs/>
                <w:sz w:val="21"/>
                <w:szCs w:val="21"/>
              </w:rPr>
            </w:pPr>
            <w:r w:rsidRPr="00447792">
              <w:rPr>
                <w:rFonts w:ascii="Times New Roman" w:eastAsia="等线" w:hAnsi="Times New Roman"/>
                <w:b/>
                <w:bCs/>
                <w:sz w:val="21"/>
                <w:szCs w:val="21"/>
              </w:rPr>
              <w:t>Set Size</w:t>
            </w:r>
          </w:p>
        </w:tc>
        <w:tc>
          <w:tcPr>
            <w:tcW w:w="3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18F0E" w14:textId="77777777" w:rsidR="00D117C9" w:rsidRPr="00447792" w:rsidRDefault="00D117C9" w:rsidP="00E316F1">
            <w:pPr>
              <w:spacing w:line="240" w:lineRule="auto"/>
              <w:jc w:val="center"/>
              <w:rPr>
                <w:rFonts w:ascii="Times New Roman" w:eastAsia="等线" w:hAnsi="Times New Roman"/>
                <w:b/>
                <w:bCs/>
                <w:sz w:val="21"/>
                <w:szCs w:val="21"/>
              </w:rPr>
            </w:pPr>
            <w:r w:rsidRPr="00447792">
              <w:rPr>
                <w:rFonts w:ascii="Times New Roman" w:eastAsia="等线" w:hAnsi="Times New Roman"/>
                <w:b/>
                <w:bCs/>
                <w:sz w:val="21"/>
                <w:szCs w:val="21"/>
              </w:rPr>
              <w:t>DEGs ID</w:t>
            </w:r>
          </w:p>
        </w:tc>
      </w:tr>
      <w:tr w:rsidR="00D117C9" w:rsidRPr="00D637A7" w14:paraId="46CDF653" w14:textId="77777777" w:rsidTr="00E316F1">
        <w:trPr>
          <w:trHeight w:val="276"/>
        </w:trPr>
        <w:tc>
          <w:tcPr>
            <w:tcW w:w="6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B03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Cell cycle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DAEF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124</w:t>
            </w:r>
          </w:p>
        </w:tc>
        <w:tc>
          <w:tcPr>
            <w:tcW w:w="3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026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10393/1022/1647/5000/4193/7533/1026/8697/4087/9184/4089/7042/990/7029/9978/4085/8317/1017/699/890/891/494551/996/85417/2932/5591/902/983/8555/6502/4999/10274/29945</w:t>
            </w:r>
          </w:p>
        </w:tc>
      </w:tr>
      <w:tr w:rsidR="00D117C9" w:rsidRPr="00D637A7" w14:paraId="216CA69B" w14:textId="77777777" w:rsidTr="00E316F1">
        <w:trPr>
          <w:trHeight w:val="276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A91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Apoptosis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AB01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87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82DA9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5533/8793/8795/8797/330/1147/3556/1439/836/5534/355/840/5573/843/3552/5294/51135/317/5532/5577/841/8794/329/3553/356/3554/1676/8503/5530/581/5293/11213/7132/8743/5290/5613/4790/8837</w:t>
            </w:r>
          </w:p>
        </w:tc>
      </w:tr>
      <w:tr w:rsidR="00D117C9" w:rsidRPr="00D637A7" w14:paraId="4C27C94A" w14:textId="77777777" w:rsidTr="00E316F1">
        <w:trPr>
          <w:trHeight w:val="276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45AC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G2m checkpoint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CE9F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199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7C42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55872/7486/10772/5926/9994/4331/8819/3091/1810/9184/1062/51155/990/22823/10762/57082/10733/3015/4085/6632/10403/8317/51203/699/22809/10592/10460/890/3161/996/8065/10721/3364/904/26271/3312/9252/983/7468/4212/3832/10274/6118/6491/262/9493/7112/6760/5558/10664/7514/9156/10926/1164/9055/4751/81539/8899/4853/8318/9212/51659/3619/1033/3837/3838/332/5371/1019/1950/27338/6558/4502</w:t>
            </w:r>
          </w:p>
        </w:tc>
      </w:tr>
      <w:tr w:rsidR="00D117C9" w:rsidRPr="00D637A7" w14:paraId="5B3D45BE" w14:textId="77777777" w:rsidTr="00E316F1">
        <w:trPr>
          <w:trHeight w:val="276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098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Apoptosis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69BD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161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C4343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665/2936/5366/330/10950/1960/837/1806/3606/836/1647/5534/3459/969/2232/355/301/840/2643/1026/834/3552/6648/7042/2107/7417/6093/841/1017/8915/2026/10059/3553/356/6309/1491/3082/1676/3669/3569/960/3162/6303/552/5551/9890/3659/6574/581/467/4739/3301/914/6041/650/8743/2012/929/2149/8837/4170</w:t>
            </w:r>
          </w:p>
        </w:tc>
      </w:tr>
      <w:tr w:rsidR="00D117C9" w:rsidRPr="00D637A7" w14:paraId="3377C05B" w14:textId="77777777" w:rsidTr="00E316F1">
        <w:trPr>
          <w:trHeight w:val="276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7326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Oxidative phosphorylation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4C92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200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8017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4724/1355/36/291/4729/4190/840/4976/3032/1737/211/34/2110/1353/1352/81689/8050/4329/5018/10651/56945/6390/4700/10935/1738/51318/518/7417/2108/80273/1350/56993/51382/4701/1347/10476/23479/64960/9550/10884/5435/64963/4712/4942/10449/10440/10975/22/8604/23203/4717/3052/581/1743/4259/6832/529/2271/7386/4967/7388/4702/515/522/506/2746/4129/528/3419/4720/10312/8803/2395/4719/23530/8992/3945/64981/4698/3418/29796/2230/26520/4711/55288/4835/38/10128/4695</w:t>
            </w:r>
          </w:p>
        </w:tc>
      </w:tr>
      <w:tr w:rsidR="00D117C9" w:rsidRPr="00D637A7" w14:paraId="1045355F" w14:textId="77777777" w:rsidTr="00E316F1">
        <w:trPr>
          <w:trHeight w:val="276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4046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Glycolysis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D6F67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200</w:t>
            </w:r>
          </w:p>
        </w:tc>
        <w:tc>
          <w:tcPr>
            <w:tcW w:w="3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C88B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5516/55276/10776/3796/178/4190/55635/5917/5223/8819/112399/2530/9653/5033/10370/2585/1738/54541/10380/4200/2745/7039/7852/2026/51129/6781/1491/79644/3161/3669/9435/11015/136/58528/2729/960/7360/9123/23443/5318/11319/3309/8460/9276/983/54982/283/4351/3099/8974/26035/2719/4907/9456/5214/6383/23036</w:t>
            </w:r>
          </w:p>
        </w:tc>
      </w:tr>
      <w:tr w:rsidR="00D117C9" w:rsidRPr="00D637A7" w14:paraId="6FFA3A8C" w14:textId="77777777" w:rsidTr="00E316F1">
        <w:trPr>
          <w:trHeight w:val="276"/>
        </w:trPr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D2BD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Tnfa signaling via nfkb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6D481" w14:textId="77777777" w:rsidR="00D117C9" w:rsidRPr="00112701" w:rsidRDefault="00D117C9" w:rsidP="00E316F1">
            <w:pPr>
              <w:spacing w:line="240" w:lineRule="auto"/>
              <w:jc w:val="righ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200</w:t>
            </w:r>
          </w:p>
        </w:tc>
        <w:tc>
          <w:tcPr>
            <w:tcW w:w="37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3421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25816/1846/8744/11080/330/10950/10769/1960/490/24145/55332/3606/1647/5791/969/1326/4783/4084/4929/2643/6373/1026/10010/5055/23764/5142/25976/5209/1880/7097/3552/5743/3572/64135/6648/4780/51278/2150/1847/7050/694/3433/127544/5806/7130/3575/3976/5329/22822/3949/604/2152/329/3553/182/3627/5966/6372/2921/9120/5271/10135/6351/2919/3569/687/19/2920/960/6303/8303/3601/3659/2353/9021/6446/1827/4791/467/10725/9945/9314/2355/3164/3624/23645/650/5328/1959/6364/8767/3398/8553/4790/23258/8837/4170/5734/79693/8942/150094/3604/3383/388/10365/23308/597/6352/3371</w:t>
            </w:r>
          </w:p>
        </w:tc>
      </w:tr>
    </w:tbl>
    <w:p w14:paraId="6DA50BC9" w14:textId="77777777" w:rsidR="00D117C9" w:rsidRDefault="00D117C9" w:rsidP="00D117C9">
      <w:pPr>
        <w:pStyle w:val="EndNoteBibliography"/>
        <w:rPr>
          <w:rFonts w:ascii="Times New Roman" w:hAnsi="Times New Roman" w:cs="Times New Roman"/>
          <w:noProof/>
          <w:szCs w:val="20"/>
        </w:rPr>
      </w:pPr>
    </w:p>
    <w:p w14:paraId="6FC212D5" w14:textId="77777777" w:rsidR="00D117C9" w:rsidRDefault="00D117C9" w:rsidP="00D117C9">
      <w:pPr>
        <w:pStyle w:val="EndNoteBibliography"/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</w:pPr>
      <w:r w:rsidRPr="00052F6F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Supplementary Table S</w:t>
      </w:r>
      <w:r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6</w:t>
      </w:r>
      <w:r w:rsidRPr="00052F6F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 xml:space="preserve">. </w:t>
      </w:r>
      <w:r w:rsidRPr="00D637A7">
        <w:rPr>
          <w:rFonts w:ascii="Times New Roman" w:eastAsia="Times New Roman" w:hAnsi="Times New Roman" w:cs="Times New Roman"/>
          <w:b/>
          <w:bCs/>
          <w:snapToGrid w:val="0"/>
          <w:color w:val="000000"/>
          <w:kern w:val="0"/>
          <w:sz w:val="22"/>
          <w:lang w:eastAsia="de-DE" w:bidi="en-US"/>
        </w:rPr>
        <w:t>Annotation of Cancer Types in The Cancer Genome Atlas (TCGA)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12"/>
        <w:gridCol w:w="8166"/>
      </w:tblGrid>
      <w:tr w:rsidR="00D117C9" w:rsidRPr="00926029" w14:paraId="3A8905A8" w14:textId="77777777" w:rsidTr="00E316F1">
        <w:trPr>
          <w:trHeight w:val="264"/>
        </w:trPr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9561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b/>
                <w:bCs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b/>
                <w:bCs/>
                <w:sz w:val="21"/>
                <w:szCs w:val="21"/>
              </w:rPr>
              <w:lastRenderedPageBreak/>
              <w:t xml:space="preserve">TCGA </w:t>
            </w:r>
          </w:p>
        </w:tc>
        <w:tc>
          <w:tcPr>
            <w:tcW w:w="4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95D32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b/>
                <w:bCs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b/>
                <w:bCs/>
                <w:sz w:val="21"/>
                <w:szCs w:val="21"/>
              </w:rPr>
              <w:t>Detail</w:t>
            </w:r>
          </w:p>
        </w:tc>
      </w:tr>
      <w:tr w:rsidR="00D117C9" w:rsidRPr="00926029" w14:paraId="28A84E9D" w14:textId="77777777" w:rsidTr="00E316F1">
        <w:trPr>
          <w:trHeight w:val="264"/>
        </w:trPr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C43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ACC </w:t>
            </w:r>
          </w:p>
        </w:tc>
        <w:tc>
          <w:tcPr>
            <w:tcW w:w="42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399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Adrenocortical carcinoma</w:t>
            </w:r>
          </w:p>
        </w:tc>
      </w:tr>
      <w:tr w:rsidR="00D117C9" w:rsidRPr="00926029" w14:paraId="313D82DC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C95E8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BLCA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B9F3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Bladder Urothelial Carcinoma</w:t>
            </w:r>
          </w:p>
        </w:tc>
      </w:tr>
      <w:tr w:rsidR="00D117C9" w:rsidRPr="00926029" w14:paraId="3B7AC38C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F4C3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BRCA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79137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Breast invasive carcinoma</w:t>
            </w:r>
          </w:p>
        </w:tc>
      </w:tr>
      <w:tr w:rsidR="00D117C9" w:rsidRPr="00926029" w14:paraId="425BD04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A028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CESC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179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Cervical squamous cell carcinoma and endocervical adenocarcinoma</w:t>
            </w:r>
          </w:p>
        </w:tc>
      </w:tr>
      <w:tr w:rsidR="00D117C9" w:rsidRPr="00926029" w14:paraId="27741E2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2ED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CHOL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F202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Cholangio carcinoma</w:t>
            </w:r>
          </w:p>
        </w:tc>
      </w:tr>
      <w:tr w:rsidR="00D117C9" w:rsidRPr="00926029" w14:paraId="10DA8B23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A4F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COAD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79EF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Colon adenocarcinoma</w:t>
            </w:r>
          </w:p>
        </w:tc>
      </w:tr>
      <w:tr w:rsidR="00D117C9" w:rsidRPr="00926029" w14:paraId="009F525E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871D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DLBC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154F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Lymphoid Neoplasm Diffuse Large B-cell Lymphoma</w:t>
            </w:r>
          </w:p>
        </w:tc>
      </w:tr>
      <w:tr w:rsidR="00D117C9" w:rsidRPr="00926029" w14:paraId="2203211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8B6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ESCA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0106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Esophageal carcinoma</w:t>
            </w:r>
          </w:p>
        </w:tc>
      </w:tr>
      <w:tr w:rsidR="00D117C9" w:rsidRPr="00926029" w14:paraId="48209FB9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538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GBM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5CE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Glioblastoma multiforme</w:t>
            </w:r>
          </w:p>
        </w:tc>
      </w:tr>
      <w:tr w:rsidR="00D117C9" w:rsidRPr="00926029" w14:paraId="0EFAC648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C5094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HNSC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0579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Head and Neck squamous cell carcinoma</w:t>
            </w:r>
          </w:p>
        </w:tc>
      </w:tr>
      <w:tr w:rsidR="00D117C9" w:rsidRPr="00926029" w14:paraId="4E4759F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6B08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KICH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F89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Kidney Chromophobe</w:t>
            </w:r>
          </w:p>
        </w:tc>
      </w:tr>
      <w:tr w:rsidR="00D117C9" w:rsidRPr="00926029" w14:paraId="0AA57ABC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2642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KIRC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A10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Kidney renal clear cell carcinoma</w:t>
            </w:r>
          </w:p>
        </w:tc>
      </w:tr>
      <w:tr w:rsidR="00D117C9" w:rsidRPr="00926029" w14:paraId="0A3EF6EE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29D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KIRP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985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Kidney renal papillary cell carcinoma</w:t>
            </w:r>
          </w:p>
        </w:tc>
      </w:tr>
      <w:tr w:rsidR="00D117C9" w:rsidRPr="00926029" w14:paraId="4A0DBD3A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AEFA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LAML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6E3C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Acute Myeloid Leukemia</w:t>
            </w:r>
          </w:p>
        </w:tc>
      </w:tr>
      <w:tr w:rsidR="00D117C9" w:rsidRPr="00926029" w14:paraId="6029FB60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3436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LGG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C2CC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Brain Lower Grade Glioma</w:t>
            </w:r>
          </w:p>
        </w:tc>
      </w:tr>
      <w:tr w:rsidR="00D117C9" w:rsidRPr="00926029" w14:paraId="7B75953A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8809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LIHC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AC44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Liver hepatocellular carcinoma</w:t>
            </w:r>
          </w:p>
        </w:tc>
      </w:tr>
      <w:tr w:rsidR="00D117C9" w:rsidRPr="00926029" w14:paraId="7F999BCC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BAD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LUAD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E1BC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Lung adenocarcinoma</w:t>
            </w:r>
          </w:p>
        </w:tc>
      </w:tr>
      <w:tr w:rsidR="00D117C9" w:rsidRPr="00926029" w14:paraId="2AFCC8B4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CB48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LUSC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71D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Lung squamous cell carcinoma</w:t>
            </w:r>
          </w:p>
        </w:tc>
      </w:tr>
      <w:tr w:rsidR="00D117C9" w:rsidRPr="00926029" w14:paraId="72A54CF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707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MESO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6ABA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Mesothelioma</w:t>
            </w:r>
          </w:p>
        </w:tc>
      </w:tr>
      <w:tr w:rsidR="00D117C9" w:rsidRPr="00926029" w14:paraId="7F6705DB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9EA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OV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61A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Ovarian serous cystadenocarcinoma</w:t>
            </w:r>
          </w:p>
        </w:tc>
      </w:tr>
      <w:tr w:rsidR="00D117C9" w:rsidRPr="00926029" w14:paraId="7B395C36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A4D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PAAD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77E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Pancreatic adenocarcinoma</w:t>
            </w:r>
          </w:p>
        </w:tc>
      </w:tr>
      <w:tr w:rsidR="00D117C9" w:rsidRPr="00926029" w14:paraId="5E904F10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838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PCPG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618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Pheochromocytoma and Paraganglioma</w:t>
            </w:r>
          </w:p>
        </w:tc>
      </w:tr>
      <w:tr w:rsidR="00D117C9" w:rsidRPr="00926029" w14:paraId="447F0229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07C8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PRAD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5DD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Prostate adenocarcinoma</w:t>
            </w:r>
          </w:p>
        </w:tc>
      </w:tr>
      <w:tr w:rsidR="00D117C9" w:rsidRPr="00926029" w14:paraId="7DEE5B1D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CA1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READ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B7F7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Rectum adenocarcinoma</w:t>
            </w:r>
          </w:p>
        </w:tc>
      </w:tr>
      <w:tr w:rsidR="00D117C9" w:rsidRPr="00926029" w14:paraId="497FAD58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665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SARC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3F1CA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Sarcoma</w:t>
            </w:r>
          </w:p>
        </w:tc>
      </w:tr>
      <w:tr w:rsidR="00D117C9" w:rsidRPr="00926029" w14:paraId="54ABD3C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F67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SKCM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0EFC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Skin Cutaneous Melanoma</w:t>
            </w:r>
          </w:p>
        </w:tc>
      </w:tr>
      <w:tr w:rsidR="00D117C9" w:rsidRPr="00926029" w14:paraId="310D6C21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76C4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STAD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2D5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Stomach adenocarcinoma</w:t>
            </w:r>
          </w:p>
        </w:tc>
      </w:tr>
      <w:tr w:rsidR="00D117C9" w:rsidRPr="00926029" w14:paraId="3BCB3FCA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06E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TGCT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8A33E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Testicular Germ Cell Tumors</w:t>
            </w:r>
          </w:p>
        </w:tc>
      </w:tr>
      <w:tr w:rsidR="00D117C9" w:rsidRPr="00926029" w14:paraId="4C7A61DF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000C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THCA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BA21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Thyroid carcinoma</w:t>
            </w:r>
          </w:p>
        </w:tc>
      </w:tr>
      <w:tr w:rsidR="00D117C9" w:rsidRPr="00926029" w14:paraId="65B39BB0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98B5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THYM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126D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Thymoma</w:t>
            </w:r>
          </w:p>
        </w:tc>
      </w:tr>
      <w:tr w:rsidR="00D117C9" w:rsidRPr="00926029" w14:paraId="3586FA4A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A2B4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UCEC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9F37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Uterine Corpus Endometrial Carcinoma</w:t>
            </w:r>
          </w:p>
        </w:tc>
      </w:tr>
      <w:tr w:rsidR="00D117C9" w:rsidRPr="00926029" w14:paraId="590D26DD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C5A6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UCS </w:t>
            </w:r>
          </w:p>
        </w:tc>
        <w:tc>
          <w:tcPr>
            <w:tcW w:w="4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1FD6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Uterine Carcinosarcoma</w:t>
            </w:r>
          </w:p>
        </w:tc>
      </w:tr>
      <w:tr w:rsidR="00D117C9" w:rsidRPr="00926029" w14:paraId="6CEE479F" w14:textId="77777777" w:rsidTr="00E316F1">
        <w:trPr>
          <w:trHeight w:val="264"/>
        </w:trPr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8C91F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 xml:space="preserve">UVM </w:t>
            </w:r>
          </w:p>
        </w:tc>
        <w:tc>
          <w:tcPr>
            <w:tcW w:w="4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88620" w14:textId="77777777" w:rsidR="00D117C9" w:rsidRPr="00112701" w:rsidRDefault="00D117C9" w:rsidP="00E316F1">
            <w:pPr>
              <w:spacing w:line="240" w:lineRule="auto"/>
              <w:jc w:val="left"/>
              <w:rPr>
                <w:rFonts w:ascii="Times New Roman" w:eastAsia="等线" w:hAnsi="Times New Roman"/>
                <w:sz w:val="21"/>
                <w:szCs w:val="21"/>
              </w:rPr>
            </w:pPr>
            <w:r w:rsidRPr="00112701">
              <w:rPr>
                <w:rFonts w:ascii="Times New Roman" w:eastAsia="等线" w:hAnsi="Times New Roman"/>
                <w:sz w:val="21"/>
                <w:szCs w:val="21"/>
              </w:rPr>
              <w:t>Uveal Melanoma</w:t>
            </w:r>
          </w:p>
        </w:tc>
      </w:tr>
    </w:tbl>
    <w:p w14:paraId="0C3EA257" w14:textId="77777777" w:rsidR="00D117C9" w:rsidRPr="00D637A7" w:rsidRDefault="00D117C9" w:rsidP="00D117C9">
      <w:pPr>
        <w:pStyle w:val="EndNoteBibliography"/>
        <w:rPr>
          <w:rFonts w:ascii="Times New Roman" w:hAnsi="Times New Roman" w:cs="Times New Roman"/>
          <w:noProof/>
          <w:szCs w:val="20"/>
        </w:rPr>
      </w:pPr>
    </w:p>
    <w:p w14:paraId="7196801B" w14:textId="77777777" w:rsidR="00C75F01" w:rsidRPr="00D117C9" w:rsidRDefault="00C75F01" w:rsidP="00D117C9"/>
    <w:sectPr w:rsidR="00C75F01" w:rsidRPr="00D117C9" w:rsidSect="0068189A">
      <w:headerReference w:type="even" r:id="rId9"/>
      <w:headerReference w:type="default" r:id="rId10"/>
      <w:headerReference w:type="first" r:id="rId11"/>
      <w:footerReference w:type="first" r:id="rId12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CE88B" w14:textId="77777777" w:rsidR="00D87AB6" w:rsidRDefault="00D87AB6" w:rsidP="0068189A">
      <w:pPr>
        <w:spacing w:line="240" w:lineRule="auto"/>
      </w:pPr>
      <w:r>
        <w:separator/>
      </w:r>
    </w:p>
  </w:endnote>
  <w:endnote w:type="continuationSeparator" w:id="0">
    <w:p w14:paraId="0120DC07" w14:textId="77777777" w:rsidR="00D87AB6" w:rsidRDefault="00D87AB6" w:rsidP="006818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83CD" w14:textId="77777777" w:rsidR="00000000" w:rsidRPr="00375B4C" w:rsidRDefault="00000000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458589A5" w14:textId="77777777" w:rsidTr="00351C57">
      <w:trPr>
        <w:trHeight w:hRule="exact" w:val="595"/>
        <w:jc w:val="center"/>
      </w:trPr>
      <w:tc>
        <w:tcPr>
          <w:tcW w:w="1594" w:type="dxa"/>
          <w:shd w:val="clear" w:color="auto" w:fill="auto"/>
          <w:vAlign w:val="center"/>
        </w:tcPr>
        <w:p w14:paraId="7DA22F14" w14:textId="77777777" w:rsidR="00000000" w:rsidRPr="00375B4C" w:rsidRDefault="00C37E1A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5D3E9203" wp14:editId="44746564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shd w:val="clear" w:color="auto" w:fill="auto"/>
          <w:tcMar>
            <w:left w:w="57" w:type="dxa"/>
          </w:tcMar>
          <w:vAlign w:val="center"/>
        </w:tcPr>
        <w:p w14:paraId="51F509C7" w14:textId="77777777" w:rsidR="00000000" w:rsidRPr="006564E2" w:rsidRDefault="00C37E1A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4084E658" w14:textId="77777777" w:rsidR="00000000" w:rsidRPr="00375B4C" w:rsidRDefault="00C37E1A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2EFE6A51" w14:textId="77777777" w:rsidR="00000000" w:rsidRDefault="00000000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01DD" w14:textId="77777777" w:rsidR="00D87AB6" w:rsidRDefault="00D87AB6" w:rsidP="0068189A">
      <w:pPr>
        <w:spacing w:line="240" w:lineRule="auto"/>
      </w:pPr>
      <w:r>
        <w:separator/>
      </w:r>
    </w:p>
  </w:footnote>
  <w:footnote w:type="continuationSeparator" w:id="0">
    <w:p w14:paraId="7E047C39" w14:textId="77777777" w:rsidR="00D87AB6" w:rsidRDefault="00D87AB6" w:rsidP="006818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3676E" w14:textId="77777777" w:rsidR="00000000" w:rsidRPr="00724867" w:rsidRDefault="00C37E1A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>
      <w:t>Oncol Res.</w:t>
    </w:r>
    <w:r w:rsidRPr="00900A21">
      <w:t xml:space="preserve"> </w:t>
    </w:r>
    <w:proofErr w:type="gramStart"/>
    <w:r w:rsidRPr="00900A21">
      <w:t>202</w:t>
    </w:r>
    <w:r>
      <w:rPr>
        <w:rFonts w:eastAsiaTheme="minorEastAsia" w:hint="eastAsia"/>
        <w:lang w:eastAsia="zh-CN"/>
      </w:rPr>
      <w:t>5</w:t>
    </w:r>
    <w:r>
      <w:t>;</w:t>
    </w:r>
    <w:r>
      <w:rPr>
        <w:rFonts w:hint="eastAsia"/>
      </w:rPr>
      <w:t>volume</w:t>
    </w:r>
    <w:proofErr w:type="gramEnd"/>
    <w:r>
      <w:rPr>
        <w:rFonts w:hint="eastAsia"/>
      </w:rPr>
      <w:t>(</w:t>
    </w:r>
    <w:r>
      <w:t>issue)</w:t>
    </w:r>
  </w:p>
  <w:p w14:paraId="72E3C31F" w14:textId="77777777" w:rsidR="00000000" w:rsidRDefault="00000000" w:rsidP="00724867">
    <w:pPr>
      <w:pStyle w:val="Header"/>
      <w:spacing w:after="240" w:line="100" w:lineRule="atLea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81984" w14:textId="2D1D51FC" w:rsidR="00000000" w:rsidRDefault="00C37E1A" w:rsidP="00673B6B">
    <w:pPr>
      <w:pStyle w:val="TSPheader"/>
    </w:pPr>
    <w:r>
      <w:ptab w:relativeTo="margin" w:alignment="right" w:leader="none"/>
    </w: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3</w:t>
    </w:r>
    <w:r w:rsidRPr="00661AA8">
      <w:fldChar w:fldCharType="end"/>
    </w:r>
  </w:p>
  <w:p w14:paraId="6E77BDC2" w14:textId="77777777" w:rsidR="00000000" w:rsidRPr="00661AA8" w:rsidRDefault="00000000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70"/>
      <w:gridCol w:w="2762"/>
      <w:gridCol w:w="3229"/>
    </w:tblGrid>
    <w:tr w:rsidR="00776E78" w14:paraId="294C59BD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5BD0692A" w14:textId="77777777" w:rsidR="00000000" w:rsidRDefault="00C37E1A" w:rsidP="00C34E4B">
          <w:pPr>
            <w:pStyle w:val="TSPheaderjournallogo"/>
          </w:pPr>
          <w:r>
            <w:rPr>
              <w:noProof/>
            </w:rPr>
            <w:drawing>
              <wp:inline distT="0" distB="0" distL="0" distR="0" wp14:anchorId="74A8B451" wp14:editId="071A8708">
                <wp:extent cx="1673741" cy="412393"/>
                <wp:effectExtent l="0" t="0" r="0" b="6985"/>
                <wp:docPr id="166005451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0054510" name="图片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7" r="17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741" cy="4123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655F684B" w14:textId="77777777" w:rsidR="00000000" w:rsidRDefault="00000000" w:rsidP="00776E78">
          <w:pPr>
            <w:jc w:val="center"/>
          </w:pPr>
        </w:p>
      </w:tc>
      <w:tc>
        <w:tcPr>
          <w:tcW w:w="3591" w:type="dxa"/>
          <w:vAlign w:val="center"/>
        </w:tcPr>
        <w:p w14:paraId="1830F5A4" w14:textId="77777777" w:rsidR="00000000" w:rsidRDefault="00C37E1A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1FBAFE46" wp14:editId="63B97807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11B743C" w14:textId="77777777" w:rsidR="00000000" w:rsidRPr="00776E78" w:rsidRDefault="00000000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83929"/>
    <w:multiLevelType w:val="hybridMultilevel"/>
    <w:tmpl w:val="1B74912A"/>
    <w:lvl w:ilvl="0" w:tplc="1A741840">
      <w:start w:val="1"/>
      <w:numFmt w:val="decimal"/>
      <w:lvlText w:val="%1."/>
      <w:lvlJc w:val="left"/>
      <w:pPr>
        <w:ind w:left="720" w:hanging="360"/>
      </w:pPr>
      <w:rPr>
        <w:rFonts w:hint="eastAsia"/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A2A41"/>
    <w:multiLevelType w:val="hybridMultilevel"/>
    <w:tmpl w:val="583A2C70"/>
    <w:lvl w:ilvl="0" w:tplc="4114FE3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  <w:sz w:val="18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832F9"/>
    <w:multiLevelType w:val="hybridMultilevel"/>
    <w:tmpl w:val="2D6002BC"/>
    <w:lvl w:ilvl="0" w:tplc="2E2EE9F6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963002493">
    <w:abstractNumId w:val="6"/>
  </w:num>
  <w:num w:numId="2" w16cid:durableId="1132792683">
    <w:abstractNumId w:val="0"/>
  </w:num>
  <w:num w:numId="3" w16cid:durableId="1609122166">
    <w:abstractNumId w:val="1"/>
  </w:num>
  <w:num w:numId="4" w16cid:durableId="1245257742">
    <w:abstractNumId w:val="4"/>
  </w:num>
  <w:num w:numId="5" w16cid:durableId="1718433965">
    <w:abstractNumId w:val="5"/>
  </w:num>
  <w:num w:numId="6" w16cid:durableId="1625960036">
    <w:abstractNumId w:val="3"/>
  </w:num>
  <w:num w:numId="7" w16cid:durableId="1315986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4C1"/>
    <w:rsid w:val="00154A61"/>
    <w:rsid w:val="002F159E"/>
    <w:rsid w:val="005107D5"/>
    <w:rsid w:val="005D6AF0"/>
    <w:rsid w:val="0068189A"/>
    <w:rsid w:val="00772E42"/>
    <w:rsid w:val="00BD44C1"/>
    <w:rsid w:val="00BE0BA1"/>
    <w:rsid w:val="00C37E1A"/>
    <w:rsid w:val="00C75F01"/>
    <w:rsid w:val="00D117C9"/>
    <w:rsid w:val="00D87AB6"/>
    <w:rsid w:val="00E1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7DF2AA"/>
  <w15:chartTrackingRefBased/>
  <w15:docId w15:val="{7CE5BD48-5C39-4086-84CC-EF316DFA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89A"/>
    <w:pPr>
      <w:spacing w:after="0" w:line="260" w:lineRule="atLeast"/>
      <w:jc w:val="both"/>
    </w:pPr>
    <w:rPr>
      <w:rFonts w:ascii="Minion Pro" w:eastAsia="宋体" w:hAnsi="Minion Pro" w:cs="Times New Roman"/>
      <w:noProof/>
      <w:color w:val="000000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8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8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BE0BA1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BE0BA1"/>
    <w:pPr>
      <w:spacing w:after="240" w:line="60" w:lineRule="atLeast"/>
      <w:jc w:val="left"/>
    </w:pPr>
    <w:rPr>
      <w:rFonts w:eastAsiaTheme="minorEastAsia"/>
      <w:kern w:val="2"/>
      <w:sz w:val="14"/>
    </w:rPr>
  </w:style>
  <w:style w:type="paragraph" w:customStyle="1" w:styleId="TSP12title">
    <w:name w:val="TSP_1.2_title"/>
    <w:next w:val="Normal"/>
    <w:qFormat/>
    <w:rsid w:val="00BE0BA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qFormat/>
    <w:rsid w:val="00BE0BA1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BE0BA1"/>
    <w:pPr>
      <w:adjustRightInd w:val="0"/>
      <w:snapToGrid w:val="0"/>
      <w:spacing w:before="60" w:after="240" w:line="240" w:lineRule="atLeast"/>
      <w:jc w:val="left"/>
    </w:pPr>
    <w:rPr>
      <w:rFonts w:eastAsia="Times New Roman"/>
      <w:sz w:val="18"/>
      <w:lang w:eastAsia="de-DE" w:bidi="en-US"/>
    </w:rPr>
  </w:style>
  <w:style w:type="paragraph" w:customStyle="1" w:styleId="TSP15academiceditor">
    <w:name w:val="TSP_1.5_academic_editor"/>
    <w:qFormat/>
    <w:rsid w:val="00BE0BA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BE0BA1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BE0BA1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BE0BA1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BE0BA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BE0BA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BE0BA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BE0BA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BE0BA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BE0BA1"/>
    <w:pPr>
      <w:ind w:firstLine="0"/>
    </w:pPr>
  </w:style>
  <w:style w:type="paragraph" w:customStyle="1" w:styleId="TSP33textspaceafter">
    <w:name w:val="TSP_3.3_text_space_after"/>
    <w:qFormat/>
    <w:rsid w:val="00BE0BA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BE0BA1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BE0BA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BE0BA1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BE0BA1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BE0BA1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BE0BA1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BE0BA1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BE0BA1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eastAsia="zh-CN" w:bidi="en-US"/>
    </w:rPr>
  </w:style>
  <w:style w:type="paragraph" w:customStyle="1" w:styleId="TSP41tablecaption">
    <w:name w:val="TSP_4.1_table_caption"/>
    <w:qFormat/>
    <w:rsid w:val="00BE0BA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BE0BA1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BE0BA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BE0BA1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eastAsia="zh-CN" w:bidi="en-US"/>
    </w:rPr>
  </w:style>
  <w:style w:type="paragraph" w:customStyle="1" w:styleId="TSP51figurecaption">
    <w:name w:val="TSP_5.1_figure_caption"/>
    <w:qFormat/>
    <w:rsid w:val="00BE0BA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BE0BA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BE0BA1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lang w:eastAsia="zh-CN"/>
    </w:rPr>
  </w:style>
  <w:style w:type="paragraph" w:customStyle="1" w:styleId="TSP62BackMatter">
    <w:name w:val="TSP_6.2_BackMatter"/>
    <w:qFormat/>
    <w:rsid w:val="00BE0BA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bidi="en-US"/>
    </w:rPr>
  </w:style>
  <w:style w:type="paragraph" w:customStyle="1" w:styleId="TSP63Notes">
    <w:name w:val="TSP_6.3_Notes"/>
    <w:qFormat/>
    <w:rsid w:val="00BE0BA1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bidi="en-US"/>
    </w:rPr>
  </w:style>
  <w:style w:type="paragraph" w:customStyle="1" w:styleId="TSP71FootNotes">
    <w:name w:val="TSP_7.1_FootNotes"/>
    <w:qFormat/>
    <w:rsid w:val="00BE0BA1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 w:cs="Times New Roman"/>
      <w:noProof/>
      <w:color w:val="000000"/>
      <w:sz w:val="18"/>
      <w:szCs w:val="20"/>
      <w:lang w:eastAsia="zh-CN"/>
    </w:rPr>
  </w:style>
  <w:style w:type="paragraph" w:customStyle="1" w:styleId="TSP71References">
    <w:name w:val="TSP_7.1_References"/>
    <w:qFormat/>
    <w:rsid w:val="00BE0BA1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BE0BA1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BE0BA1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BE0BA1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BE0BA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BE0BA1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BE0BA1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BE0BA1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BE0BA1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BE0BA1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BE0BA1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BE0BA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68189A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89A"/>
  </w:style>
  <w:style w:type="paragraph" w:styleId="Footer">
    <w:name w:val="footer"/>
    <w:basedOn w:val="Normal"/>
    <w:link w:val="FooterChar"/>
    <w:uiPriority w:val="99"/>
    <w:unhideWhenUsed/>
    <w:qFormat/>
    <w:rsid w:val="0068189A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68189A"/>
  </w:style>
  <w:style w:type="character" w:customStyle="1" w:styleId="Heading1Char">
    <w:name w:val="Heading 1 Char"/>
    <w:basedOn w:val="DefaultParagraphFont"/>
    <w:link w:val="Heading1"/>
    <w:uiPriority w:val="9"/>
    <w:rsid w:val="0068189A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8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rsid w:val="0068189A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8189A"/>
    <w:rPr>
      <w:rFonts w:ascii="Minion Pro" w:eastAsia="宋体" w:hAnsi="Minion Pro" w:cs="Tahoma"/>
      <w:noProof/>
      <w:color w:val="000000"/>
      <w:sz w:val="20"/>
      <w:szCs w:val="18"/>
      <w:lang w:eastAsia="zh-CN"/>
    </w:rPr>
  </w:style>
  <w:style w:type="character" w:styleId="LineNumber">
    <w:name w:val="line number"/>
    <w:uiPriority w:val="99"/>
    <w:rsid w:val="0068189A"/>
    <w:rPr>
      <w:rFonts w:ascii="Minion Pro" w:hAnsi="Minion Pro"/>
      <w:sz w:val="16"/>
    </w:rPr>
  </w:style>
  <w:style w:type="character" w:styleId="Hyperlink">
    <w:name w:val="Hyperlink"/>
    <w:uiPriority w:val="99"/>
    <w:rsid w:val="0068189A"/>
    <w:rPr>
      <w:color w:val="365F91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68189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8189A"/>
    <w:pPr>
      <w:spacing w:after="0" w:line="260" w:lineRule="atLeast"/>
      <w:jc w:val="both"/>
    </w:pPr>
    <w:rPr>
      <w:rFonts w:ascii="Minion Pro" w:eastAsia="宋体" w:hAnsi="Minion Pro" w:cs="Times New Roman"/>
      <w:color w:val="000000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68189A"/>
    <w:pPr>
      <w:spacing w:after="0" w:line="240" w:lineRule="auto"/>
    </w:pPr>
    <w:rPr>
      <w:rFonts w:ascii="Calibri" w:eastAsia="宋体" w:hAnsi="Calibri" w:cs="Times New Roman"/>
      <w:sz w:val="20"/>
      <w:szCs w:val="20"/>
      <w:lang w:eastAsia="zh-C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pple-converted-space">
    <w:name w:val="apple-converted-space"/>
    <w:rsid w:val="0068189A"/>
  </w:style>
  <w:style w:type="paragraph" w:styleId="Bibliography">
    <w:name w:val="Bibliography"/>
    <w:basedOn w:val="Normal"/>
    <w:next w:val="Normal"/>
    <w:uiPriority w:val="37"/>
    <w:semiHidden/>
    <w:unhideWhenUsed/>
    <w:rsid w:val="0068189A"/>
  </w:style>
  <w:style w:type="paragraph" w:styleId="BodyText">
    <w:name w:val="Body Text"/>
    <w:link w:val="BodyTextChar"/>
    <w:rsid w:val="0068189A"/>
    <w:pPr>
      <w:spacing w:after="120" w:line="340" w:lineRule="atLeast"/>
      <w:jc w:val="both"/>
    </w:pPr>
    <w:rPr>
      <w:rFonts w:ascii="Minion Pro" w:eastAsia="宋体" w:hAnsi="Minion Pro" w:cs="Times New Roman"/>
      <w:color w:val="00000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68189A"/>
    <w:rPr>
      <w:rFonts w:ascii="Minion Pro" w:eastAsia="宋体" w:hAnsi="Minion Pro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rsid w:val="0068189A"/>
    <w:rPr>
      <w:sz w:val="21"/>
      <w:szCs w:val="21"/>
    </w:rPr>
  </w:style>
  <w:style w:type="paragraph" w:styleId="CommentText">
    <w:name w:val="annotation text"/>
    <w:basedOn w:val="Normal"/>
    <w:link w:val="CommentTextChar"/>
    <w:rsid w:val="0068189A"/>
  </w:style>
  <w:style w:type="character" w:customStyle="1" w:styleId="CommentTextChar">
    <w:name w:val="Comment Text Char"/>
    <w:basedOn w:val="DefaultParagraphFont"/>
    <w:link w:val="CommentText"/>
    <w:rsid w:val="0068189A"/>
    <w:rPr>
      <w:rFonts w:ascii="Minion Pro" w:eastAsia="宋体" w:hAnsi="Minion Pro" w:cs="Times New Roman"/>
      <w:noProof/>
      <w:color w:val="000000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818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8189A"/>
    <w:rPr>
      <w:rFonts w:ascii="Minion Pro" w:eastAsia="宋体" w:hAnsi="Minion Pro" w:cs="Times New Roman"/>
      <w:b/>
      <w:bCs/>
      <w:noProof/>
      <w:color w:val="000000"/>
      <w:sz w:val="20"/>
      <w:szCs w:val="20"/>
      <w:lang w:eastAsia="zh-CN"/>
    </w:rPr>
  </w:style>
  <w:style w:type="character" w:styleId="EndnoteReference">
    <w:name w:val="endnote reference"/>
    <w:rsid w:val="0068189A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68189A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68189A"/>
    <w:rPr>
      <w:rFonts w:ascii="Minion Pro" w:eastAsia="宋体" w:hAnsi="Minion Pro" w:cs="Times New Roman"/>
      <w:noProof/>
      <w:color w:val="000000"/>
      <w:sz w:val="20"/>
      <w:szCs w:val="20"/>
      <w:lang w:eastAsia="zh-CN"/>
    </w:rPr>
  </w:style>
  <w:style w:type="character" w:styleId="FollowedHyperlink">
    <w:name w:val="FollowedHyperlink"/>
    <w:rsid w:val="0068189A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68189A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68189A"/>
    <w:rPr>
      <w:rFonts w:ascii="Minion Pro" w:eastAsia="宋体" w:hAnsi="Minion Pro" w:cs="Times New Roman"/>
      <w:noProof/>
      <w:color w:val="000000"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68189A"/>
    <w:rPr>
      <w:szCs w:val="24"/>
    </w:rPr>
  </w:style>
  <w:style w:type="paragraph" w:customStyle="1" w:styleId="MsoFootnoteText0">
    <w:name w:val="MsoFootnoteText"/>
    <w:basedOn w:val="NormalWeb"/>
    <w:qFormat/>
    <w:rsid w:val="0068189A"/>
  </w:style>
  <w:style w:type="character" w:styleId="PageNumber">
    <w:name w:val="page number"/>
    <w:rsid w:val="0068189A"/>
    <w:rPr>
      <w:rFonts w:ascii="Minion Pro" w:hAnsi="Minion Pro"/>
    </w:rPr>
  </w:style>
  <w:style w:type="character" w:styleId="PlaceholderText">
    <w:name w:val="Placeholder Text"/>
    <w:uiPriority w:val="99"/>
    <w:semiHidden/>
    <w:rsid w:val="0068189A"/>
    <w:rPr>
      <w:color w:val="808080"/>
    </w:rPr>
  </w:style>
  <w:style w:type="paragraph" w:styleId="Caption">
    <w:name w:val="caption"/>
    <w:basedOn w:val="Normal"/>
    <w:next w:val="Normal"/>
    <w:qFormat/>
    <w:rsid w:val="0068189A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</w:rPr>
  </w:style>
  <w:style w:type="paragraph" w:customStyle="1" w:styleId="keyword">
    <w:name w:val="keyword"/>
    <w:basedOn w:val="Normal"/>
    <w:qFormat/>
    <w:rsid w:val="0068189A"/>
    <w:pPr>
      <w:spacing w:before="280"/>
    </w:pPr>
    <w:rPr>
      <w:rFonts w:ascii="Palatino Linotype" w:eastAsiaTheme="minorEastAsia" w:hAnsi="Palatino Linotype"/>
      <w:noProof w:val="0"/>
      <w:kern w:val="2"/>
    </w:rPr>
  </w:style>
  <w:style w:type="paragraph" w:styleId="ListParagraph">
    <w:name w:val="List Paragraph"/>
    <w:basedOn w:val="Normal"/>
    <w:uiPriority w:val="34"/>
    <w:qFormat/>
    <w:rsid w:val="0068189A"/>
    <w:pPr>
      <w:ind w:firstLineChars="200" w:firstLine="420"/>
    </w:pPr>
    <w:rPr>
      <w:rFonts w:ascii="Palatino Linotype" w:eastAsiaTheme="minorEastAsia" w:hAnsi="Palatino Linotype"/>
      <w:noProof w:val="0"/>
      <w:kern w:val="2"/>
    </w:rPr>
  </w:style>
  <w:style w:type="paragraph" w:customStyle="1" w:styleId="EndNoteBibliography">
    <w:name w:val="EndNote Bibliography"/>
    <w:basedOn w:val="Normal"/>
    <w:link w:val="EndNoteBibliography0"/>
    <w:qFormat/>
    <w:rsid w:val="0068189A"/>
    <w:pPr>
      <w:widowControl w:val="0"/>
      <w:spacing w:line="240" w:lineRule="auto"/>
    </w:pPr>
    <w:rPr>
      <w:rFonts w:ascii="等线" w:eastAsia="等线" w:hAnsi="等线" w:cstheme="minorBidi"/>
      <w:noProof w:val="0"/>
      <w:color w:val="auto"/>
      <w:kern w:val="2"/>
      <w:szCs w:val="22"/>
    </w:rPr>
  </w:style>
  <w:style w:type="character" w:customStyle="1" w:styleId="EndNoteBibliography0">
    <w:name w:val="EndNote Bibliography 字符"/>
    <w:basedOn w:val="DefaultParagraphFont"/>
    <w:link w:val="EndNoteBibliography"/>
    <w:qFormat/>
    <w:rsid w:val="0068189A"/>
    <w:rPr>
      <w:rFonts w:ascii="等线" w:eastAsia="等线" w:hAnsi="等线"/>
      <w:kern w:val="2"/>
      <w:sz w:val="20"/>
      <w:lang w:eastAsia="zh-CN"/>
    </w:rPr>
  </w:style>
  <w:style w:type="paragraph" w:styleId="Revision">
    <w:name w:val="Revision"/>
    <w:hidden/>
    <w:uiPriority w:val="99"/>
    <w:semiHidden/>
    <w:rsid w:val="0068189A"/>
    <w:pPr>
      <w:spacing w:after="0" w:line="240" w:lineRule="auto"/>
    </w:pPr>
    <w:rPr>
      <w:rFonts w:ascii="Minion Pro" w:eastAsia="宋体" w:hAnsi="Minion Pro" w:cs="Times New Roman"/>
      <w:color w:val="000000"/>
      <w:sz w:val="20"/>
      <w:szCs w:val="20"/>
      <w:lang w:eastAsia="zh-CN"/>
    </w:rPr>
  </w:style>
  <w:style w:type="table" w:customStyle="1" w:styleId="1">
    <w:name w:val="网格型1"/>
    <w:basedOn w:val="TableNormal"/>
    <w:next w:val="TableGrid"/>
    <w:uiPriority w:val="39"/>
    <w:rsid w:val="0068189A"/>
    <w:pPr>
      <w:spacing w:after="0" w:line="240" w:lineRule="auto"/>
    </w:pPr>
    <w:rPr>
      <w:rFonts w:ascii="等线" w:eastAsia="等线" w:hAnsi="等线" w:cs="Times New Roman"/>
      <w:kern w:val="2"/>
      <w:sz w:val="21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818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1342</Words>
  <Characters>7652</Characters>
  <Application>Microsoft Office Word</Application>
  <DocSecurity>0</DocSecurity>
  <Lines>63</Lines>
  <Paragraphs>17</Paragraphs>
  <ScaleCrop>false</ScaleCrop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4</cp:revision>
  <dcterms:created xsi:type="dcterms:W3CDTF">2025-04-30T06:35:00Z</dcterms:created>
  <dcterms:modified xsi:type="dcterms:W3CDTF">2025-05-02T08:16:00Z</dcterms:modified>
</cp:coreProperties>
</file>