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C3310">
      <w:pPr>
        <w:spacing w:line="480" w:lineRule="auto"/>
        <w:rPr>
          <w:rFonts w:ascii="Minion Pro" w:hAnsi="Minion Pro" w:cs="Minion Pro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Minion Pro" w:hAnsi="Minion Pro" w:cs="Minion Pro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Supplementary files:</w:t>
      </w:r>
      <w:bookmarkStart w:id="5" w:name="_GoBack"/>
      <w:bookmarkEnd w:id="5"/>
    </w:p>
    <w:p w14:paraId="218A97AB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OLE_LINK241"/>
      <w:bookmarkStart w:id="1" w:name="OLE_LINK242"/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Supplementary figure 1.</w:t>
      </w:r>
      <w:bookmarkEnd w:id="0"/>
      <w:bookmarkEnd w:id="1"/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Identification of differentially expressed genes in high-grade and low-grade meningiomas, and their functional enrichment analysis. (A) Volcano diagram illustrates 189 up-regulated genes, and 737 down-regulated genes in high-grade compared with low-grade meningiomas. Red, up-regulated genes; blue, down-regulated genes; grey, genes without differential expression. (B) Heatmap visualizes the expression of the differentially expressed genes in high-grade and low-grade meningiomas. (C) Heatmap shows the top 20 up- and down-regulated genes in high-grade versus low-grade meningiomas, respectively. (D, E) Upset plots display the main biological processes enriched by up- and down-regulated genes, respectively. (F, G) Upset plots show the main KEGG pathways enriched by up- and down-regulated genes, respectively.</w:t>
      </w:r>
    </w:p>
    <w:p w14:paraId="0B7AD94C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" w:name="_Hlk201371060"/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Supplementary figure 2. 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External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validation of the oxidative stress-based molecular classification in the GSE74385 dataset. 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Heatmap shows consensus matrix of meningioma samples at the optimal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value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k=2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based on the expression profiles of oxidative stress-related genes.</w:t>
      </w:r>
    </w:p>
    <w:bookmarkEnd w:id="2"/>
    <w:p w14:paraId="10FF0090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3" w:name="_Hlk201370969"/>
      <w:bookmarkStart w:id="4" w:name="_Hlk201371020"/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Supplementary figure 3</w:t>
      </w:r>
      <w:bookmarkEnd w:id="3"/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F</w:t>
      </w:r>
      <w:r>
        <w:rPr>
          <w:rFonts w:ascii="Minion Pro" w:hAnsi="Minion Pro" w:eastAsia="宋体" w:cs="Minion Pro"/>
          <w:kern w:val="0"/>
          <w:sz w:val="21"/>
          <w:szCs w:val="21"/>
        </w:rPr>
        <w:t xml:space="preserve">ull uncropped and unedited </w:t>
      </w:r>
      <w:r>
        <w:rPr>
          <w:rFonts w:hint="default" w:ascii="Minion Pro" w:hAnsi="Minion Pro" w:eastAsia="宋体" w:cs="Minion Pro"/>
          <w:kern w:val="0"/>
          <w:sz w:val="21"/>
          <w:szCs w:val="21"/>
        </w:rPr>
        <w:t>w</w:t>
      </w:r>
      <w:r>
        <w:rPr>
          <w:rFonts w:ascii="Minion Pro" w:hAnsi="Minion Pro" w:eastAsia="宋体" w:cs="Minion Pro"/>
          <w:kern w:val="0"/>
          <w:sz w:val="21"/>
          <w:szCs w:val="21"/>
        </w:rPr>
        <w:t>estern blots</w:t>
      </w:r>
      <w:r>
        <w:rPr>
          <w:rFonts w:hint="default" w:ascii="Minion Pro" w:hAnsi="Minion Pro" w:eastAsia="宋体" w:cs="Minion Pro"/>
          <w:kern w:val="0"/>
          <w:sz w:val="21"/>
          <w:szCs w:val="21"/>
        </w:rPr>
        <w:t>.</w:t>
      </w:r>
    </w:p>
    <w:bookmarkEnd w:id="4"/>
    <w:p w14:paraId="6B3B4F81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Supplementary table 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Clinical information of meningiomas in the GSE183653 dataset.</w:t>
      </w:r>
    </w:p>
    <w:p w14:paraId="1694DAC5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Supplementary table 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The oxidative stress-related gene set.</w:t>
      </w:r>
    </w:p>
    <w:p w14:paraId="74DBFDF4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Supplementary table 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The primer sequence of RT-qPCR.</w:t>
      </w:r>
    </w:p>
    <w:p w14:paraId="50A32A69">
      <w:pPr>
        <w:spacing w:line="480" w:lineRule="auto"/>
        <w:rPr>
          <w:rFonts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Minion Pro" w:hAnsi="Minion Pro" w:cs="Minion Pro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Supplementary table 4. Classification of patients with high grade meningiomas into two oxidative stress-based molecular clusters.</w:t>
      </w:r>
    </w:p>
    <w:p w14:paraId="0B7DA4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panose1 w:val="02040503050201020203"/>
    <w:charset w:val="00"/>
    <w:family w:val="auto"/>
    <w:pitch w:val="default"/>
    <w:sig w:usb0="E00002AF" w:usb1="5000205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C34A6"/>
    <w:rsid w:val="635C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2025-07-15T07:53:00Z</dcterms:created>
  <dc:creator>Mia</dc:creator>
  <cp:lastModifiedBy>Mia</cp:lastModifiedBy>
  <dcterms:modified xsi:type="dcterms:W3CDTF">2025-07-15T07:57:26Z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955848E9F28443138B3DCF331C97580E_11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