
<file path=[Content_Types].xml><?xml version="1.0" encoding="utf-8"?>
<Types xmlns="http://schemas.openxmlformats.org/package/2006/content-types">
  <Default Extension="tiff" ContentType="image/tif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9E1A6">
      <w:pPr>
        <w:spacing w:line="240" w:lineRule="auto"/>
        <w:rPr>
          <w:rFonts w:cs="Times New Roman"/>
          <w:sz w:val="22"/>
        </w:rPr>
      </w:pPr>
      <w:r>
        <w:rPr>
          <w:rFonts w:cs="Times New Roman"/>
          <w:sz w:val="22"/>
          <w14:ligatures w14:val="none"/>
        </w:rPr>
        <w:drawing>
          <wp:inline distT="0" distB="0" distL="0" distR="0">
            <wp:extent cx="5274310" cy="3728720"/>
            <wp:effectExtent l="0" t="0" r="13970" b="5080"/>
            <wp:docPr id="156260224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602242" name="图片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3728720"/>
                    </a:xfrm>
                    <a:prstGeom prst="rect">
                      <a:avLst/>
                    </a:prstGeom>
                  </pic:spPr>
                </pic:pic>
              </a:graphicData>
            </a:graphic>
          </wp:inline>
        </w:drawing>
      </w:r>
    </w:p>
    <w:p w14:paraId="0A18A87E">
      <w:pPr>
        <w:spacing w:line="240" w:lineRule="auto"/>
        <w:rPr>
          <w:rFonts w:cs="Times New Roman" w:eastAsiaTheme="minorEastAsia"/>
          <w:sz w:val="22"/>
        </w:rPr>
      </w:pPr>
      <w:r>
        <w:rPr>
          <w:rFonts w:cs="Times New Roman"/>
          <w:b/>
          <w:bCs/>
          <w:sz w:val="22"/>
        </w:rPr>
        <w:t>Figure S1.</w:t>
      </w:r>
      <w:r>
        <w:rPr>
          <w:rFonts w:cs="Times New Roman"/>
          <w:sz w:val="22"/>
        </w:rPr>
        <w:t xml:space="preserve"> Concise schematic of ferroptosis defense mechanism.</w:t>
      </w:r>
      <w:r>
        <w:rPr>
          <w:rFonts w:cs="Times New Roman" w:eastAsiaTheme="minorEastAsia"/>
          <w:sz w:val="22"/>
        </w:rPr>
        <w:t xml:space="preserve"> Some of the materials in the picture are taken from the drawing software "Biorender".</w:t>
      </w:r>
      <w:r>
        <w:rPr>
          <w:rFonts w:hint="eastAsia" w:cs="Times New Roman" w:eastAsiaTheme="minorEastAsia"/>
          <w:sz w:val="22"/>
        </w:rPr>
        <w:t xml:space="preserve"> </w:t>
      </w:r>
      <w:r>
        <w:rPr>
          <w:rFonts w:cs="Times New Roman" w:eastAsiaTheme="minorEastAsia"/>
          <w:sz w:val="22"/>
        </w:rPr>
        <w:t>(1) System Xc− imports cystine by exchanging intracellular glutamate (1:1). (2)</w:t>
      </w:r>
      <w:r>
        <w:rPr>
          <w:rFonts w:cs="Times New Roman"/>
          <w:sz w:val="22"/>
        </w:rPr>
        <w:t xml:space="preserve"> </w:t>
      </w:r>
      <w:r>
        <w:rPr>
          <w:rFonts w:cs="Times New Roman" w:eastAsiaTheme="minorEastAsia"/>
          <w:sz w:val="22"/>
        </w:rPr>
        <w:t>Cystine is then reduced to cysteine. (3) GPX4 uses GSH to detoxify lipid hydroperoxides, suppressing lipid peroxidation. (4)</w:t>
      </w:r>
      <w:r>
        <w:rPr>
          <w:rFonts w:cs="Times New Roman"/>
          <w:sz w:val="22"/>
        </w:rPr>
        <w:t xml:space="preserve"> </w:t>
      </w:r>
      <w:r>
        <w:rPr>
          <w:rFonts w:cs="Times New Roman" w:eastAsiaTheme="minorEastAsia"/>
          <w:sz w:val="22"/>
        </w:rPr>
        <w:t>USP8 stabilizes GPX4 through deubiquitination. (5) zDHHC8 mediates GPX4 palmitoylation at Cys75 to suppress ferroptosis. (6) PRDX1 suppresses ferroptosis by scavenging peroxides, whereas LncFASA inactivates PRDX1 through phase separation, leading to unchecked lipid peroxidation. (7) FSP1 generates ferroptosis-suppressive CoQ</w:t>
      </w:r>
      <w:r>
        <w:rPr>
          <w:rFonts w:cs="Times New Roman" w:eastAsiaTheme="minorEastAsia"/>
          <w:sz w:val="22"/>
          <w:vertAlign w:val="subscript"/>
        </w:rPr>
        <w:t>10</w:t>
      </w:r>
      <w:r>
        <w:rPr>
          <w:rFonts w:cs="Times New Roman" w:eastAsiaTheme="minorEastAsia"/>
          <w:sz w:val="22"/>
        </w:rPr>
        <w:t>H</w:t>
      </w:r>
      <w:r>
        <w:rPr>
          <w:rFonts w:cs="Times New Roman" w:eastAsiaTheme="minorEastAsia"/>
          <w:sz w:val="22"/>
          <w:vertAlign w:val="subscript"/>
        </w:rPr>
        <w:t>2</w:t>
      </w:r>
      <w:r>
        <w:rPr>
          <w:rFonts w:cs="Times New Roman" w:eastAsiaTheme="minorEastAsia"/>
          <w:sz w:val="22"/>
        </w:rPr>
        <w:t xml:space="preserve"> from CoQ</w:t>
      </w:r>
      <w:r>
        <w:rPr>
          <w:rFonts w:cs="Times New Roman" w:eastAsiaTheme="minorEastAsia"/>
          <w:sz w:val="22"/>
          <w:vertAlign w:val="subscript"/>
        </w:rPr>
        <w:t>10</w:t>
      </w:r>
      <w:r>
        <w:rPr>
          <w:rFonts w:cs="Times New Roman" w:eastAsiaTheme="minorEastAsia"/>
          <w:sz w:val="22"/>
        </w:rPr>
        <w:t>. (8) FSP1 reduces vitamin K to VKH2 using NAD(P)H, generating a radical-trapping antioxidant. (9) GCH1 converts GTP into NH</w:t>
      </w:r>
      <w:r>
        <w:rPr>
          <w:rFonts w:cs="Times New Roman" w:eastAsiaTheme="minorEastAsia"/>
          <w:sz w:val="22"/>
          <w:vertAlign w:val="subscript"/>
        </w:rPr>
        <w:t>2</w:t>
      </w:r>
      <w:r>
        <w:rPr>
          <w:rFonts w:cs="Times New Roman" w:eastAsiaTheme="minorEastAsia"/>
          <w:sz w:val="22"/>
        </w:rPr>
        <w:t>TP. (10) PTS and SPR work coordinately to produce BH4, which constitutes an enzymatic antioxidant defense system.</w:t>
      </w:r>
    </w:p>
    <w:p w14:paraId="6F049B4C">
      <w:pPr>
        <w:spacing w:line="240" w:lineRule="auto"/>
        <w:rPr>
          <w:rFonts w:cs="Times New Roman"/>
          <w:sz w:val="22"/>
        </w:rPr>
      </w:pPr>
    </w:p>
    <w:p w14:paraId="1EC6B549">
      <w:pPr>
        <w:spacing w:line="240" w:lineRule="auto"/>
        <w:rPr>
          <w:rFonts w:cs="Times New Roman" w:eastAsiaTheme="minorEastAsia"/>
          <w:sz w:val="22"/>
        </w:rPr>
      </w:pPr>
      <w:r>
        <w:rPr>
          <w:rFonts w:cs="Times New Roman"/>
          <w:sz w:val="22"/>
          <w14:ligatures w14:val="none"/>
        </w:rPr>
        <w:drawing>
          <wp:inline distT="0" distB="0" distL="0" distR="0">
            <wp:extent cx="5274310" cy="3712845"/>
            <wp:effectExtent l="0" t="0" r="13970" b="5715"/>
            <wp:docPr id="154204888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048889"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3712845"/>
                    </a:xfrm>
                    <a:prstGeom prst="rect">
                      <a:avLst/>
                    </a:prstGeom>
                  </pic:spPr>
                </pic:pic>
              </a:graphicData>
            </a:graphic>
          </wp:inline>
        </w:drawing>
      </w:r>
      <w:r>
        <w:rPr>
          <w:rFonts w:cs="Times New Roman" w:eastAsiaTheme="minorEastAsia"/>
          <w:b/>
          <w:bCs/>
          <w:sz w:val="22"/>
        </w:rPr>
        <w:t>Figure S2.</w:t>
      </w:r>
      <w:r>
        <w:rPr>
          <w:rFonts w:cs="Times New Roman" w:eastAsiaTheme="minorEastAsia"/>
          <w:sz w:val="22"/>
        </w:rPr>
        <w:t xml:space="preserve"> Simplified schematic diagram of the mechanism of ferroptosis. Some of the materials in the picture are taken from the drawing software "Biorender". (1) ACC catalyzes acetyl-CoA conversion to malonyl-CoA. (2) ACSL4 catalyzes the acylation of PUFAs with CoA, generating PUFA-CoAs. (3) LPCAT3 then incorporates PUFA-CoAs into PLs, forming PUFA-PLs. (4) LOXs and POR can initiate lipid peroxidation by catalyzing PUFA dioxygenation. (5) Free iron triggers Fenton reaction, generating excessive ROS. (6) TF-</w:t>
      </w:r>
      <w:r>
        <w:rPr>
          <w:rFonts w:cs="Times New Roman"/>
          <w:sz w:val="22"/>
        </w:rPr>
        <w:t>Fe³</w:t>
      </w:r>
      <w:r>
        <w:rPr>
          <w:rFonts w:eastAsia="宋体" w:cs="Times New Roman"/>
          <w:sz w:val="22"/>
          <w:vertAlign w:val="superscript"/>
        </w:rPr>
        <w:t>+</w:t>
      </w:r>
      <w:r>
        <w:rPr>
          <w:rFonts w:cs="Times New Roman" w:eastAsiaTheme="minorEastAsia"/>
          <w:sz w:val="22"/>
        </w:rPr>
        <w:t xml:space="preserve"> is taken up by TFR1, reduced to </w:t>
      </w:r>
      <w:r>
        <w:rPr>
          <w:rFonts w:cs="Times New Roman"/>
          <w:sz w:val="22"/>
        </w:rPr>
        <w:t>Fe²</w:t>
      </w:r>
      <w:r>
        <w:rPr>
          <w:rFonts w:eastAsia="宋体" w:cs="Times New Roman"/>
          <w:sz w:val="22"/>
          <w:vertAlign w:val="superscript"/>
        </w:rPr>
        <w:t>+</w:t>
      </w:r>
      <w:r>
        <w:rPr>
          <w:rFonts w:cs="Times New Roman" w:eastAsiaTheme="minorEastAsia"/>
          <w:sz w:val="22"/>
        </w:rPr>
        <w:t xml:space="preserve"> by STEAP3 in endosomes, and transported to the cytosol via DMT1, joining the LIP. (7) Ferritin sequesters iron but undergoes ferritinophagy, releasing stored iron into the LIP. (8) Excess </w:t>
      </w:r>
      <w:r>
        <w:rPr>
          <w:rFonts w:cs="Times New Roman"/>
          <w:sz w:val="22"/>
        </w:rPr>
        <w:t>Fe²</w:t>
      </w:r>
      <w:r>
        <w:rPr>
          <w:rFonts w:eastAsia="宋体" w:cs="Times New Roman"/>
          <w:sz w:val="22"/>
          <w:vertAlign w:val="superscript"/>
        </w:rPr>
        <w:t>+</w:t>
      </w:r>
      <w:r>
        <w:rPr>
          <w:rFonts w:cs="Times New Roman" w:eastAsiaTheme="minorEastAsia"/>
          <w:sz w:val="22"/>
        </w:rPr>
        <w:t xml:space="preserve"> in the LIP drives fenton reaction, triggering lipid peroxidation.</w:t>
      </w:r>
    </w:p>
    <w:p w14:paraId="228ACDB1">
      <w:bookmarkStart w:id="0" w:name="_GoBack"/>
      <w:bookmarkEnd w:id="0"/>
    </w:p>
    <w:sectPr>
      <w:footerReference r:id="rId5" w:type="default"/>
      <w:pgSz w:w="11906" w:h="16838"/>
      <w:pgMar w:top="1440" w:right="1800" w:bottom="1440" w:left="1800" w:header="851" w:footer="992" w:gutter="0"/>
      <w:lnNumType w:countBy="0" w:restart="continuous"/>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ion Pro">
    <w:panose1 w:val="02040503050201020203"/>
    <w:charset w:val="00"/>
    <w:family w:val="auto"/>
    <w:pitch w:val="default"/>
    <w:sig w:usb0="E00002AF" w:usb1="5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5328526"/>
      <w:docPartObj>
        <w:docPartGallery w:val="autotext"/>
      </w:docPartObj>
    </w:sdtPr>
    <w:sdtContent>
      <w:p w14:paraId="24934BC3">
        <w:pPr>
          <w:pStyle w:val="2"/>
          <w:jc w:val="center"/>
        </w:pPr>
        <w:r>
          <w:fldChar w:fldCharType="begin"/>
        </w:r>
        <w:r>
          <w:instrText xml:space="preserve"> PAGE   \* MERGEFORMAT </w:instrText>
        </w:r>
        <w:r>
          <w:fldChar w:fldCharType="separate"/>
        </w:r>
        <w:r>
          <w:t>2</w:t>
        </w:r>
        <w:r>
          <w:fldChar w:fldCharType="end"/>
        </w:r>
      </w:p>
    </w:sdtContent>
  </w:sdt>
  <w:p w14:paraId="1524A605">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pPr>
      <w:r>
        <w:separator/>
      </w:r>
    </w:p>
  </w:footnote>
  <w:footnote w:type="continuationSeparator" w:id="1">
    <w:p>
      <w:pPr>
        <w:spacing w:line="48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930B1"/>
    <w:rsid w:val="082B63EA"/>
    <w:rsid w:val="75493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auto"/>
      <w:jc w:val="both"/>
    </w:pPr>
    <w:rPr>
      <w:rFonts w:ascii="Times New Roman" w:hAnsi="Times New Roman" w:eastAsia="Times New Roman" w:cstheme="minorBidi"/>
      <w:kern w:val="2"/>
      <w:sz w:val="24"/>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tiff"/><Relationship Id="rId7" Type="http://schemas.openxmlformats.org/officeDocument/2006/relationships/image" Target="media/image1.tiff"/><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249</Words>
  <Characters>1519</Characters>
  <Lines>0</Lines>
  <Paragraphs>0</Paragraphs>
  <TotalTime>0</TotalTime>
  <ScaleCrop>false</ScaleCrop>
  <LinksUpToDate>false</LinksUpToDate>
  <CharactersWithSpaces>1765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2025-08-06T06:09:00Z</dcterms:created>
  <dc:creator>Mia</dc:creator>
  <cp:lastModifiedBy>Mia</cp:lastModifiedBy>
  <dcterms:modified xsi:type="dcterms:W3CDTF">2025-08-19T03:23:36Z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9EFAF2BD0D1C4E038B1E332D61989064_11</vt:lpwstr>
  </property>
  <property fmtid="{D5CDD505-2E9C-101B-9397-08002B2CF9AE}" pid="4" name="KSOTemplateDocerSaveRecord">
    <vt:lpwstr>eyJoZGlkIjoiNGQzNmFmODQ1YWIwOTg1MjhlOTUyYjY3NDNjNjM1MDEiLCJ1c2VySWQiOiIyMTM1MjkzOTMifQ==</vt:lpwstr>
  </property>
</Properties>
</file>