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E5" w:rsidRPr="00576FE5" w:rsidRDefault="00576FE5" w:rsidP="00576FE5">
      <w:pPr>
        <w:pStyle w:val="TSP62BackMatter"/>
        <w:spacing w:before="240"/>
        <w:rPr>
          <w:rFonts w:eastAsiaTheme="minorEastAsia"/>
        </w:rPr>
      </w:pPr>
      <w:r w:rsidRPr="00576FE5">
        <w:rPr>
          <w:b/>
        </w:rPr>
        <w:t>Supplementary Material</w:t>
      </w:r>
      <w:r w:rsidRPr="00576FE5">
        <w:rPr>
          <w:b/>
        </w:rPr>
        <w:t>s</w:t>
      </w:r>
      <w:r w:rsidRPr="00576FE5">
        <w:rPr>
          <w:rFonts w:eastAsiaTheme="minorEastAsia" w:hint="eastAsia"/>
          <w:b/>
        </w:rPr>
        <w:t>:</w:t>
      </w:r>
    </w:p>
    <w:p w:rsidR="00576FE5" w:rsidRPr="00576FE5" w:rsidRDefault="00576FE5" w:rsidP="00576FE5">
      <w:pPr>
        <w:pStyle w:val="TSP41tablecaption"/>
        <w:jc w:val="center"/>
        <w:rPr>
          <w:rFonts w:eastAsiaTheme="minorEastAsia"/>
          <w:b/>
        </w:rPr>
      </w:pPr>
      <w:r w:rsidRPr="00576FE5">
        <w:rPr>
          <w:b/>
        </w:rPr>
        <w:t xml:space="preserve">Table S1: </w:t>
      </w:r>
      <w:r w:rsidRPr="00576FE5">
        <w:t>Distribution of patients according to T and N stage classification</w:t>
      </w:r>
      <w:r w:rsidRPr="00576FE5">
        <w:t>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565"/>
        <w:gridCol w:w="3012"/>
      </w:tblGrid>
      <w:tr w:rsidR="00576FE5" w:rsidRPr="00576FE5" w:rsidTr="00576FE5">
        <w:trPr>
          <w:jc w:val="center"/>
        </w:trPr>
        <w:tc>
          <w:tcPr>
            <w:tcW w:w="6494" w:type="dxa"/>
            <w:gridSpan w:val="2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b/>
                <w:sz w:val="20"/>
              </w:rPr>
            </w:pPr>
            <w:r w:rsidRPr="00576FE5">
              <w:rPr>
                <w:rFonts w:ascii="Minion Pro" w:hAnsi="Minion Pro"/>
                <w:b/>
                <w:spacing w:val="-2"/>
                <w:sz w:val="20"/>
              </w:rPr>
              <w:t>Characteristic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b/>
                <w:sz w:val="20"/>
              </w:rPr>
            </w:pPr>
            <w:r w:rsidRPr="00576FE5">
              <w:rPr>
                <w:rFonts w:ascii="Minion Pro" w:hAnsi="Minion Pro"/>
                <w:b/>
                <w:spacing w:val="-2"/>
                <w:sz w:val="20"/>
              </w:rPr>
              <w:t>Value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 w:val="restart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Stage</w:t>
            </w:r>
            <w:r w:rsidRPr="00576FE5">
              <w:rPr>
                <w:rFonts w:ascii="Minion Pro" w:hAnsi="Minion Pro"/>
                <w:spacing w:val="-7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T, n</w:t>
            </w:r>
            <w:r w:rsidRPr="00576FE5">
              <w:rPr>
                <w:rFonts w:ascii="Minion Pro" w:hAnsi="Minion Pro"/>
                <w:spacing w:val="-4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5"/>
                <w:sz w:val="20"/>
              </w:rPr>
              <w:t>(%)</w:t>
            </w: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T1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57</w:t>
            </w:r>
            <w:r w:rsidRPr="00576FE5">
              <w:rPr>
                <w:rFonts w:ascii="Minion Pro" w:hAnsi="Minion Pro"/>
                <w:spacing w:val="-1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(7.8)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T2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145</w:t>
            </w:r>
            <w:r w:rsidRPr="00576FE5">
              <w:rPr>
                <w:rFonts w:ascii="Minion Pro" w:hAnsi="Minion Pro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(19.8)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T3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202</w:t>
            </w:r>
            <w:r w:rsidRPr="00576FE5">
              <w:rPr>
                <w:rFonts w:ascii="Minion Pro" w:hAnsi="Minion Pro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(27.6)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T4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319</w:t>
            </w:r>
            <w:r w:rsidRPr="00576FE5">
              <w:rPr>
                <w:rFonts w:ascii="Minion Pro" w:hAnsi="Minion Pro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(43.6)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Tx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 xml:space="preserve">8 </w:t>
            </w:r>
            <w:r w:rsidRPr="00576FE5">
              <w:rPr>
                <w:rFonts w:ascii="Minion Pro" w:hAnsi="Minion Pro"/>
                <w:spacing w:val="-2"/>
                <w:sz w:val="20"/>
              </w:rPr>
              <w:t>(1.2)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 w:val="restart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Stage</w:t>
            </w:r>
            <w:r w:rsidRPr="00576FE5">
              <w:rPr>
                <w:rFonts w:ascii="Minion Pro" w:hAnsi="Minion Pro"/>
                <w:spacing w:val="-4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N,</w:t>
            </w:r>
            <w:r w:rsidRPr="00576FE5">
              <w:rPr>
                <w:rFonts w:ascii="Minion Pro" w:hAnsi="Minion Pro"/>
                <w:spacing w:val="-2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n</w:t>
            </w:r>
            <w:r w:rsidRPr="00576FE5">
              <w:rPr>
                <w:rFonts w:ascii="Minion Pro" w:hAnsi="Minion Pro"/>
                <w:spacing w:val="-2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5"/>
                <w:sz w:val="20"/>
              </w:rPr>
              <w:t>(%)</w:t>
            </w: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N0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67</w:t>
            </w:r>
            <w:r w:rsidRPr="00576FE5">
              <w:rPr>
                <w:rFonts w:ascii="Minion Pro" w:hAnsi="Minion Pro"/>
                <w:spacing w:val="-1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(9.2)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N1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28</w:t>
            </w:r>
            <w:r w:rsidRPr="00576FE5">
              <w:rPr>
                <w:rFonts w:ascii="Minion Pro" w:hAnsi="Minion Pro"/>
                <w:spacing w:val="-1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(3.8)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N2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349</w:t>
            </w:r>
            <w:r w:rsidRPr="00576FE5">
              <w:rPr>
                <w:rFonts w:ascii="Minion Pro" w:hAnsi="Minion Pro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(47.7)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5"/>
                <w:sz w:val="20"/>
              </w:rPr>
              <w:t>N3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283</w:t>
            </w:r>
            <w:r w:rsidRPr="00576FE5">
              <w:rPr>
                <w:rFonts w:ascii="Minion Pro" w:hAnsi="Minion Pro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(38.7)</w:t>
            </w:r>
          </w:p>
        </w:tc>
      </w:tr>
      <w:tr w:rsidR="00576FE5" w:rsidRPr="00576FE5" w:rsidTr="00576FE5">
        <w:trPr>
          <w:jc w:val="center"/>
        </w:trPr>
        <w:tc>
          <w:tcPr>
            <w:tcW w:w="3870" w:type="dxa"/>
            <w:vMerge/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proofErr w:type="spellStart"/>
            <w:r w:rsidRPr="00576FE5">
              <w:rPr>
                <w:rFonts w:ascii="Minion Pro" w:hAnsi="Minion Pro"/>
                <w:spacing w:val="-5"/>
                <w:sz w:val="20"/>
              </w:rPr>
              <w:t>Nx</w:t>
            </w:r>
            <w:proofErr w:type="spellEnd"/>
          </w:p>
        </w:tc>
        <w:tc>
          <w:tcPr>
            <w:tcW w:w="3082" w:type="dxa"/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 xml:space="preserve">4 </w:t>
            </w:r>
            <w:r w:rsidRPr="00576FE5">
              <w:rPr>
                <w:rFonts w:ascii="Minion Pro" w:hAnsi="Minion Pro"/>
                <w:spacing w:val="-2"/>
                <w:sz w:val="20"/>
              </w:rPr>
              <w:t>(0.6)</w:t>
            </w:r>
          </w:p>
        </w:tc>
      </w:tr>
    </w:tbl>
    <w:p w:rsidR="00576FE5" w:rsidRPr="008B4BCF" w:rsidRDefault="00576FE5" w:rsidP="00576FE5">
      <w:pPr>
        <w:pStyle w:val="TSP43tablefooter"/>
        <w:rPr>
          <w:b/>
        </w:rPr>
      </w:pPr>
      <w:r w:rsidRPr="008B4BCF">
        <w:rPr>
          <w:b/>
        </w:rPr>
        <w:t xml:space="preserve">Note: </w:t>
      </w:r>
      <w:r w:rsidRPr="008B4BCF">
        <w:t>T, primary tumor; N, regional lymph node; AJCC, American Joint Committee on Cancer (8th edition)</w:t>
      </w:r>
      <w:r>
        <w:t>.</w:t>
      </w:r>
    </w:p>
    <w:p w:rsidR="00576FE5" w:rsidRPr="00576FE5" w:rsidRDefault="00576FE5" w:rsidP="00576FE5">
      <w:pPr>
        <w:pStyle w:val="TSP41tablecaption"/>
        <w:jc w:val="center"/>
        <w:rPr>
          <w:b/>
        </w:rPr>
      </w:pPr>
      <w:r w:rsidRPr="00576FE5">
        <w:rPr>
          <w:b/>
        </w:rPr>
        <w:t xml:space="preserve">Table S2: </w:t>
      </w:r>
      <w:r w:rsidRPr="00576FE5">
        <w:t>Univariate analysis of genetic mutation status after excluding patients without molecular testing</w:t>
      </w:r>
      <w:r w:rsidRPr="00576FE5">
        <w:t>.</w:t>
      </w: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1"/>
        <w:gridCol w:w="2609"/>
        <w:gridCol w:w="3221"/>
        <w:gridCol w:w="2149"/>
      </w:tblGrid>
      <w:tr w:rsidR="00576FE5" w:rsidRPr="00576FE5" w:rsidTr="00576FE5">
        <w:trPr>
          <w:jc w:val="center"/>
        </w:trPr>
        <w:tc>
          <w:tcPr>
            <w:tcW w:w="3686" w:type="dxa"/>
            <w:gridSpan w:val="2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b/>
                <w:sz w:val="20"/>
              </w:rPr>
            </w:pPr>
            <w:r w:rsidRPr="00576FE5">
              <w:rPr>
                <w:rFonts w:ascii="Minion Pro" w:hAnsi="Minion Pro"/>
                <w:b/>
                <w:spacing w:val="-2"/>
                <w:sz w:val="20"/>
              </w:rPr>
              <w:t>Factor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b/>
                <w:sz w:val="20"/>
              </w:rPr>
            </w:pPr>
            <w:r w:rsidRPr="00576FE5">
              <w:rPr>
                <w:rFonts w:ascii="Minion Pro" w:hAnsi="Minion Pro"/>
                <w:b/>
                <w:spacing w:val="-2"/>
                <w:sz w:val="20"/>
              </w:rPr>
              <w:t>Univariate</w:t>
            </w:r>
          </w:p>
        </w:tc>
      </w:tr>
      <w:tr w:rsidR="00576FE5" w:rsidRPr="00576FE5" w:rsidTr="00576FE5">
        <w:trPr>
          <w:jc w:val="center"/>
        </w:trPr>
        <w:tc>
          <w:tcPr>
            <w:tcW w:w="368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9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proofErr w:type="spellStart"/>
            <w:r w:rsidRPr="00576FE5">
              <w:rPr>
                <w:rFonts w:ascii="Minion Pro" w:hAnsi="Minion Pro"/>
                <w:sz w:val="20"/>
              </w:rPr>
              <w:t>mOS</w:t>
            </w:r>
            <w:proofErr w:type="spellEnd"/>
            <w:r w:rsidRPr="00576FE5">
              <w:rPr>
                <w:rFonts w:ascii="Minion Pro" w:hAnsi="Minion Pro"/>
                <w:spacing w:val="-4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(95%</w:t>
            </w:r>
            <w:r w:rsidRPr="00576FE5">
              <w:rPr>
                <w:rFonts w:ascii="Minion Pro" w:hAnsi="Minion Pro"/>
                <w:spacing w:val="-3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CI)</w:t>
            </w:r>
            <w:r w:rsidRPr="00576FE5">
              <w:rPr>
                <w:rFonts w:ascii="Minion Pro" w:hAnsi="Minion Pro"/>
                <w:spacing w:val="-4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2"/>
                <w:sz w:val="20"/>
              </w:rPr>
              <w:t>(months)</w:t>
            </w: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i/>
                <w:iCs/>
                <w:sz w:val="20"/>
              </w:rPr>
            </w:pPr>
            <w:r w:rsidRPr="00576FE5">
              <w:rPr>
                <w:rFonts w:ascii="Minion Pro" w:hAnsi="Minion Pro"/>
                <w:i/>
                <w:iCs/>
                <w:spacing w:val="-10"/>
                <w:sz w:val="20"/>
              </w:rPr>
              <w:t>p</w:t>
            </w:r>
          </w:p>
        </w:tc>
      </w:tr>
      <w:tr w:rsidR="00576FE5" w:rsidRPr="00576FE5" w:rsidTr="00576FE5">
        <w:trPr>
          <w:jc w:val="center"/>
        </w:trPr>
        <w:tc>
          <w:tcPr>
            <w:tcW w:w="1276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2"/>
                <w:sz w:val="20"/>
              </w:rPr>
              <w:t>Genetic mutation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Yes</w:t>
            </w:r>
            <w:r w:rsidRPr="00576FE5">
              <w:rPr>
                <w:rFonts w:ascii="Minion Pro" w:hAnsi="Minion Pro"/>
                <w:spacing w:val="-3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(n</w:t>
            </w:r>
            <w:r w:rsidRPr="00576FE5">
              <w:rPr>
                <w:rFonts w:ascii="Minion Pro" w:hAnsi="Minion Pro"/>
                <w:spacing w:val="-1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=</w:t>
            </w:r>
            <w:r w:rsidRPr="00576FE5">
              <w:rPr>
                <w:rFonts w:ascii="Minion Pro" w:hAnsi="Minion Pro"/>
                <w:spacing w:val="-3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4"/>
                <w:sz w:val="20"/>
              </w:rPr>
              <w:t>111)</w:t>
            </w:r>
          </w:p>
        </w:tc>
        <w:tc>
          <w:tcPr>
            <w:tcW w:w="29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color w:val="010205"/>
                <w:sz w:val="20"/>
              </w:rPr>
              <w:t>33.1</w:t>
            </w:r>
            <w:r w:rsidRPr="00576FE5">
              <w:rPr>
                <w:rFonts w:ascii="Minion Pro" w:hAnsi="Minion Pro"/>
                <w:color w:val="010205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color w:val="010205"/>
                <w:sz w:val="20"/>
              </w:rPr>
              <w:t>(22.5</w:t>
            </w:r>
            <w:r w:rsidRPr="00576FE5">
              <w:rPr>
                <w:rFonts w:ascii="Minion Pro" w:hAnsi="Minion Pro"/>
                <w:color w:val="010205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color w:val="010205"/>
                <w:sz w:val="20"/>
              </w:rPr>
              <w:t>–</w:t>
            </w:r>
            <w:r w:rsidRPr="00576FE5">
              <w:rPr>
                <w:rFonts w:ascii="Minion Pro" w:hAnsi="Minion Pro"/>
                <w:color w:val="010205"/>
                <w:spacing w:val="-2"/>
                <w:sz w:val="20"/>
              </w:rPr>
              <w:t xml:space="preserve"> 43.7)</w:t>
            </w:r>
          </w:p>
        </w:tc>
        <w:tc>
          <w:tcPr>
            <w:tcW w:w="1985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pacing w:val="-2"/>
                <w:sz w:val="20"/>
              </w:rPr>
              <w:t>0.005</w:t>
            </w:r>
          </w:p>
        </w:tc>
      </w:tr>
      <w:tr w:rsidR="00576FE5" w:rsidRPr="00576FE5" w:rsidTr="00576FE5">
        <w:trPr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  <w:tc>
          <w:tcPr>
            <w:tcW w:w="241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sz w:val="20"/>
              </w:rPr>
              <w:t>No</w:t>
            </w:r>
            <w:r w:rsidRPr="00576FE5">
              <w:rPr>
                <w:rFonts w:ascii="Minion Pro" w:hAnsi="Minion Pro"/>
                <w:spacing w:val="-7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z w:val="20"/>
              </w:rPr>
              <w:t>(n=</w:t>
            </w:r>
            <w:r w:rsidRPr="00576FE5">
              <w:rPr>
                <w:rFonts w:ascii="Minion Pro" w:hAnsi="Minion Pro"/>
                <w:spacing w:val="-1"/>
                <w:sz w:val="20"/>
              </w:rPr>
              <w:t xml:space="preserve"> </w:t>
            </w:r>
            <w:r w:rsidRPr="00576FE5">
              <w:rPr>
                <w:rFonts w:ascii="Minion Pro" w:hAnsi="Minion Pro"/>
                <w:spacing w:val="-4"/>
                <w:sz w:val="20"/>
              </w:rPr>
              <w:t>168)</w:t>
            </w:r>
          </w:p>
        </w:tc>
        <w:tc>
          <w:tcPr>
            <w:tcW w:w="2976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pStyle w:val="TableParagraph"/>
              <w:widowControl/>
              <w:adjustRightInd w:val="0"/>
              <w:snapToGrid w:val="0"/>
              <w:rPr>
                <w:rFonts w:ascii="Minion Pro" w:hAnsi="Minion Pro"/>
                <w:sz w:val="20"/>
              </w:rPr>
            </w:pPr>
            <w:r w:rsidRPr="00576FE5">
              <w:rPr>
                <w:rFonts w:ascii="Minion Pro" w:hAnsi="Minion Pro"/>
                <w:color w:val="010205"/>
                <w:sz w:val="20"/>
              </w:rPr>
              <w:t>21.6</w:t>
            </w:r>
            <w:r w:rsidRPr="00576FE5">
              <w:rPr>
                <w:rFonts w:ascii="Minion Pro" w:hAnsi="Minion Pro"/>
                <w:color w:val="010205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color w:val="010205"/>
                <w:sz w:val="20"/>
              </w:rPr>
              <w:t>(15.0</w:t>
            </w:r>
            <w:r w:rsidRPr="00576FE5">
              <w:rPr>
                <w:rFonts w:ascii="Minion Pro" w:hAnsi="Minion Pro"/>
                <w:color w:val="010205"/>
                <w:spacing w:val="-5"/>
                <w:sz w:val="20"/>
              </w:rPr>
              <w:t xml:space="preserve"> </w:t>
            </w:r>
            <w:r w:rsidRPr="00576FE5">
              <w:rPr>
                <w:rFonts w:ascii="Minion Pro" w:hAnsi="Minion Pro"/>
                <w:color w:val="010205"/>
                <w:sz w:val="20"/>
              </w:rPr>
              <w:t>–</w:t>
            </w:r>
            <w:r w:rsidRPr="00576FE5">
              <w:rPr>
                <w:rFonts w:ascii="Minion Pro" w:hAnsi="Minion Pro"/>
                <w:color w:val="010205"/>
                <w:spacing w:val="-2"/>
                <w:sz w:val="20"/>
              </w:rPr>
              <w:t xml:space="preserve"> 28.2)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6FE5" w:rsidRPr="00576FE5" w:rsidRDefault="00576FE5" w:rsidP="00576FE5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</w:pPr>
          </w:p>
        </w:tc>
      </w:tr>
    </w:tbl>
    <w:p w:rsidR="00576FE5" w:rsidRPr="00D34F97" w:rsidRDefault="00576FE5" w:rsidP="00576FE5">
      <w:pPr>
        <w:pStyle w:val="TSP51figurecaption"/>
        <w:rPr>
          <w:rFonts w:eastAsiaTheme="minorEastAsia"/>
          <w:spacing w:val="-2"/>
        </w:rPr>
      </w:pPr>
      <w:bookmarkStart w:id="0" w:name="_GoBack"/>
      <w:r w:rsidRPr="00576FE5">
        <w:rPr>
          <w:b/>
          <w:noProof/>
        </w:rPr>
        <w:lastRenderedPageBreak/>
        <w:drawing>
          <wp:inline distT="0" distB="0" distL="0" distR="0" wp14:anchorId="6C13D01C" wp14:editId="4F23A839">
            <wp:extent cx="6119495" cy="73501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702" cy="735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76FE5">
        <w:rPr>
          <w:b/>
        </w:rPr>
        <w:t>Figure S1:</w:t>
      </w:r>
      <w:r>
        <w:rPr>
          <w:b/>
        </w:rPr>
        <w:t xml:space="preserve"> </w:t>
      </w:r>
      <w:r w:rsidRPr="00D34F97">
        <w:t>Overall survival (OS) stratified by baseline clinical and molecular characteristics. (A). Overall survival (OS) by Sex. (B) Overall survival (OS) by Age. (C) Overall survival (OS)</w:t>
      </w:r>
      <w:r w:rsidRPr="00D34F97">
        <w:rPr>
          <w:spacing w:val="-4"/>
        </w:rPr>
        <w:t xml:space="preserve"> </w:t>
      </w:r>
      <w:r w:rsidRPr="00D34F97">
        <w:t>by</w:t>
      </w:r>
      <w:r w:rsidRPr="00D34F97">
        <w:rPr>
          <w:spacing w:val="-2"/>
        </w:rPr>
        <w:t xml:space="preserve"> </w:t>
      </w:r>
      <w:r w:rsidRPr="00D34F97">
        <w:t>Performance-status.</w:t>
      </w:r>
      <w:r w:rsidRPr="00D34F97">
        <w:rPr>
          <w:spacing w:val="-2"/>
        </w:rPr>
        <w:t xml:space="preserve"> </w:t>
      </w:r>
      <w:r w:rsidRPr="00D34F97">
        <w:t>(D)</w:t>
      </w:r>
      <w:r w:rsidRPr="00D34F97">
        <w:rPr>
          <w:spacing w:val="-1"/>
        </w:rPr>
        <w:t xml:space="preserve"> </w:t>
      </w:r>
      <w:r w:rsidRPr="00D34F97">
        <w:t>Overall</w:t>
      </w:r>
      <w:r w:rsidRPr="00D34F97">
        <w:rPr>
          <w:spacing w:val="-4"/>
        </w:rPr>
        <w:t xml:space="preserve"> </w:t>
      </w:r>
      <w:r w:rsidRPr="00D34F97">
        <w:t>survival</w:t>
      </w:r>
      <w:r w:rsidRPr="00D34F97">
        <w:rPr>
          <w:spacing w:val="-4"/>
        </w:rPr>
        <w:t xml:space="preserve"> </w:t>
      </w:r>
      <w:r w:rsidRPr="00D34F97">
        <w:t>(OS)</w:t>
      </w:r>
      <w:r w:rsidRPr="00D34F97">
        <w:rPr>
          <w:spacing w:val="-4"/>
        </w:rPr>
        <w:t xml:space="preserve"> </w:t>
      </w:r>
      <w:r w:rsidRPr="00D34F97">
        <w:t>by</w:t>
      </w:r>
      <w:r w:rsidRPr="00D34F97">
        <w:rPr>
          <w:spacing w:val="-2"/>
        </w:rPr>
        <w:t xml:space="preserve"> </w:t>
      </w:r>
      <w:r w:rsidRPr="00D34F97">
        <w:t>Smoking</w:t>
      </w:r>
      <w:r w:rsidRPr="00D34F97">
        <w:rPr>
          <w:spacing w:val="-2"/>
        </w:rPr>
        <w:t xml:space="preserve"> </w:t>
      </w:r>
      <w:r w:rsidRPr="00D34F97">
        <w:t>Status.</w:t>
      </w:r>
      <w:r w:rsidRPr="00D34F97">
        <w:rPr>
          <w:spacing w:val="-2"/>
        </w:rPr>
        <w:t xml:space="preserve"> </w:t>
      </w:r>
      <w:r w:rsidRPr="00D34F97">
        <w:t>(E)</w:t>
      </w:r>
      <w:r w:rsidRPr="00D34F97">
        <w:rPr>
          <w:spacing w:val="-1"/>
        </w:rPr>
        <w:t xml:space="preserve"> </w:t>
      </w:r>
      <w:r w:rsidRPr="00D34F97">
        <w:t>Overall</w:t>
      </w:r>
      <w:r w:rsidRPr="00D34F97">
        <w:rPr>
          <w:spacing w:val="-4"/>
        </w:rPr>
        <w:t xml:space="preserve"> </w:t>
      </w:r>
      <w:r w:rsidRPr="00D34F97">
        <w:t>survival</w:t>
      </w:r>
      <w:r w:rsidRPr="00D34F97">
        <w:rPr>
          <w:spacing w:val="-1"/>
        </w:rPr>
        <w:t xml:space="preserve"> </w:t>
      </w:r>
      <w:r w:rsidRPr="00D34F97">
        <w:t>(OS) by Pathology. (F) Overall survival (OS) by Stage. (G) Overall survival (OS) by Genetic mutation. (H)</w:t>
      </w:r>
      <w:r w:rsidRPr="00D34F97">
        <w:rPr>
          <w:spacing w:val="-6"/>
        </w:rPr>
        <w:t xml:space="preserve"> </w:t>
      </w:r>
      <w:r w:rsidRPr="00D34F97">
        <w:t>Overall</w:t>
      </w:r>
      <w:r w:rsidRPr="00D34F97">
        <w:rPr>
          <w:spacing w:val="-5"/>
        </w:rPr>
        <w:t xml:space="preserve"> </w:t>
      </w:r>
      <w:r w:rsidRPr="00D34F97">
        <w:t>survival</w:t>
      </w:r>
      <w:r w:rsidRPr="00D34F97">
        <w:rPr>
          <w:spacing w:val="-5"/>
        </w:rPr>
        <w:t xml:space="preserve"> </w:t>
      </w:r>
      <w:r w:rsidRPr="00D34F97">
        <w:t>(OS)</w:t>
      </w:r>
      <w:r w:rsidRPr="00D34F97">
        <w:rPr>
          <w:spacing w:val="-5"/>
        </w:rPr>
        <w:t xml:space="preserve"> </w:t>
      </w:r>
      <w:r w:rsidRPr="00D34F97">
        <w:t>by</w:t>
      </w:r>
      <w:r w:rsidRPr="00D34F97">
        <w:rPr>
          <w:spacing w:val="-6"/>
        </w:rPr>
        <w:t xml:space="preserve"> </w:t>
      </w:r>
      <w:r w:rsidRPr="00D34F97">
        <w:rPr>
          <w:spacing w:val="-2"/>
        </w:rPr>
        <w:t>Treatment</w:t>
      </w:r>
      <w:r>
        <w:rPr>
          <w:spacing w:val="-2"/>
        </w:rPr>
        <w:t>.</w:t>
      </w:r>
    </w:p>
    <w:sectPr w:rsidR="00576FE5" w:rsidRPr="00D34F97" w:rsidSect="00576FE5">
      <w:pgSz w:w="12240" w:h="15840"/>
      <w:pgMar w:top="1440" w:right="1440" w:bottom="1440" w:left="1440" w:header="1020" w:footer="624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E5"/>
    <w:rsid w:val="000247BA"/>
    <w:rsid w:val="000B0184"/>
    <w:rsid w:val="000F3595"/>
    <w:rsid w:val="00232ABA"/>
    <w:rsid w:val="0028584E"/>
    <w:rsid w:val="003C4991"/>
    <w:rsid w:val="00576FE5"/>
    <w:rsid w:val="0074743F"/>
    <w:rsid w:val="00CA5DDE"/>
    <w:rsid w:val="00E2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9BF6B7"/>
  <w15:chartTrackingRefBased/>
  <w15:docId w15:val="{8D6071F2-C899-46BF-8627-67DB3BE9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FE5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3C4991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C499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3C499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3C499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3C4991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3C499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3C4991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3C4991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3C4991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3C499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3C499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  <w14:ligatures w14:val="none"/>
    </w:rPr>
  </w:style>
  <w:style w:type="paragraph" w:customStyle="1" w:styleId="TSP22heading2">
    <w:name w:val="TSP_2.2_heading2"/>
    <w:qFormat/>
    <w:rsid w:val="003C499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  <w14:ligatures w14:val="none"/>
    </w:rPr>
  </w:style>
  <w:style w:type="paragraph" w:customStyle="1" w:styleId="TSP23heading3">
    <w:name w:val="TSP_2.3_heading3"/>
    <w:qFormat/>
    <w:rsid w:val="003C499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31text">
    <w:name w:val="TSP_3.1_text"/>
    <w:qFormat/>
    <w:rsid w:val="003C499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3C4991"/>
    <w:pPr>
      <w:ind w:firstLine="0"/>
    </w:pPr>
  </w:style>
  <w:style w:type="paragraph" w:customStyle="1" w:styleId="TSP33textspaceafter">
    <w:name w:val="TSP_3.3_text_space_after"/>
    <w:qFormat/>
    <w:rsid w:val="003C499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3C4991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3C499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3C4991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7itemize">
    <w:name w:val="TSP_3.7_itemize"/>
    <w:qFormat/>
    <w:rsid w:val="003C4991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8bullet">
    <w:name w:val="TSP_3.8_bullet"/>
    <w:qFormat/>
    <w:rsid w:val="003C4991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9equation">
    <w:name w:val="TSP_3.9_equation"/>
    <w:qFormat/>
    <w:rsid w:val="003C499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3C4991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3C4991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3C499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C499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3C499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3C4991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3C499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3C499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3C4991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14:ligatures w14:val="none"/>
    </w:rPr>
  </w:style>
  <w:style w:type="paragraph" w:customStyle="1" w:styleId="TSP62BackMatter">
    <w:name w:val="TSP_6.2_BackMatter"/>
    <w:qFormat/>
    <w:rsid w:val="003C499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3C4991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3C4991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  <w14:ligatures w14:val="none"/>
    </w:rPr>
  </w:style>
  <w:style w:type="paragraph" w:customStyle="1" w:styleId="TSP71References">
    <w:name w:val="TSP_7.1_References"/>
    <w:qFormat/>
    <w:rsid w:val="003C4991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3C4991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3C4991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82proof">
    <w:name w:val="TSP_8.2_proof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equationFram">
    <w:name w:val="TSP_equationFram"/>
    <w:qFormat/>
    <w:rsid w:val="003C4991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footer">
    <w:name w:val="TSP_footer"/>
    <w:qFormat/>
    <w:rsid w:val="003C499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3C4991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3C499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3C4991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3C4991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headertsplogo">
    <w:name w:val="TSP_header_tsp_logo"/>
    <w:qFormat/>
    <w:rsid w:val="003C499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text">
    <w:name w:val="TSP_text"/>
    <w:qFormat/>
    <w:rsid w:val="003C4991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  <w14:ligatures w14:val="none"/>
    </w:rPr>
  </w:style>
  <w:style w:type="paragraph" w:customStyle="1" w:styleId="TSPtitle">
    <w:name w:val="TSP_title"/>
    <w:qFormat/>
    <w:rsid w:val="003C499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paragraph" w:styleId="BodyText">
    <w:name w:val="Body Text"/>
    <w:link w:val="BodyTextChar"/>
    <w:uiPriority w:val="1"/>
    <w:qFormat/>
    <w:rsid w:val="00576FE5"/>
    <w:pPr>
      <w:spacing w:after="120" w:line="340" w:lineRule="atLeast"/>
      <w:jc w:val="both"/>
    </w:pPr>
    <w:rPr>
      <w:rFonts w:ascii="Minion Pro" w:eastAsia="宋体" w:hAnsi="Minion Pro" w:cs="Times New Roman"/>
      <w:color w:val="000000"/>
      <w:sz w:val="24"/>
      <w:szCs w:val="20"/>
      <w:lang w:eastAsia="de-DE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576FE5"/>
    <w:rPr>
      <w:rFonts w:ascii="Minion Pro" w:eastAsia="宋体" w:hAnsi="Minion Pro" w:cs="Times New Roman"/>
      <w:color w:val="000000"/>
      <w:sz w:val="24"/>
      <w:szCs w:val="20"/>
      <w:lang w:eastAsia="de-DE"/>
      <w14:ligatures w14:val="none"/>
    </w:rPr>
  </w:style>
  <w:style w:type="paragraph" w:styleId="ListParagraph">
    <w:name w:val="List Paragraph"/>
    <w:basedOn w:val="Normal"/>
    <w:uiPriority w:val="1"/>
    <w:qFormat/>
    <w:rsid w:val="00576FE5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customStyle="1" w:styleId="TableParagraph">
    <w:name w:val="Table Paragraph"/>
    <w:basedOn w:val="Normal"/>
    <w:uiPriority w:val="1"/>
    <w:qFormat/>
    <w:rsid w:val="00576FE5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noProof w:val="0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</dc:creator>
  <cp:keywords/>
  <dc:description/>
  <cp:lastModifiedBy>Tech Science</cp:lastModifiedBy>
  <cp:revision>1</cp:revision>
  <dcterms:created xsi:type="dcterms:W3CDTF">2025-09-25T07:56:00Z</dcterms:created>
  <dcterms:modified xsi:type="dcterms:W3CDTF">2025-09-25T07:59:00Z</dcterms:modified>
</cp:coreProperties>
</file>