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CBF1FF" w14:textId="77777777" w:rsidR="00E333AD" w:rsidRDefault="00E333AD" w:rsidP="00E333AD">
      <w:pPr>
        <w:pStyle w:val="TSP52figure"/>
      </w:pPr>
      <w:r>
        <w:rPr>
          <w:rFonts w:hint="eastAsia"/>
        </w:rPr>
        <w:drawing>
          <wp:inline distT="0" distB="0" distL="0" distR="0" wp14:anchorId="67707A85" wp14:editId="61192312">
            <wp:extent cx="3058160" cy="1772920"/>
            <wp:effectExtent l="0" t="0" r="889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8687" cy="1773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0FB9A6" w14:textId="21743DC8" w:rsidR="00E333AD" w:rsidRDefault="00E333AD" w:rsidP="00E333AD">
      <w:pPr>
        <w:pStyle w:val="TSP51figurecaption"/>
      </w:pPr>
      <w:r w:rsidRPr="00E333AD">
        <w:rPr>
          <w:b/>
        </w:rPr>
        <w:t>Figure S1:</w:t>
      </w:r>
      <w:r>
        <w:t xml:space="preserve"> </w:t>
      </w:r>
      <w:r>
        <w:t xml:space="preserve">A375 and A375R cells were treated with different concentrations of </w:t>
      </w:r>
      <w:proofErr w:type="spellStart"/>
      <w:r>
        <w:t>RocA</w:t>
      </w:r>
      <w:proofErr w:type="spellEnd"/>
      <w:r>
        <w:t xml:space="preserve"> </w:t>
      </w:r>
      <w:proofErr w:type="gramStart"/>
      <w:r>
        <w:t>( 10</w:t>
      </w:r>
      <w:proofErr w:type="gramEnd"/>
      <w:r>
        <w:t xml:space="preserve">, 30, 50, 100, 200, and 300 </w:t>
      </w:r>
      <w:proofErr w:type="spellStart"/>
      <w:proofErr w:type="gramStart"/>
      <w:r>
        <w:t>nM</w:t>
      </w:r>
      <w:proofErr w:type="spellEnd"/>
      <w:r>
        <w:t xml:space="preserve"> )</w:t>
      </w:r>
      <w:proofErr w:type="gramEnd"/>
      <w:r>
        <w:t xml:space="preserve"> for 48 hours. Cell apoptosis was detected by TUNEL assay</w:t>
      </w:r>
      <w:r>
        <w:t>.</w:t>
      </w:r>
    </w:p>
    <w:p w14:paraId="4D51FDFB" w14:textId="77777777" w:rsidR="00E333AD" w:rsidRDefault="00E333AD" w:rsidP="00E333AD">
      <w:pPr>
        <w:pStyle w:val="TSP52figure"/>
      </w:pPr>
      <w:r>
        <w:rPr>
          <w:rFonts w:hint="eastAsia"/>
        </w:rPr>
        <w:drawing>
          <wp:inline distT="0" distB="0" distL="0" distR="0" wp14:anchorId="1C6352D1" wp14:editId="296CD745">
            <wp:extent cx="2875915" cy="3176270"/>
            <wp:effectExtent l="0" t="0" r="635" b="508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572" cy="3181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C88846" w14:textId="11BE4086" w:rsidR="00E333AD" w:rsidRDefault="00E333AD" w:rsidP="00E333AD">
      <w:pPr>
        <w:pStyle w:val="TSP51figurecaption"/>
      </w:pPr>
      <w:r w:rsidRPr="00E333AD">
        <w:rPr>
          <w:b/>
        </w:rPr>
        <w:t>Figure S2:</w:t>
      </w:r>
      <w:r>
        <w:t xml:space="preserve"> </w:t>
      </w:r>
      <w:r>
        <w:t xml:space="preserve">A375R cells were co-treated with VEM (1 and 10 </w:t>
      </w:r>
      <w:proofErr w:type="spellStart"/>
      <w:r>
        <w:t>μM</w:t>
      </w:r>
      <w:proofErr w:type="spellEnd"/>
      <w:r>
        <w:t xml:space="preserve">) and </w:t>
      </w:r>
      <w:proofErr w:type="spellStart"/>
      <w:r>
        <w:t>RocA</w:t>
      </w:r>
      <w:proofErr w:type="spellEnd"/>
      <w:r>
        <w:t xml:space="preserve"> (50, 100, and 200 </w:t>
      </w:r>
      <w:proofErr w:type="spellStart"/>
      <w:r>
        <w:t>nM</w:t>
      </w:r>
      <w:proofErr w:type="spellEnd"/>
      <w:r>
        <w:t xml:space="preserve">) for </w:t>
      </w:r>
      <w:r>
        <w:rPr>
          <w:rFonts w:hint="eastAsia"/>
        </w:rPr>
        <w:t>48</w:t>
      </w:r>
      <w:r>
        <w:t xml:space="preserve"> hours. Cell apoptosis was detected by TUNEL assay</w:t>
      </w:r>
      <w:r>
        <w:t>.</w:t>
      </w:r>
    </w:p>
    <w:p w14:paraId="4020D779" w14:textId="77777777" w:rsidR="00E333AD" w:rsidRDefault="00E333AD" w:rsidP="00E333AD">
      <w:pPr>
        <w:pStyle w:val="TSP52figure"/>
      </w:pPr>
      <w:r>
        <w:rPr>
          <w:rFonts w:hint="eastAsia"/>
        </w:rPr>
        <w:lastRenderedPageBreak/>
        <w:drawing>
          <wp:inline distT="0" distB="0" distL="0" distR="0" wp14:anchorId="4F8B4683" wp14:editId="2D1CDE44">
            <wp:extent cx="2586355" cy="3068955"/>
            <wp:effectExtent l="0" t="0" r="4445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8707" cy="3071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F7021E" w14:textId="39719EFB" w:rsidR="00E333AD" w:rsidRDefault="00E333AD" w:rsidP="00E333AD">
      <w:pPr>
        <w:pStyle w:val="TSP51figurecaption"/>
      </w:pPr>
      <w:r w:rsidRPr="00E333AD">
        <w:rPr>
          <w:b/>
        </w:rPr>
        <w:t>Figure S3:</w:t>
      </w:r>
      <w:r>
        <w:t xml:space="preserve"> </w:t>
      </w:r>
      <w:r>
        <w:t xml:space="preserve">A375 cells were co-treated with VEM (1 and 10 </w:t>
      </w:r>
      <w:proofErr w:type="spellStart"/>
      <w:r>
        <w:t>μM</w:t>
      </w:r>
      <w:proofErr w:type="spellEnd"/>
      <w:r>
        <w:t xml:space="preserve">) and </w:t>
      </w:r>
      <w:proofErr w:type="spellStart"/>
      <w:r>
        <w:t>RocA</w:t>
      </w:r>
      <w:proofErr w:type="spellEnd"/>
      <w:r>
        <w:t xml:space="preserve"> (50, 100, and 200 </w:t>
      </w:r>
      <w:proofErr w:type="spellStart"/>
      <w:r>
        <w:t>nM</w:t>
      </w:r>
      <w:proofErr w:type="spellEnd"/>
      <w:r>
        <w:t xml:space="preserve">) for </w:t>
      </w:r>
      <w:r>
        <w:rPr>
          <w:rFonts w:hint="eastAsia"/>
        </w:rPr>
        <w:t>48</w:t>
      </w:r>
      <w:r>
        <w:t xml:space="preserve"> hours. Cell apoptosis was detected by TUNEL assay</w:t>
      </w:r>
      <w:r>
        <w:t>.</w:t>
      </w:r>
    </w:p>
    <w:p w14:paraId="0D19057B" w14:textId="77777777" w:rsidR="00E333AD" w:rsidRDefault="00E333AD" w:rsidP="00E333AD">
      <w:pPr>
        <w:pStyle w:val="TSP52figure"/>
      </w:pPr>
      <w:r>
        <w:rPr>
          <w:rFonts w:hint="eastAsia"/>
        </w:rPr>
        <w:drawing>
          <wp:inline distT="0" distB="0" distL="0" distR="0" wp14:anchorId="4787A5E7" wp14:editId="39F46888">
            <wp:extent cx="3621405" cy="1709420"/>
            <wp:effectExtent l="0" t="0" r="0" b="508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1950" cy="1709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F3E53A" w14:textId="018E09B3" w:rsidR="00E333AD" w:rsidRDefault="00E333AD" w:rsidP="00E333AD">
      <w:pPr>
        <w:pStyle w:val="TSP51figurecaption"/>
      </w:pPr>
      <w:r w:rsidRPr="00E333AD">
        <w:rPr>
          <w:b/>
        </w:rPr>
        <w:t>Figure S4:</w:t>
      </w:r>
      <w:r>
        <w:t xml:space="preserve"> </w:t>
      </w:r>
      <w:r>
        <w:t xml:space="preserve">A375 cells were transfected with EZH2 siRNA or NC siRNA for 16 hours, followed by </w:t>
      </w:r>
      <w:proofErr w:type="spellStart"/>
      <w:r>
        <w:t>RocA</w:t>
      </w:r>
      <w:proofErr w:type="spellEnd"/>
      <w:r>
        <w:t xml:space="preserve"> treatment (50 and 100 </w:t>
      </w:r>
      <w:proofErr w:type="spellStart"/>
      <w:r>
        <w:t>nM</w:t>
      </w:r>
      <w:proofErr w:type="spellEnd"/>
      <w:r>
        <w:t>) for 48 hours. Cell apoptosis was evaluated using the TUNEL assay</w:t>
      </w:r>
      <w:r>
        <w:t>.</w:t>
      </w:r>
    </w:p>
    <w:p w14:paraId="0EAD95A0" w14:textId="77777777" w:rsidR="00E333AD" w:rsidRDefault="00E333AD" w:rsidP="00E333AD">
      <w:pPr>
        <w:pStyle w:val="TSP52figure"/>
      </w:pPr>
      <w:r>
        <w:rPr>
          <w:rFonts w:hint="eastAsia"/>
        </w:rPr>
        <w:drawing>
          <wp:inline distT="0" distB="0" distL="0" distR="0" wp14:anchorId="705B0C89" wp14:editId="6FFCC985">
            <wp:extent cx="3807460" cy="911225"/>
            <wp:effectExtent l="0" t="0" r="2540" b="317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19474" cy="9143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51CD67" w14:textId="0202DDA2" w:rsidR="00E333AD" w:rsidRDefault="00E333AD" w:rsidP="00E333AD">
      <w:pPr>
        <w:pStyle w:val="TSP51figurecaption"/>
      </w:pPr>
      <w:r w:rsidRPr="00E333AD">
        <w:rPr>
          <w:b/>
        </w:rPr>
        <w:t>Figure S5:</w:t>
      </w:r>
      <w:r>
        <w:t xml:space="preserve"> </w:t>
      </w:r>
      <w:r>
        <w:t xml:space="preserve">A375 cells were treated with </w:t>
      </w:r>
      <w:proofErr w:type="spellStart"/>
      <w:r>
        <w:t>RocA</w:t>
      </w:r>
      <w:proofErr w:type="spellEnd"/>
      <w:r>
        <w:t xml:space="preserve"> (50, 100, and 200 </w:t>
      </w:r>
      <w:proofErr w:type="spellStart"/>
      <w:r>
        <w:t>nM</w:t>
      </w:r>
      <w:proofErr w:type="spellEnd"/>
      <w:r>
        <w:t xml:space="preserve">) and MK-2206 (1.25, 2.5, and 5 </w:t>
      </w:r>
      <w:proofErr w:type="spellStart"/>
      <w:r>
        <w:t>μM</w:t>
      </w:r>
      <w:proofErr w:type="spellEnd"/>
      <w:r>
        <w:t xml:space="preserve">) for 48 </w:t>
      </w:r>
      <w:proofErr w:type="spellStart"/>
      <w:proofErr w:type="gramStart"/>
      <w:r>
        <w:t>hours,or</w:t>
      </w:r>
      <w:proofErr w:type="spellEnd"/>
      <w:proofErr w:type="gramEnd"/>
      <w:r>
        <w:t xml:space="preserve"> transfected with eIF4E siRNA for 16 hours, followed by treatment with </w:t>
      </w:r>
      <w:proofErr w:type="spellStart"/>
      <w:r>
        <w:t>RocA</w:t>
      </w:r>
      <w:proofErr w:type="spellEnd"/>
      <w:r>
        <w:t xml:space="preserve"> (50, 100, and 200 </w:t>
      </w:r>
      <w:proofErr w:type="spellStart"/>
      <w:r>
        <w:t>nM</w:t>
      </w:r>
      <w:proofErr w:type="spellEnd"/>
      <w:r>
        <w:t xml:space="preserve">) for 48 hours. cell </w:t>
      </w:r>
      <w:proofErr w:type="spellStart"/>
      <w:r>
        <w:t>Cell</w:t>
      </w:r>
      <w:proofErr w:type="spellEnd"/>
      <w:r>
        <w:t xml:space="preserve"> apoptosis was evaluated using the TUNEL assay</w:t>
      </w:r>
      <w:r>
        <w:t>.</w:t>
      </w:r>
    </w:p>
    <w:sectPr w:rsidR="00E333AD" w:rsidSect="00754991">
      <w:pgSz w:w="11906" w:h="16838"/>
      <w:pgMar w:top="1440" w:right="1800" w:bottom="1440" w:left="180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inion Pro">
    <w:panose1 w:val="02040503050201020203"/>
    <w:charset w:val="00"/>
    <w:family w:val="roman"/>
    <w:notTrueType/>
    <w:pitch w:val="variable"/>
    <w:sig w:usb0="E00002AF" w:usb1="5000E07B" w:usb2="00000000" w:usb3="00000000" w:csb0="000001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B468F5"/>
    <w:multiLevelType w:val="hybridMultilevel"/>
    <w:tmpl w:val="CC4E56EA"/>
    <w:lvl w:ilvl="0" w:tplc="E264CA32">
      <w:start w:val="1"/>
      <w:numFmt w:val="bullet"/>
      <w:lvlRestart w:val="0"/>
      <w:pStyle w:val="TSP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52085B"/>
    <w:multiLevelType w:val="hybridMultilevel"/>
    <w:tmpl w:val="CB98231C"/>
    <w:lvl w:ilvl="0" w:tplc="664029F2">
      <w:start w:val="1"/>
      <w:numFmt w:val="decimal"/>
      <w:lvlRestart w:val="0"/>
      <w:pStyle w:val="TSP71FootNotes"/>
      <w:lvlText w:val="%1."/>
      <w:lvlJc w:val="left"/>
      <w:pPr>
        <w:ind w:left="425" w:hanging="425"/>
      </w:pPr>
      <w:rPr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0012E46"/>
    <w:multiLevelType w:val="hybridMultilevel"/>
    <w:tmpl w:val="88C2FAD8"/>
    <w:lvl w:ilvl="0" w:tplc="5C06B1C6">
      <w:start w:val="1"/>
      <w:numFmt w:val="decimal"/>
      <w:pStyle w:val="TSP71References"/>
      <w:lvlText w:val="%1."/>
      <w:lvlJc w:val="left"/>
      <w:pPr>
        <w:ind w:left="360" w:hanging="360"/>
      </w:pPr>
      <w:rPr>
        <w:rFonts w:hint="eastAsia"/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6311A3B"/>
    <w:multiLevelType w:val="hybridMultilevel"/>
    <w:tmpl w:val="9EF4A612"/>
    <w:lvl w:ilvl="0" w:tplc="BED0D818">
      <w:start w:val="1"/>
      <w:numFmt w:val="decimal"/>
      <w:lvlRestart w:val="0"/>
      <w:pStyle w:val="TSP37itemize"/>
      <w:lvlText w:val="%1."/>
      <w:lvlJc w:val="left"/>
      <w:pPr>
        <w:tabs>
          <w:tab w:val="num" w:pos="0"/>
        </w:tabs>
        <w:ind w:left="425" w:hanging="425"/>
      </w:pPr>
      <w:rPr>
        <w:rFonts w:hint="eastAsia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color w:val="auto"/>
        <w:sz w:val="20"/>
        <w:u w:val="none"/>
        <w:effect w:val="none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4048" w:hanging="360"/>
      </w:pPr>
    </w:lvl>
    <w:lvl w:ilvl="2" w:tplc="0409001B" w:tentative="1">
      <w:start w:val="1"/>
      <w:numFmt w:val="lowerRoman"/>
      <w:lvlText w:val="%3."/>
      <w:lvlJc w:val="right"/>
      <w:pPr>
        <w:ind w:left="4768" w:hanging="180"/>
      </w:pPr>
    </w:lvl>
    <w:lvl w:ilvl="3" w:tplc="0409000F" w:tentative="1">
      <w:start w:val="1"/>
      <w:numFmt w:val="decimal"/>
      <w:lvlText w:val="%4."/>
      <w:lvlJc w:val="left"/>
      <w:pPr>
        <w:ind w:left="5488" w:hanging="360"/>
      </w:pPr>
    </w:lvl>
    <w:lvl w:ilvl="4" w:tplc="04090019" w:tentative="1">
      <w:start w:val="1"/>
      <w:numFmt w:val="lowerLetter"/>
      <w:lvlText w:val="%5."/>
      <w:lvlJc w:val="left"/>
      <w:pPr>
        <w:ind w:left="6208" w:hanging="360"/>
      </w:pPr>
    </w:lvl>
    <w:lvl w:ilvl="5" w:tplc="0409001B" w:tentative="1">
      <w:start w:val="1"/>
      <w:numFmt w:val="lowerRoman"/>
      <w:lvlText w:val="%6."/>
      <w:lvlJc w:val="right"/>
      <w:pPr>
        <w:ind w:left="6928" w:hanging="180"/>
      </w:pPr>
    </w:lvl>
    <w:lvl w:ilvl="6" w:tplc="0409000F" w:tentative="1">
      <w:start w:val="1"/>
      <w:numFmt w:val="decimal"/>
      <w:lvlText w:val="%7."/>
      <w:lvlJc w:val="left"/>
      <w:pPr>
        <w:ind w:left="7648" w:hanging="360"/>
      </w:pPr>
    </w:lvl>
    <w:lvl w:ilvl="7" w:tplc="04090019" w:tentative="1">
      <w:start w:val="1"/>
      <w:numFmt w:val="lowerLetter"/>
      <w:lvlText w:val="%8."/>
      <w:lvlJc w:val="left"/>
      <w:pPr>
        <w:ind w:left="8368" w:hanging="360"/>
      </w:pPr>
    </w:lvl>
    <w:lvl w:ilvl="8" w:tplc="0409001B" w:tentative="1">
      <w:start w:val="1"/>
      <w:numFmt w:val="lowerRoman"/>
      <w:lvlText w:val="%9."/>
      <w:lvlJc w:val="right"/>
      <w:pPr>
        <w:ind w:left="9088" w:hanging="180"/>
      </w:pPr>
    </w:lvl>
  </w:abstractNum>
  <w:num w:numId="1" w16cid:durableId="777678276">
    <w:abstractNumId w:val="3"/>
  </w:num>
  <w:num w:numId="2" w16cid:durableId="889414082">
    <w:abstractNumId w:val="0"/>
  </w:num>
  <w:num w:numId="3" w16cid:durableId="427427834">
    <w:abstractNumId w:val="1"/>
  </w:num>
  <w:num w:numId="4" w16cid:durableId="99792104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33AD"/>
    <w:rsid w:val="002F333B"/>
    <w:rsid w:val="00754991"/>
    <w:rsid w:val="00B663D4"/>
    <w:rsid w:val="00C23ACB"/>
    <w:rsid w:val="00E040A6"/>
    <w:rsid w:val="00E333AD"/>
    <w:rsid w:val="00FD5D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6581FE0D"/>
  <w15:chartTrackingRefBased/>
  <w15:docId w15:val="{9B61075F-8006-45AD-B968-AA50F85C8D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jc w:val="both"/>
    </w:pPr>
  </w:style>
  <w:style w:type="paragraph" w:styleId="Heading1">
    <w:name w:val="heading 1"/>
    <w:basedOn w:val="Normal"/>
    <w:next w:val="Normal"/>
    <w:link w:val="Heading1Char"/>
    <w:uiPriority w:val="9"/>
    <w:qFormat/>
    <w:rsid w:val="00E333A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E333A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E333AD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E333A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E333AD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E333A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E333A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E333A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E333A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SP11articletype">
    <w:name w:val="TSP_1.1_article_type"/>
    <w:next w:val="Normal"/>
    <w:qFormat/>
    <w:rsid w:val="00C23ACB"/>
    <w:pPr>
      <w:adjustRightInd w:val="0"/>
      <w:snapToGrid w:val="0"/>
      <w:spacing w:before="240" w:after="0" w:line="240" w:lineRule="atLeast"/>
    </w:pPr>
    <w:rPr>
      <w:rFonts w:ascii="Minion Pro" w:eastAsia="Times New Roman" w:hAnsi="Minion Pro" w:cs="Times New Roman"/>
      <w:b/>
      <w:caps/>
      <w:snapToGrid w:val="0"/>
      <w:color w:val="000000"/>
      <w:kern w:val="0"/>
      <w:sz w:val="18"/>
      <w:u w:val="single"/>
      <w:lang w:eastAsia="de-DE" w:bidi="en-US"/>
      <w14:ligatures w14:val="none"/>
    </w:rPr>
  </w:style>
  <w:style w:type="paragraph" w:customStyle="1" w:styleId="TSP110doinum">
    <w:name w:val="TSP_1.10_doinum"/>
    <w:basedOn w:val="Normal"/>
    <w:qFormat/>
    <w:rsid w:val="00C23ACB"/>
    <w:pPr>
      <w:widowControl/>
      <w:spacing w:after="240" w:line="60" w:lineRule="atLeast"/>
      <w:jc w:val="left"/>
    </w:pPr>
    <w:rPr>
      <w:rFonts w:ascii="Minion Pro" w:hAnsi="Minion Pro" w:cs="Times New Roman"/>
      <w:color w:val="000000"/>
      <w:sz w:val="14"/>
      <w:szCs w:val="20"/>
    </w:rPr>
  </w:style>
  <w:style w:type="paragraph" w:customStyle="1" w:styleId="TSP12title">
    <w:name w:val="TSP_1.2_title"/>
    <w:next w:val="Normal"/>
    <w:qFormat/>
    <w:rsid w:val="00C23ACB"/>
    <w:pPr>
      <w:adjustRightInd w:val="0"/>
      <w:snapToGrid w:val="0"/>
      <w:spacing w:before="240" w:after="240" w:line="240" w:lineRule="atLeast"/>
    </w:pPr>
    <w:rPr>
      <w:rFonts w:ascii="Minion Pro" w:eastAsia="Times New Roman" w:hAnsi="Minion Pro" w:cs="Times New Roman"/>
      <w:b/>
      <w:snapToGrid w:val="0"/>
      <w:color w:val="000000"/>
      <w:kern w:val="0"/>
      <w:sz w:val="28"/>
      <w:szCs w:val="20"/>
      <w:lang w:eastAsia="de-DE" w:bidi="en-US"/>
      <w14:ligatures w14:val="none"/>
    </w:rPr>
  </w:style>
  <w:style w:type="paragraph" w:customStyle="1" w:styleId="TSP13authornames">
    <w:name w:val="TSP_1.3_authornames"/>
    <w:next w:val="Normal"/>
    <w:qFormat/>
    <w:rsid w:val="00C23ACB"/>
    <w:pPr>
      <w:adjustRightInd w:val="0"/>
      <w:snapToGrid w:val="0"/>
      <w:spacing w:before="240" w:after="240" w:line="240" w:lineRule="atLeast"/>
    </w:pPr>
    <w:rPr>
      <w:rFonts w:ascii="Minion Pro" w:eastAsia="Times New Roman" w:hAnsi="Minion Pro" w:cs="Times New Roman"/>
      <w:b/>
      <w:color w:val="000000"/>
      <w:kern w:val="0"/>
      <w:lang w:eastAsia="de-DE" w:bidi="en-US"/>
      <w14:ligatures w14:val="none"/>
    </w:rPr>
  </w:style>
  <w:style w:type="paragraph" w:customStyle="1" w:styleId="TSP14history">
    <w:name w:val="TSP_1.4_history"/>
    <w:basedOn w:val="Normal"/>
    <w:next w:val="Normal"/>
    <w:autoRedefine/>
    <w:qFormat/>
    <w:rsid w:val="00C23ACB"/>
    <w:pPr>
      <w:widowControl/>
      <w:adjustRightInd w:val="0"/>
      <w:snapToGrid w:val="0"/>
      <w:spacing w:before="60" w:after="240" w:line="240" w:lineRule="atLeast"/>
      <w:jc w:val="left"/>
    </w:pPr>
    <w:rPr>
      <w:rFonts w:ascii="Minion Pro" w:eastAsia="Times New Roman" w:hAnsi="Minion Pro" w:cs="Times New Roman"/>
      <w:color w:val="000000"/>
      <w:kern w:val="0"/>
      <w:sz w:val="18"/>
      <w:szCs w:val="20"/>
      <w:lang w:eastAsia="de-DE" w:bidi="en-US"/>
      <w14:ligatures w14:val="none"/>
    </w:rPr>
  </w:style>
  <w:style w:type="paragraph" w:customStyle="1" w:styleId="TSP15academiceditor">
    <w:name w:val="TSP_1.5_academic_editor"/>
    <w:qFormat/>
    <w:rsid w:val="00C23ACB"/>
    <w:pPr>
      <w:adjustRightInd w:val="0"/>
      <w:snapToGrid w:val="0"/>
      <w:spacing w:before="120" w:after="120" w:line="240" w:lineRule="atLeast"/>
    </w:pPr>
    <w:rPr>
      <w:rFonts w:ascii="Minion Pro" w:eastAsia="Times New Roman" w:hAnsi="Minion Pro" w:cs="Times New Roman"/>
      <w:color w:val="000000"/>
      <w:kern w:val="0"/>
      <w:sz w:val="18"/>
      <w:lang w:eastAsia="de-DE" w:bidi="en-US"/>
      <w14:ligatures w14:val="none"/>
    </w:rPr>
  </w:style>
  <w:style w:type="paragraph" w:customStyle="1" w:styleId="TSP16affiliation">
    <w:name w:val="TSP_1.6_affiliation"/>
    <w:qFormat/>
    <w:rsid w:val="00C23ACB"/>
    <w:pPr>
      <w:adjustRightInd w:val="0"/>
      <w:snapToGrid w:val="0"/>
      <w:spacing w:after="0" w:line="240" w:lineRule="atLeast"/>
      <w:ind w:left="57" w:hanging="57"/>
    </w:pPr>
    <w:rPr>
      <w:rFonts w:ascii="Minion Pro" w:eastAsia="Times New Roman" w:hAnsi="Minion Pro" w:cs="Times New Roman"/>
      <w:color w:val="000000"/>
      <w:kern w:val="0"/>
      <w:sz w:val="18"/>
      <w:szCs w:val="18"/>
      <w:lang w:eastAsia="de-DE" w:bidi="en-US"/>
      <w14:ligatures w14:val="none"/>
    </w:rPr>
  </w:style>
  <w:style w:type="paragraph" w:customStyle="1" w:styleId="TSP17abstract">
    <w:name w:val="TSP_1.7_abstract"/>
    <w:next w:val="Normal"/>
    <w:qFormat/>
    <w:rsid w:val="00C23ACB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color w:val="000000"/>
      <w:kern w:val="0"/>
      <w:sz w:val="20"/>
      <w:lang w:eastAsia="de-DE" w:bidi="en-US"/>
      <w14:ligatures w14:val="none"/>
    </w:rPr>
  </w:style>
  <w:style w:type="paragraph" w:customStyle="1" w:styleId="TSP18keywords">
    <w:name w:val="TSP_1.8_keywords"/>
    <w:next w:val="Normal"/>
    <w:qFormat/>
    <w:rsid w:val="00C23ACB"/>
    <w:pPr>
      <w:adjustRightInd w:val="0"/>
      <w:snapToGrid w:val="0"/>
      <w:spacing w:before="240" w:after="0" w:line="240" w:lineRule="atLeast"/>
      <w:jc w:val="both"/>
    </w:pPr>
    <w:rPr>
      <w:rFonts w:ascii="Minion Pro" w:eastAsia="Times New Roman" w:hAnsi="Minion Pro" w:cs="Times New Roman"/>
      <w:snapToGrid w:val="0"/>
      <w:color w:val="000000"/>
      <w:kern w:val="0"/>
      <w:sz w:val="20"/>
      <w:lang w:eastAsia="de-DE" w:bidi="en-US"/>
      <w14:ligatures w14:val="none"/>
    </w:rPr>
  </w:style>
  <w:style w:type="paragraph" w:customStyle="1" w:styleId="TSP19classification">
    <w:name w:val="TSP_1.9_classification"/>
    <w:qFormat/>
    <w:rsid w:val="00C23ACB"/>
    <w:pPr>
      <w:spacing w:before="240" w:after="0" w:line="240" w:lineRule="atLeast"/>
      <w:jc w:val="both"/>
    </w:pPr>
    <w:rPr>
      <w:rFonts w:ascii="Minion Pro" w:eastAsia="Times New Roman" w:hAnsi="Minion Pro" w:cs="Times New Roman"/>
      <w:b/>
      <w:color w:val="000000"/>
      <w:kern w:val="0"/>
      <w:sz w:val="20"/>
      <w:lang w:eastAsia="de-DE" w:bidi="en-US"/>
      <w14:ligatures w14:val="none"/>
    </w:rPr>
  </w:style>
  <w:style w:type="paragraph" w:customStyle="1" w:styleId="TSP19line">
    <w:name w:val="TSP_1.9_line"/>
    <w:qFormat/>
    <w:rsid w:val="00C23ACB"/>
    <w:pPr>
      <w:pBdr>
        <w:bottom w:val="single" w:sz="6" w:space="1" w:color="auto"/>
      </w:pBdr>
      <w:adjustRightInd w:val="0"/>
      <w:snapToGrid w:val="0"/>
      <w:spacing w:after="480" w:line="240" w:lineRule="atLeast"/>
      <w:jc w:val="both"/>
    </w:pPr>
    <w:rPr>
      <w:rFonts w:ascii="Minion Pro" w:eastAsia="Times New Roman" w:hAnsi="Minion Pro" w:cs="Cordia New"/>
      <w:color w:val="000000"/>
      <w:kern w:val="0"/>
      <w:sz w:val="20"/>
      <w:szCs w:val="24"/>
      <w:lang w:eastAsia="de-DE" w:bidi="en-US"/>
      <w14:ligatures w14:val="none"/>
    </w:rPr>
  </w:style>
  <w:style w:type="paragraph" w:customStyle="1" w:styleId="TSP21heading1">
    <w:name w:val="TSP_2.1_heading1"/>
    <w:qFormat/>
    <w:rsid w:val="00C23ACB"/>
    <w:pPr>
      <w:adjustRightInd w:val="0"/>
      <w:snapToGrid w:val="0"/>
      <w:spacing w:before="240" w:after="60" w:line="240" w:lineRule="atLeast"/>
      <w:outlineLvl w:val="0"/>
    </w:pPr>
    <w:rPr>
      <w:rFonts w:ascii="Minion Pro" w:eastAsia="Times New Roman" w:hAnsi="Minion Pro" w:cs="Times New Roman"/>
      <w:b/>
      <w:snapToGrid w:val="0"/>
      <w:color w:val="000000"/>
      <w:kern w:val="0"/>
      <w:lang w:eastAsia="de-DE" w:bidi="en-US"/>
      <w14:ligatures w14:val="none"/>
    </w:rPr>
  </w:style>
  <w:style w:type="paragraph" w:customStyle="1" w:styleId="TSP22heading2">
    <w:name w:val="TSP_2.2_heading2"/>
    <w:qFormat/>
    <w:rsid w:val="00C23ACB"/>
    <w:pPr>
      <w:adjustRightInd w:val="0"/>
      <w:snapToGrid w:val="0"/>
      <w:spacing w:before="60" w:after="60" w:line="240" w:lineRule="atLeast"/>
      <w:outlineLvl w:val="1"/>
    </w:pPr>
    <w:rPr>
      <w:rFonts w:ascii="Minion Pro" w:eastAsia="Times New Roman" w:hAnsi="Minion Pro" w:cs="Times New Roman"/>
      <w:b/>
      <w:i/>
      <w:noProof/>
      <w:snapToGrid w:val="0"/>
      <w:color w:val="000000"/>
      <w:kern w:val="0"/>
      <w:lang w:eastAsia="de-DE" w:bidi="en-US"/>
      <w14:ligatures w14:val="none"/>
    </w:rPr>
  </w:style>
  <w:style w:type="paragraph" w:customStyle="1" w:styleId="TSP23heading3">
    <w:name w:val="TSP_2.3_heading3"/>
    <w:qFormat/>
    <w:rsid w:val="00C23ACB"/>
    <w:pPr>
      <w:adjustRightInd w:val="0"/>
      <w:snapToGrid w:val="0"/>
      <w:spacing w:before="60" w:after="60" w:line="240" w:lineRule="atLeast"/>
      <w:outlineLvl w:val="2"/>
    </w:pPr>
    <w:rPr>
      <w:rFonts w:ascii="Minion Pro" w:eastAsia="Times New Roman" w:hAnsi="Minion Pro" w:cs="Times New Roman"/>
      <w:i/>
      <w:snapToGrid w:val="0"/>
      <w:color w:val="000000"/>
      <w:kern w:val="0"/>
      <w:lang w:eastAsia="de-DE" w:bidi="en-US"/>
      <w14:ligatures w14:val="none"/>
    </w:rPr>
  </w:style>
  <w:style w:type="paragraph" w:customStyle="1" w:styleId="TSP31text">
    <w:name w:val="TSP_3.1_text"/>
    <w:qFormat/>
    <w:rsid w:val="00C23ACB"/>
    <w:pPr>
      <w:adjustRightInd w:val="0"/>
      <w:snapToGrid w:val="0"/>
      <w:spacing w:after="6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lang w:eastAsia="de-DE" w:bidi="en-US"/>
      <w14:ligatures w14:val="none"/>
    </w:rPr>
  </w:style>
  <w:style w:type="paragraph" w:customStyle="1" w:styleId="TSP32textnoindent">
    <w:name w:val="TSP_3.2_text_no_indent"/>
    <w:basedOn w:val="TSP31text"/>
    <w:qFormat/>
    <w:rsid w:val="00C23ACB"/>
    <w:pPr>
      <w:ind w:firstLine="0"/>
    </w:pPr>
  </w:style>
  <w:style w:type="paragraph" w:customStyle="1" w:styleId="TSP33textspaceafter">
    <w:name w:val="TSP_3.3_text_space_after"/>
    <w:qFormat/>
    <w:rsid w:val="00C23ACB"/>
    <w:pPr>
      <w:adjustRightInd w:val="0"/>
      <w:snapToGrid w:val="0"/>
      <w:spacing w:after="24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lang w:eastAsia="de-DE" w:bidi="en-US"/>
      <w14:ligatures w14:val="none"/>
    </w:rPr>
  </w:style>
  <w:style w:type="paragraph" w:customStyle="1" w:styleId="TSP34textspacebefore">
    <w:name w:val="TSP_3.4_text_space_before"/>
    <w:qFormat/>
    <w:rsid w:val="00C23ACB"/>
    <w:pPr>
      <w:adjustRightInd w:val="0"/>
      <w:snapToGrid w:val="0"/>
      <w:spacing w:before="240" w:after="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lang w:eastAsia="de-DE" w:bidi="en-US"/>
      <w14:ligatures w14:val="none"/>
    </w:rPr>
  </w:style>
  <w:style w:type="paragraph" w:customStyle="1" w:styleId="TSP35textbeforelist">
    <w:name w:val="TSP_3.5_text_before_list"/>
    <w:qFormat/>
    <w:rsid w:val="00C23ACB"/>
    <w:pPr>
      <w:adjustRightInd w:val="0"/>
      <w:snapToGrid w:val="0"/>
      <w:spacing w:after="6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lang w:eastAsia="de-DE" w:bidi="en-US"/>
      <w14:ligatures w14:val="none"/>
    </w:rPr>
  </w:style>
  <w:style w:type="paragraph" w:customStyle="1" w:styleId="TSP36textafterlist">
    <w:name w:val="TSP_3.6_text_after_list"/>
    <w:qFormat/>
    <w:rsid w:val="00C23ACB"/>
    <w:pPr>
      <w:adjustRightInd w:val="0"/>
      <w:snapToGrid w:val="0"/>
      <w:spacing w:before="60" w:after="0" w:line="240" w:lineRule="atLeast"/>
      <w:ind w:firstLine="425"/>
      <w:jc w:val="both"/>
    </w:pPr>
    <w:rPr>
      <w:rFonts w:ascii="Minion Pro" w:eastAsia="Times New Roman" w:hAnsi="Minion Pro" w:cs="Times New Roman"/>
      <w:snapToGrid w:val="0"/>
      <w:color w:val="000000"/>
      <w:kern w:val="0"/>
      <w:lang w:eastAsia="de-DE" w:bidi="en-US"/>
      <w14:ligatures w14:val="none"/>
    </w:rPr>
  </w:style>
  <w:style w:type="paragraph" w:customStyle="1" w:styleId="TSP37itemize">
    <w:name w:val="TSP_3.7_itemize"/>
    <w:qFormat/>
    <w:rsid w:val="00C23ACB"/>
    <w:pPr>
      <w:numPr>
        <w:numId w:val="1"/>
      </w:num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kern w:val="0"/>
      <w:lang w:eastAsia="de-DE" w:bidi="en-US"/>
      <w14:ligatures w14:val="none"/>
    </w:rPr>
  </w:style>
  <w:style w:type="paragraph" w:customStyle="1" w:styleId="TSP38bullet">
    <w:name w:val="TSP_3.8_bullet"/>
    <w:qFormat/>
    <w:rsid w:val="00C23ACB"/>
    <w:pPr>
      <w:numPr>
        <w:numId w:val="2"/>
      </w:num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kern w:val="0"/>
      <w:lang w:eastAsia="de-DE" w:bidi="en-US"/>
      <w14:ligatures w14:val="none"/>
    </w:rPr>
  </w:style>
  <w:style w:type="paragraph" w:customStyle="1" w:styleId="TSP39equation">
    <w:name w:val="TSP_3.9_equation"/>
    <w:qFormat/>
    <w:rsid w:val="00C23ACB"/>
    <w:pPr>
      <w:adjustRightInd w:val="0"/>
      <w:snapToGrid w:val="0"/>
      <w:spacing w:before="120" w:after="120" w:line="240" w:lineRule="atLeast"/>
    </w:pPr>
    <w:rPr>
      <w:rFonts w:ascii="Minion Pro" w:eastAsia="Times New Roman" w:hAnsi="Minion Pro" w:cs="Times New Roman"/>
      <w:snapToGrid w:val="0"/>
      <w:color w:val="000000"/>
      <w:kern w:val="0"/>
      <w:lang w:eastAsia="de-DE" w:bidi="en-US"/>
      <w14:ligatures w14:val="none"/>
    </w:rPr>
  </w:style>
  <w:style w:type="paragraph" w:customStyle="1" w:styleId="TSP3aequationnumber">
    <w:name w:val="TSP_3.a_equation_number"/>
    <w:qFormat/>
    <w:rsid w:val="00C23ACB"/>
    <w:pPr>
      <w:spacing w:before="120" w:after="120" w:line="240" w:lineRule="atLeast"/>
      <w:jc w:val="right"/>
    </w:pPr>
    <w:rPr>
      <w:rFonts w:ascii="Minion Pro" w:eastAsia="Times New Roman" w:hAnsi="Minion Pro" w:cs="Times New Roman"/>
      <w:snapToGrid w:val="0"/>
      <w:color w:val="000000"/>
      <w:kern w:val="0"/>
      <w:lang w:eastAsia="de-DE" w:bidi="en-US"/>
      <w14:ligatures w14:val="none"/>
    </w:rPr>
  </w:style>
  <w:style w:type="paragraph" w:customStyle="1" w:styleId="TSP411onetablecaption">
    <w:name w:val="TSP_4.1.1_one_table_caption"/>
    <w:qFormat/>
    <w:rsid w:val="00C23ACB"/>
    <w:pPr>
      <w:adjustRightInd w:val="0"/>
      <w:snapToGrid w:val="0"/>
      <w:spacing w:before="240" w:after="120" w:line="240" w:lineRule="atLeast"/>
      <w:jc w:val="center"/>
    </w:pPr>
    <w:rPr>
      <w:rFonts w:ascii="Minion Pro" w:eastAsia="宋体" w:hAnsi="Minion Pro" w:cs="Cordia New"/>
      <w:noProof/>
      <w:color w:val="000000"/>
      <w:kern w:val="0"/>
      <w:sz w:val="20"/>
      <w:lang w:bidi="en-US"/>
      <w14:ligatures w14:val="none"/>
    </w:rPr>
  </w:style>
  <w:style w:type="paragraph" w:customStyle="1" w:styleId="TSP41tablecaption">
    <w:name w:val="TSP_4.1_table_caption"/>
    <w:qFormat/>
    <w:rsid w:val="00C23ACB"/>
    <w:pPr>
      <w:adjustRightInd w:val="0"/>
      <w:snapToGrid w:val="0"/>
      <w:spacing w:before="240" w:after="120" w:line="240" w:lineRule="atLeast"/>
      <w:jc w:val="both"/>
    </w:pPr>
    <w:rPr>
      <w:rFonts w:ascii="Minion Pro" w:eastAsia="Times New Roman" w:hAnsi="Minion Pro" w:cs="Cordia New"/>
      <w:color w:val="000000"/>
      <w:kern w:val="0"/>
      <w:sz w:val="20"/>
      <w:lang w:eastAsia="de-DE" w:bidi="en-US"/>
      <w14:ligatures w14:val="none"/>
    </w:rPr>
  </w:style>
  <w:style w:type="paragraph" w:customStyle="1" w:styleId="TSP42tablebody">
    <w:name w:val="TSP_4.2_table_body"/>
    <w:qFormat/>
    <w:rsid w:val="00C23ACB"/>
    <w:pPr>
      <w:adjustRightInd w:val="0"/>
      <w:snapToGrid w:val="0"/>
      <w:spacing w:after="0" w:line="240" w:lineRule="atLeast"/>
      <w:jc w:val="center"/>
    </w:pPr>
    <w:rPr>
      <w:rFonts w:ascii="Minion Pro" w:eastAsia="Times New Roman" w:hAnsi="Minion Pro" w:cs="Times New Roman"/>
      <w:snapToGrid w:val="0"/>
      <w:color w:val="000000"/>
      <w:kern w:val="0"/>
      <w:sz w:val="20"/>
      <w:szCs w:val="20"/>
      <w:lang w:eastAsia="de-DE" w:bidi="en-US"/>
      <w14:ligatures w14:val="none"/>
    </w:rPr>
  </w:style>
  <w:style w:type="paragraph" w:customStyle="1" w:styleId="TSP43tablefooter">
    <w:name w:val="TSP_4.3_table_footer"/>
    <w:next w:val="TSP31text"/>
    <w:qFormat/>
    <w:rsid w:val="00C23ACB"/>
    <w:pPr>
      <w:adjustRightInd w:val="0"/>
      <w:snapToGrid w:val="0"/>
      <w:spacing w:after="240" w:line="240" w:lineRule="atLeast"/>
      <w:jc w:val="both"/>
    </w:pPr>
    <w:rPr>
      <w:rFonts w:ascii="Minion Pro" w:eastAsia="Times New Roman" w:hAnsi="Minion Pro" w:cs="Cordia New"/>
      <w:color w:val="000000"/>
      <w:kern w:val="0"/>
      <w:sz w:val="20"/>
      <w:lang w:eastAsia="de-DE" w:bidi="en-US"/>
      <w14:ligatures w14:val="none"/>
    </w:rPr>
  </w:style>
  <w:style w:type="paragraph" w:customStyle="1" w:styleId="TSP511onefigurecaption">
    <w:name w:val="TSP_5.1.1_one_figure_caption"/>
    <w:qFormat/>
    <w:rsid w:val="00C23ACB"/>
    <w:pPr>
      <w:adjustRightInd w:val="0"/>
      <w:snapToGrid w:val="0"/>
      <w:spacing w:before="120" w:after="240" w:line="240" w:lineRule="atLeast"/>
      <w:jc w:val="center"/>
    </w:pPr>
    <w:rPr>
      <w:rFonts w:ascii="Minion Pro" w:eastAsia="宋体" w:hAnsi="Minion Pro" w:cs="Times New Roman"/>
      <w:noProof/>
      <w:color w:val="000000"/>
      <w:kern w:val="0"/>
      <w:sz w:val="20"/>
      <w:szCs w:val="20"/>
      <w:lang w:bidi="en-US"/>
      <w14:ligatures w14:val="none"/>
    </w:rPr>
  </w:style>
  <w:style w:type="paragraph" w:customStyle="1" w:styleId="TSP51figurecaption">
    <w:name w:val="TSP_5.1_figure_caption"/>
    <w:qFormat/>
    <w:rsid w:val="00C23ACB"/>
    <w:pPr>
      <w:adjustRightInd w:val="0"/>
      <w:snapToGrid w:val="0"/>
      <w:spacing w:before="120" w:after="240" w:line="240" w:lineRule="atLeast"/>
      <w:jc w:val="both"/>
    </w:pPr>
    <w:rPr>
      <w:rFonts w:ascii="Minion Pro" w:eastAsia="Times New Roman" w:hAnsi="Minion Pro" w:cs="Times New Roman"/>
      <w:color w:val="000000"/>
      <w:kern w:val="0"/>
      <w:sz w:val="20"/>
      <w:szCs w:val="20"/>
      <w:lang w:eastAsia="de-DE" w:bidi="en-US"/>
      <w14:ligatures w14:val="none"/>
    </w:rPr>
  </w:style>
  <w:style w:type="paragraph" w:customStyle="1" w:styleId="TSP52figure">
    <w:name w:val="TSP_5.2_figure"/>
    <w:qFormat/>
    <w:rsid w:val="00C23ACB"/>
    <w:pPr>
      <w:adjustRightInd w:val="0"/>
      <w:snapToGrid w:val="0"/>
      <w:spacing w:before="240" w:after="120" w:line="240" w:lineRule="atLeast"/>
      <w:jc w:val="center"/>
    </w:pPr>
    <w:rPr>
      <w:rFonts w:ascii="Minion Pro" w:eastAsia="Times New Roman" w:hAnsi="Minion Pro" w:cs="Times New Roman"/>
      <w:snapToGrid w:val="0"/>
      <w:color w:val="000000"/>
      <w:kern w:val="0"/>
      <w:sz w:val="20"/>
      <w:szCs w:val="20"/>
      <w:lang w:eastAsia="de-DE" w:bidi="en-US"/>
      <w14:ligatures w14:val="none"/>
    </w:rPr>
  </w:style>
  <w:style w:type="paragraph" w:customStyle="1" w:styleId="TSP61Citation">
    <w:name w:val="TSP_6.1_Citation"/>
    <w:qFormat/>
    <w:rsid w:val="00C23ACB"/>
    <w:pPr>
      <w:adjustRightInd w:val="0"/>
      <w:snapToGrid w:val="0"/>
      <w:spacing w:after="0" w:line="240" w:lineRule="atLeast"/>
    </w:pPr>
    <w:rPr>
      <w:rFonts w:ascii="Minion Pro" w:eastAsia="宋体" w:hAnsi="Minion Pro" w:cs="Cordia New"/>
      <w:kern w:val="0"/>
      <w14:ligatures w14:val="none"/>
    </w:rPr>
  </w:style>
  <w:style w:type="paragraph" w:customStyle="1" w:styleId="TSP62BackMatter">
    <w:name w:val="TSP_6.2_BackMatter"/>
    <w:qFormat/>
    <w:rsid w:val="00C23ACB"/>
    <w:pPr>
      <w:adjustRightInd w:val="0"/>
      <w:snapToGrid w:val="0"/>
      <w:spacing w:before="120" w:after="120" w:line="240" w:lineRule="atLeast"/>
      <w:jc w:val="both"/>
    </w:pPr>
    <w:rPr>
      <w:rFonts w:ascii="Minion Pro" w:eastAsia="Times New Roman" w:hAnsi="Minion Pro" w:cs="Times New Roman"/>
      <w:snapToGrid w:val="0"/>
      <w:color w:val="000000"/>
      <w:kern w:val="0"/>
      <w:sz w:val="20"/>
      <w:szCs w:val="20"/>
      <w:lang w:eastAsia="en-US" w:bidi="en-US"/>
      <w14:ligatures w14:val="none"/>
    </w:rPr>
  </w:style>
  <w:style w:type="paragraph" w:customStyle="1" w:styleId="TSP63Notes">
    <w:name w:val="TSP_6.3_Notes"/>
    <w:qFormat/>
    <w:rsid w:val="00C23ACB"/>
    <w:pPr>
      <w:adjustRightInd w:val="0"/>
      <w:snapToGrid w:val="0"/>
      <w:spacing w:before="60" w:after="60" w:line="228" w:lineRule="auto"/>
      <w:jc w:val="both"/>
    </w:pPr>
    <w:rPr>
      <w:rFonts w:ascii="Minion Pro" w:eastAsia="宋体" w:hAnsi="Minion Pro" w:cs="Times New Roman"/>
      <w:snapToGrid w:val="0"/>
      <w:color w:val="000000"/>
      <w:kern w:val="0"/>
      <w:sz w:val="18"/>
      <w:szCs w:val="20"/>
      <w:lang w:eastAsia="en-US" w:bidi="en-US"/>
      <w14:ligatures w14:val="none"/>
    </w:rPr>
  </w:style>
  <w:style w:type="paragraph" w:customStyle="1" w:styleId="TSP71FootNotes">
    <w:name w:val="TSP_7.1_FootNotes"/>
    <w:qFormat/>
    <w:rsid w:val="00C23ACB"/>
    <w:pPr>
      <w:numPr>
        <w:numId w:val="3"/>
      </w:numPr>
      <w:adjustRightInd w:val="0"/>
      <w:snapToGrid w:val="0"/>
      <w:spacing w:before="60" w:after="60" w:line="228" w:lineRule="auto"/>
      <w:jc w:val="both"/>
    </w:pPr>
    <w:rPr>
      <w:rFonts w:ascii="Minion Pro" w:hAnsi="Minion Pro" w:cs="Times New Roman"/>
      <w:noProof/>
      <w:color w:val="000000"/>
      <w:kern w:val="0"/>
      <w:sz w:val="18"/>
      <w:szCs w:val="20"/>
      <w14:ligatures w14:val="none"/>
    </w:rPr>
  </w:style>
  <w:style w:type="paragraph" w:customStyle="1" w:styleId="TSP71References">
    <w:name w:val="TSP_7.1_References"/>
    <w:qFormat/>
    <w:rsid w:val="00C23ACB"/>
    <w:pPr>
      <w:numPr>
        <w:numId w:val="4"/>
      </w:numPr>
      <w:adjustRightInd w:val="0"/>
      <w:snapToGrid w:val="0"/>
      <w:spacing w:after="0" w:line="228" w:lineRule="auto"/>
      <w:jc w:val="both"/>
    </w:pPr>
    <w:rPr>
      <w:rFonts w:ascii="Minion Pro" w:eastAsia="等线" w:hAnsi="Minion Pro" w:cs="Times New Roman"/>
      <w:color w:val="000000"/>
      <w:kern w:val="0"/>
      <w:sz w:val="20"/>
      <w:szCs w:val="20"/>
      <w:lang w:eastAsia="de-DE" w:bidi="en-US"/>
      <w14:ligatures w14:val="none"/>
    </w:rPr>
  </w:style>
  <w:style w:type="paragraph" w:customStyle="1" w:styleId="TSP72Copyright">
    <w:name w:val="TSP_7.2_Copyright"/>
    <w:qFormat/>
    <w:rsid w:val="00C23ACB"/>
    <w:pPr>
      <w:adjustRightInd w:val="0"/>
      <w:snapToGrid w:val="0"/>
      <w:spacing w:after="0" w:line="192" w:lineRule="auto"/>
      <w:jc w:val="both"/>
    </w:pPr>
    <w:rPr>
      <w:rFonts w:ascii="Minion Pro" w:eastAsia="Times New Roman" w:hAnsi="Minion Pro" w:cs="Times New Roman"/>
      <w:noProof/>
      <w:snapToGrid w:val="0"/>
      <w:color w:val="000000"/>
      <w:kern w:val="0"/>
      <w:sz w:val="18"/>
      <w:szCs w:val="20"/>
      <w:lang w:val="en-GB" w:eastAsia="en-GB"/>
      <w14:ligatures w14:val="none"/>
    </w:rPr>
  </w:style>
  <w:style w:type="paragraph" w:customStyle="1" w:styleId="TSP73CopyrightImage">
    <w:name w:val="TSP_7.3_CopyrightImage"/>
    <w:qFormat/>
    <w:rsid w:val="00C23ACB"/>
    <w:pPr>
      <w:adjustRightInd w:val="0"/>
      <w:snapToGrid w:val="0"/>
      <w:spacing w:before="20" w:after="0" w:line="228" w:lineRule="auto"/>
    </w:pPr>
    <w:rPr>
      <w:rFonts w:ascii="Minion Pro" w:eastAsia="Times New Roman" w:hAnsi="Minion Pro" w:cs="Times New Roman"/>
      <w:color w:val="000000"/>
      <w:kern w:val="0"/>
      <w:sz w:val="18"/>
      <w:szCs w:val="20"/>
      <w:lang w:eastAsia="de-CH"/>
      <w14:ligatures w14:val="none"/>
    </w:rPr>
  </w:style>
  <w:style w:type="paragraph" w:customStyle="1" w:styleId="TSP81theorem">
    <w:name w:val="TSP_8.1_theorem"/>
    <w:qFormat/>
    <w:rsid w:val="00C23ACB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i/>
      <w:snapToGrid w:val="0"/>
      <w:color w:val="000000"/>
      <w:kern w:val="0"/>
      <w:lang w:eastAsia="de-DE" w:bidi="en-US"/>
      <w14:ligatures w14:val="none"/>
    </w:rPr>
  </w:style>
  <w:style w:type="paragraph" w:customStyle="1" w:styleId="TSP82proof">
    <w:name w:val="TSP_8.2_proof"/>
    <w:qFormat/>
    <w:rsid w:val="00C23ACB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snapToGrid w:val="0"/>
      <w:color w:val="000000"/>
      <w:kern w:val="0"/>
      <w:lang w:eastAsia="de-DE" w:bidi="en-US"/>
      <w14:ligatures w14:val="none"/>
    </w:rPr>
  </w:style>
  <w:style w:type="paragraph" w:customStyle="1" w:styleId="TSPequationFram">
    <w:name w:val="TSP_equationFram"/>
    <w:qFormat/>
    <w:rsid w:val="00C23ACB"/>
    <w:pPr>
      <w:adjustRightInd w:val="0"/>
      <w:snapToGrid w:val="0"/>
      <w:spacing w:before="120" w:after="120" w:line="240" w:lineRule="auto"/>
    </w:pPr>
    <w:rPr>
      <w:rFonts w:ascii="Minion Pro" w:eastAsia="Times New Roman" w:hAnsi="Minion Pro" w:cs="Times New Roman"/>
      <w:snapToGrid w:val="0"/>
      <w:color w:val="000000"/>
      <w:kern w:val="0"/>
      <w:lang w:eastAsia="de-DE" w:bidi="en-US"/>
      <w14:ligatures w14:val="none"/>
    </w:rPr>
  </w:style>
  <w:style w:type="paragraph" w:customStyle="1" w:styleId="TSPfooter">
    <w:name w:val="TSP_footer"/>
    <w:qFormat/>
    <w:rsid w:val="00C23ACB"/>
    <w:p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kern w:val="0"/>
      <w:sz w:val="16"/>
      <w:szCs w:val="20"/>
      <w:lang w:eastAsia="de-DE"/>
      <w14:ligatures w14:val="none"/>
    </w:rPr>
  </w:style>
  <w:style w:type="paragraph" w:customStyle="1" w:styleId="TSPfooterfirstpage">
    <w:name w:val="TSP_footer_firstpage"/>
    <w:qFormat/>
    <w:rsid w:val="00C23ACB"/>
    <w:pPr>
      <w:tabs>
        <w:tab w:val="right" w:pos="8845"/>
      </w:tabs>
      <w:suppressAutoHyphens/>
      <w:snapToGrid w:val="0"/>
      <w:spacing w:after="0" w:line="228" w:lineRule="auto"/>
      <w:jc w:val="both"/>
    </w:pPr>
    <w:rPr>
      <w:rFonts w:ascii="Minion Pro" w:eastAsia="Times New Roman" w:hAnsi="Minion Pro" w:cs="Times New Roman"/>
      <w:color w:val="000000"/>
      <w:kern w:val="0"/>
      <w:sz w:val="16"/>
      <w:szCs w:val="20"/>
      <w:lang w:eastAsia="de-DE"/>
      <w14:ligatures w14:val="none"/>
    </w:rPr>
  </w:style>
  <w:style w:type="paragraph" w:customStyle="1" w:styleId="TSPheader">
    <w:name w:val="TSP_header"/>
    <w:qFormat/>
    <w:rsid w:val="00C23ACB"/>
    <w:pPr>
      <w:adjustRightInd w:val="0"/>
      <w:snapToGrid w:val="0"/>
      <w:spacing w:after="0" w:line="228" w:lineRule="auto"/>
      <w:jc w:val="both"/>
    </w:pPr>
    <w:rPr>
      <w:rFonts w:ascii="Minion Pro" w:eastAsia="Times New Roman" w:hAnsi="Minion Pro" w:cs="Times New Roman"/>
      <w:iCs/>
      <w:color w:val="000000"/>
      <w:kern w:val="0"/>
      <w:sz w:val="16"/>
      <w:szCs w:val="20"/>
      <w:lang w:eastAsia="de-DE"/>
      <w14:ligatures w14:val="none"/>
    </w:rPr>
  </w:style>
  <w:style w:type="paragraph" w:customStyle="1" w:styleId="TSPheadercitation">
    <w:name w:val="TSP_header_citation"/>
    <w:qFormat/>
    <w:rsid w:val="00C23ACB"/>
    <w:pPr>
      <w:spacing w:after="0" w:line="228" w:lineRule="auto"/>
    </w:pPr>
    <w:rPr>
      <w:rFonts w:ascii="Minion Pro" w:eastAsia="Times New Roman" w:hAnsi="Minion Pro" w:cs="Times New Roman"/>
      <w:snapToGrid w:val="0"/>
      <w:color w:val="000000"/>
      <w:kern w:val="0"/>
      <w:sz w:val="16"/>
      <w:szCs w:val="20"/>
      <w:lang w:eastAsia="de-DE" w:bidi="en-US"/>
      <w14:ligatures w14:val="none"/>
    </w:rPr>
  </w:style>
  <w:style w:type="paragraph" w:customStyle="1" w:styleId="TSPheaderjournallogo">
    <w:name w:val="TSP_header_journal_logo"/>
    <w:qFormat/>
    <w:rsid w:val="00C23ACB"/>
    <w:pPr>
      <w:adjustRightInd w:val="0"/>
      <w:snapToGrid w:val="0"/>
      <w:spacing w:after="0" w:line="240" w:lineRule="atLeast"/>
    </w:pPr>
    <w:rPr>
      <w:rFonts w:ascii="Minion Pro" w:eastAsia="Times New Roman" w:hAnsi="Minion Pro" w:cs="Times New Roman"/>
      <w:color w:val="000000"/>
      <w:kern w:val="0"/>
      <w:lang w:eastAsia="de-CH"/>
      <w14:ligatures w14:val="none"/>
    </w:rPr>
  </w:style>
  <w:style w:type="paragraph" w:customStyle="1" w:styleId="TSPheadertsplogo">
    <w:name w:val="TSP_header_tsp_logo"/>
    <w:qFormat/>
    <w:rsid w:val="00C23ACB"/>
    <w:pPr>
      <w:adjustRightInd w:val="0"/>
      <w:snapToGrid w:val="0"/>
      <w:spacing w:after="0" w:line="240" w:lineRule="atLeast"/>
      <w:jc w:val="right"/>
    </w:pPr>
    <w:rPr>
      <w:rFonts w:ascii="Minion Pro" w:eastAsia="Times New Roman" w:hAnsi="Minion Pro" w:cs="Times New Roman"/>
      <w:color w:val="000000"/>
      <w:kern w:val="0"/>
      <w:lang w:eastAsia="de-CH"/>
      <w14:ligatures w14:val="none"/>
    </w:rPr>
  </w:style>
  <w:style w:type="paragraph" w:customStyle="1" w:styleId="TSPtext">
    <w:name w:val="TSP_text"/>
    <w:qFormat/>
    <w:rsid w:val="00C23ACB"/>
    <w:pPr>
      <w:snapToGrid w:val="0"/>
      <w:spacing w:after="0" w:line="240" w:lineRule="atLeast"/>
      <w:ind w:firstLine="425"/>
      <w:jc w:val="both"/>
    </w:pPr>
    <w:rPr>
      <w:rFonts w:ascii="Minion Pro" w:eastAsia="Times New Roman" w:hAnsi="Minion Pro" w:cs="Times New Roman"/>
      <w:noProof/>
      <w:snapToGrid w:val="0"/>
      <w:color w:val="000000"/>
      <w:kern w:val="0"/>
      <w:lang w:eastAsia="de-DE" w:bidi="en-US"/>
      <w14:ligatures w14:val="none"/>
    </w:rPr>
  </w:style>
  <w:style w:type="paragraph" w:customStyle="1" w:styleId="TSPtitle">
    <w:name w:val="TSP_title"/>
    <w:qFormat/>
    <w:rsid w:val="00C23ACB"/>
    <w:pPr>
      <w:adjustRightInd w:val="0"/>
      <w:snapToGrid w:val="0"/>
      <w:spacing w:before="240" w:after="240" w:line="240" w:lineRule="atLeast"/>
      <w:jc w:val="both"/>
    </w:pPr>
    <w:rPr>
      <w:rFonts w:ascii="Minion Pro" w:eastAsia="Times New Roman" w:hAnsi="Minion Pro" w:cs="Times New Roman"/>
      <w:b/>
      <w:snapToGrid w:val="0"/>
      <w:color w:val="000000"/>
      <w:kern w:val="0"/>
      <w:sz w:val="28"/>
      <w:szCs w:val="20"/>
      <w:lang w:eastAsia="de-DE" w:bidi="en-US"/>
      <w14:ligatures w14:val="none"/>
    </w:rPr>
  </w:style>
  <w:style w:type="character" w:customStyle="1" w:styleId="Heading1Char">
    <w:name w:val="Heading 1 Char"/>
    <w:basedOn w:val="DefaultParagraphFont"/>
    <w:link w:val="Heading1"/>
    <w:uiPriority w:val="9"/>
    <w:rsid w:val="00E333AD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E333A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E333AD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E333AD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E333AD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E333A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E333A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E333A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E333A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E333A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E333A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E333A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E333A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E333A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E333A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E333A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E333AD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E333A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E333AD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E333AD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tiff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tiff"/><Relationship Id="rId11" Type="http://schemas.openxmlformats.org/officeDocument/2006/relationships/theme" Target="theme/theme1.xml"/><Relationship Id="rId5" Type="http://schemas.openxmlformats.org/officeDocument/2006/relationships/image" Target="media/image1.tif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tif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143</Words>
  <Characters>821</Characters>
  <Application>Microsoft Office Word</Application>
  <DocSecurity>0</DocSecurity>
  <Lines>6</Lines>
  <Paragraphs>1</Paragraphs>
  <ScaleCrop>false</ScaleCrop>
  <Company/>
  <LinksUpToDate>false</LinksUpToDate>
  <CharactersWithSpaces>963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Tech Science Press</dc:creator>
  <cp:keywords/>
  <dc:description/>
  <cp:lastModifiedBy>Tech Science Press</cp:lastModifiedBy>
  <cp:revision>1</cp:revision>
  <dcterms:created xsi:type="dcterms:W3CDTF">2025-12-22T07:23:00Z</dcterms:created>
  <dcterms:modified xsi:type="dcterms:W3CDTF">2025-12-22T07:24:00Z</dcterms:modified>
</cp:coreProperties>
</file>