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2068FA9" w14:textId="77777777" w:rsidR="007504A9" w:rsidRDefault="007504A9" w:rsidP="007504A9">
      <w:pPr>
        <w:pStyle w:val="TSP21heading1"/>
        <w:rPr>
          <w:lang w:eastAsia="zh-CN"/>
        </w:rPr>
      </w:pPr>
      <w:r>
        <w:rPr>
          <w:rFonts w:eastAsia="DFKai-SB"/>
        </w:rPr>
        <w:t>Supplementary Figures</w:t>
      </w:r>
    </w:p>
    <w:p w14:paraId="00C23FA2" w14:textId="77777777" w:rsidR="007504A9" w:rsidRDefault="007504A9" w:rsidP="007504A9">
      <w:pPr>
        <w:pStyle w:val="TSP52figure"/>
        <w:rPr>
          <w:lang w:eastAsia="zh-CN"/>
        </w:rPr>
      </w:pPr>
      <w:r>
        <w:rPr>
          <w:rFonts w:eastAsia="DFKai-SB"/>
          <w:noProof/>
        </w:rPr>
        <w:drawing>
          <wp:inline distT="0" distB="0" distL="0" distR="0" wp14:anchorId="2C1E9BB5" wp14:editId="7F35C0A3">
            <wp:extent cx="4895850" cy="3952046"/>
            <wp:effectExtent l="0" t="0" r="0" b="0"/>
            <wp:docPr id="1063521" name="圖片 6" descr="一張含有 文字, 螢幕擷取畫面, 繪圖, 行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521" name="圖片 6" descr="一張含有 文字, 螢幕擷取畫面, 繪圖, 行 的圖片&#10;&#10;AI 產生的內容可能不正確。"/>
                    <pic:cNvPicPr>
                      <a:picLocks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4960974" cy="4004616"/>
                    </a:xfrm>
                    <a:prstGeom prst="rect">
                      <a:avLst/>
                    </a:prstGeom>
                  </pic:spPr>
                </pic:pic>
              </a:graphicData>
            </a:graphic>
          </wp:inline>
        </w:drawing>
      </w:r>
    </w:p>
    <w:p w14:paraId="370FD96F" w14:textId="77777777" w:rsidR="007504A9" w:rsidRDefault="007504A9" w:rsidP="007504A9">
      <w:pPr>
        <w:pStyle w:val="TSP51figurecaption"/>
        <w:rPr>
          <w:b/>
        </w:rPr>
      </w:pPr>
      <w:r w:rsidRPr="00054E6E">
        <w:rPr>
          <w:b/>
        </w:rPr>
        <w:t>Figure S1:</w:t>
      </w:r>
      <w:r>
        <w:t xml:space="preserve"> BOC knockdown does not affect the proliferation of BFTC909 cells. Real-time cell analysis (RTCA) proliferation assays of BFTC909 cells transduced with </w:t>
      </w:r>
      <w:proofErr w:type="spellStart"/>
      <w:r>
        <w:t>shScramble</w:t>
      </w:r>
      <w:proofErr w:type="spellEnd"/>
      <w:r>
        <w:t xml:space="preserve"> or two independent </w:t>
      </w:r>
      <w:proofErr w:type="spellStart"/>
      <w:r>
        <w:t>shRNAs</w:t>
      </w:r>
      <w:proofErr w:type="spellEnd"/>
      <w:r>
        <w:t xml:space="preserve"> targeting BOC (</w:t>
      </w:r>
      <w:proofErr w:type="spellStart"/>
      <w:r>
        <w:t>shBOC</w:t>
      </w:r>
      <w:proofErr w:type="spellEnd"/>
      <w:r>
        <w:t xml:space="preserve"> #1 and </w:t>
      </w:r>
      <w:proofErr w:type="spellStart"/>
      <w:r>
        <w:t>shBOC</w:t>
      </w:r>
      <w:proofErr w:type="spellEnd"/>
      <w:r>
        <w:t xml:space="preserve"> #2). No significant difference in proliferation index was observed. ns, not significant; two-way ANOVA with repeated measures.</w:t>
      </w:r>
    </w:p>
    <w:p w14:paraId="761537E9" w14:textId="77777777" w:rsidR="007504A9" w:rsidRDefault="007504A9" w:rsidP="007504A9">
      <w:pPr>
        <w:pStyle w:val="TSP52figure"/>
        <w:rPr>
          <w:lang w:eastAsia="zh-CN"/>
        </w:rPr>
      </w:pPr>
      <w:r>
        <w:rPr>
          <w:rFonts w:eastAsia="DFKai-SB"/>
          <w:noProof/>
        </w:rPr>
        <w:lastRenderedPageBreak/>
        <w:drawing>
          <wp:inline distT="0" distB="0" distL="0" distR="0" wp14:anchorId="4832AB1B" wp14:editId="6DC4DDF0">
            <wp:extent cx="4680373" cy="4653915"/>
            <wp:effectExtent l="0" t="0" r="6350" b="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5"/>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4689956" cy="4663444"/>
                    </a:xfrm>
                    <a:prstGeom prst="rect">
                      <a:avLst/>
                    </a:prstGeom>
                  </pic:spPr>
                </pic:pic>
              </a:graphicData>
            </a:graphic>
          </wp:inline>
        </w:drawing>
      </w:r>
    </w:p>
    <w:p w14:paraId="270EE0FA" w14:textId="77777777" w:rsidR="007504A9" w:rsidRDefault="007504A9" w:rsidP="007504A9">
      <w:pPr>
        <w:pStyle w:val="TSP51figurecaption"/>
        <w:rPr>
          <w:b/>
        </w:rPr>
      </w:pPr>
      <w:r w:rsidRPr="00054E6E">
        <w:rPr>
          <w:b/>
        </w:rPr>
        <w:t>Figure S2:</w:t>
      </w:r>
      <w:r>
        <w:t xml:space="preserve"> BOC knockdown suppresses the migration of T24 bladder cancer cells. (A) </w:t>
      </w:r>
      <w:proofErr w:type="spellStart"/>
      <w:r>
        <w:t>qRT</w:t>
      </w:r>
      <w:proofErr w:type="spellEnd"/>
      <w:r>
        <w:t xml:space="preserve">-PCR confirmed efficient knockdown of BOC expression in T24 cells using three independent </w:t>
      </w:r>
      <w:proofErr w:type="spellStart"/>
      <w:r>
        <w:t>shRNAs</w:t>
      </w:r>
      <w:proofErr w:type="spellEnd"/>
      <w:r>
        <w:t xml:space="preserve"> (***, </w:t>
      </w:r>
      <w:r>
        <w:rPr>
          <w:i/>
          <w:iCs/>
        </w:rPr>
        <w:t>p</w:t>
      </w:r>
      <w:r>
        <w:t xml:space="preserve"> &lt; 0.001; one-way ANOVA).</w:t>
      </w:r>
      <w:r>
        <w:rPr>
          <w:rFonts w:eastAsiaTheme="minorEastAsia" w:hint="eastAsia"/>
          <w:lang w:eastAsia="zh-CN"/>
        </w:rPr>
        <w:t xml:space="preserve"> </w:t>
      </w:r>
      <w:r>
        <w:t>(B) Boyden chamber images of migration assay in T24 cells seeded at 3 × 10</w:t>
      </w:r>
      <w:r w:rsidRPr="005B2C67">
        <w:rPr>
          <w:vertAlign w:val="superscript"/>
        </w:rPr>
        <w:t>4</w:t>
      </w:r>
      <w:r>
        <w:t xml:space="preserve"> or 4 × 10</w:t>
      </w:r>
      <w:r w:rsidRPr="005B2C67">
        <w:rPr>
          <w:vertAlign w:val="superscript"/>
        </w:rPr>
        <w:t>4</w:t>
      </w:r>
      <w:r>
        <w:t xml:space="preserve"> cells/well after BOC knockdown. (C) Representative Boyden chamber assay images showing reduced migration of shBOC#1–3 compared with controls. S</w:t>
      </w:r>
      <w:r>
        <w:rPr>
          <w:rFonts w:hint="eastAsia"/>
        </w:rPr>
        <w:t>cale bar</w:t>
      </w:r>
      <w:r>
        <w:t>s</w:t>
      </w:r>
      <w:r>
        <w:rPr>
          <w:rFonts w:hint="eastAsia"/>
        </w:rPr>
        <w:t xml:space="preserve">: 100 </w:t>
      </w:r>
      <w:r>
        <w:t xml:space="preserve">µm. (D) Quantification of migration intensity indicated significant suppression of cell migration in </w:t>
      </w:r>
      <w:proofErr w:type="spellStart"/>
      <w:r>
        <w:t>shBOC</w:t>
      </w:r>
      <w:proofErr w:type="spellEnd"/>
      <w:r>
        <w:t xml:space="preserve"> knockdown groups compared with </w:t>
      </w:r>
      <w:proofErr w:type="spellStart"/>
      <w:r>
        <w:t>shVoid</w:t>
      </w:r>
      <w:proofErr w:type="spellEnd"/>
      <w:r>
        <w:t xml:space="preserve"> and </w:t>
      </w:r>
      <w:proofErr w:type="spellStart"/>
      <w:r>
        <w:t>shScramble</w:t>
      </w:r>
      <w:proofErr w:type="spellEnd"/>
      <w:r>
        <w:t xml:space="preserve"> controls (***, </w:t>
      </w:r>
      <w:r>
        <w:rPr>
          <w:i/>
          <w:iCs/>
        </w:rPr>
        <w:t>p</w:t>
      </w:r>
      <w:r>
        <w:t xml:space="preserve"> &lt; 0.001; one-way ANOVA).</w:t>
      </w:r>
    </w:p>
    <w:p w14:paraId="00D9B010" w14:textId="77777777" w:rsidR="007504A9" w:rsidRDefault="007504A9" w:rsidP="007504A9">
      <w:pPr>
        <w:pStyle w:val="TSP52figure"/>
        <w:rPr>
          <w:lang w:eastAsia="zh-CN"/>
        </w:rPr>
      </w:pPr>
      <w:r>
        <w:rPr>
          <w:rFonts w:eastAsia="DFKai-SB"/>
          <w:noProof/>
        </w:rPr>
        <w:lastRenderedPageBreak/>
        <w:drawing>
          <wp:inline distT="0" distB="0" distL="0" distR="0" wp14:anchorId="2208A68D" wp14:editId="3618BAD9">
            <wp:extent cx="5080202" cy="4234815"/>
            <wp:effectExtent l="0" t="0" r="6350" b="0"/>
            <wp:docPr id="1975004120"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004120" name="圖片 11"/>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5083744" cy="4237768"/>
                    </a:xfrm>
                    <a:prstGeom prst="rect">
                      <a:avLst/>
                    </a:prstGeom>
                  </pic:spPr>
                </pic:pic>
              </a:graphicData>
            </a:graphic>
          </wp:inline>
        </w:drawing>
      </w:r>
    </w:p>
    <w:p w14:paraId="3A44161A" w14:textId="77777777" w:rsidR="007504A9" w:rsidRDefault="007504A9" w:rsidP="007504A9">
      <w:pPr>
        <w:pStyle w:val="TSP51figurecaption"/>
        <w:rPr>
          <w:b/>
        </w:rPr>
      </w:pPr>
      <w:r w:rsidRPr="00054E6E">
        <w:rPr>
          <w:b/>
        </w:rPr>
        <w:t>Figure S3:</w:t>
      </w:r>
      <w:r>
        <w:t xml:space="preserve"> Correlation between BOC expression and metastasis-associated genes in the TCGA BLCA dataset. Correlation analyses were performed using TCGA BLCA RNA-seq data to examine the association between BOC expression and known metastasis-related genes. (A) BOC expression was positively correlated with MMP2, MMP9, CDH2 and showed no significant association with CDH1. (B) BOC expression was significantly associated with mesenchymal/EMT markers, including VIM, SNAI1, SNAI2, and TWIST1. (C) No significant associations were observed between BOC expression and AKT1, TP53, HPRT1, and GAPDH. All statistics were determined using Spearman correlation analysis.</w:t>
      </w:r>
    </w:p>
    <w:p w14:paraId="6110B770" w14:textId="77777777" w:rsidR="007504A9" w:rsidRDefault="007504A9" w:rsidP="007504A9">
      <w:pPr>
        <w:pStyle w:val="TSP52figure"/>
        <w:rPr>
          <w:lang w:eastAsia="zh-CN"/>
        </w:rPr>
      </w:pPr>
      <w:r>
        <w:rPr>
          <w:rFonts w:eastAsia="DFKai-SB"/>
          <w:noProof/>
        </w:rPr>
        <w:lastRenderedPageBreak/>
        <w:drawing>
          <wp:inline distT="0" distB="0" distL="0" distR="0" wp14:anchorId="7658241D" wp14:editId="2E455D4A">
            <wp:extent cx="5086350" cy="7049097"/>
            <wp:effectExtent l="0" t="0" r="0" b="0"/>
            <wp:docPr id="118593286"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93286" name="圖片 12"/>
                    <pic:cNvPicPr>
                      <a:picLocks noChangeAspect="1"/>
                    </pic:cNvPicPr>
                  </pic:nvPicPr>
                  <pic:blipFill>
                    <a:blip r:embed="rId10" cstate="print">
                      <a:extLst>
                        <a:ext uri="{28A0092B-C50C-407E-A947-70E740481C1C}">
                          <a14:useLocalDpi xmlns:a14="http://schemas.microsoft.com/office/drawing/2010/main" val="0"/>
                        </a:ext>
                      </a:extLst>
                    </a:blip>
                    <a:srcRect t="656"/>
                    <a:stretch>
                      <a:fillRect/>
                    </a:stretch>
                  </pic:blipFill>
                  <pic:spPr>
                    <a:xfrm>
                      <a:off x="0" y="0"/>
                      <a:ext cx="5090725" cy="7055161"/>
                    </a:xfrm>
                    <a:prstGeom prst="rect">
                      <a:avLst/>
                    </a:prstGeom>
                    <a:ln>
                      <a:noFill/>
                    </a:ln>
                  </pic:spPr>
                </pic:pic>
              </a:graphicData>
            </a:graphic>
          </wp:inline>
        </w:drawing>
      </w:r>
    </w:p>
    <w:p w14:paraId="595A40BE" w14:textId="77777777" w:rsidR="007504A9" w:rsidRDefault="007504A9" w:rsidP="007504A9">
      <w:pPr>
        <w:pStyle w:val="TSP51figurecaption"/>
        <w:rPr>
          <w:b/>
          <w:sz w:val="22"/>
          <w:szCs w:val="22"/>
        </w:rPr>
      </w:pPr>
      <w:r w:rsidRPr="00054E6E">
        <w:rPr>
          <w:b/>
        </w:rPr>
        <w:t>Figure S4:</w:t>
      </w:r>
      <w:r>
        <w:t xml:space="preserve"> Correlation between BOC expression and Hedgehog pathway genes in the TCGA BLCA dataset. Correlation analyses were performed using TCGA BLCA RNA-seq data to examine the association between BOC expression and key components of the Hedgehog signaling pathway. </w:t>
      </w:r>
      <w:r>
        <w:rPr>
          <w:sz w:val="22"/>
          <w:szCs w:val="22"/>
        </w:rPr>
        <w:t>(A) BOC expression showed negative or weak correlations with SHH and IHH, but a strong positive correlation with DHH.</w:t>
      </w:r>
      <w:r>
        <w:rPr>
          <w:rFonts w:eastAsia="PMingLiU" w:hint="eastAsia"/>
          <w:sz w:val="22"/>
          <w:szCs w:val="22"/>
        </w:rPr>
        <w:t xml:space="preserve"> </w:t>
      </w:r>
      <w:r>
        <w:rPr>
          <w:sz w:val="22"/>
          <w:szCs w:val="22"/>
        </w:rPr>
        <w:t>(B) Among Hedgehog ligand modulators and receptors, BOC expression was positively correlated with HHIP, PTCH1, and PTCH2.</w:t>
      </w:r>
      <w:r>
        <w:rPr>
          <w:rFonts w:eastAsia="PMingLiU" w:hint="eastAsia"/>
          <w:sz w:val="22"/>
          <w:szCs w:val="22"/>
        </w:rPr>
        <w:t xml:space="preserve"> </w:t>
      </w:r>
      <w:r>
        <w:rPr>
          <w:sz w:val="22"/>
          <w:szCs w:val="22"/>
        </w:rPr>
        <w:t xml:space="preserve">(C) Among pathway mediators, BOC expression exhibited a moderate </w:t>
      </w:r>
      <w:r>
        <w:rPr>
          <w:sz w:val="22"/>
          <w:szCs w:val="22"/>
        </w:rPr>
        <w:lastRenderedPageBreak/>
        <w:t>positive correlation with SMO, while no significant association was observed with SUFU.</w:t>
      </w:r>
      <w:r>
        <w:rPr>
          <w:rFonts w:eastAsia="PMingLiU" w:hint="eastAsia"/>
          <w:sz w:val="22"/>
          <w:szCs w:val="22"/>
        </w:rPr>
        <w:t xml:space="preserve"> </w:t>
      </w:r>
      <w:r>
        <w:rPr>
          <w:sz w:val="22"/>
          <w:szCs w:val="22"/>
        </w:rPr>
        <w:t>(D) Strong positive correlations were observed between BOC expression and downstream transcription factors GLI1 and GLI2, with a weaker positive association with GLI3.</w:t>
      </w:r>
      <w:r>
        <w:rPr>
          <w:rFonts w:eastAsia="PMingLiU" w:hint="eastAsia"/>
          <w:sz w:val="22"/>
          <w:szCs w:val="22"/>
        </w:rPr>
        <w:t xml:space="preserve"> </w:t>
      </w:r>
      <w:r>
        <w:rPr>
          <w:sz w:val="22"/>
          <w:szCs w:val="22"/>
        </w:rPr>
        <w:t>(E) BOC expression also showed a positive association with downstream oncogenic targets, including BCL2, while correlations with CCND1, MYC, and FOXM1 were weak or nonsignificant.</w:t>
      </w:r>
      <w:r>
        <w:rPr>
          <w:rFonts w:eastAsia="PMingLiU" w:hint="eastAsia"/>
          <w:sz w:val="22"/>
          <w:szCs w:val="22"/>
        </w:rPr>
        <w:t xml:space="preserve"> </w:t>
      </w:r>
      <w:r>
        <w:rPr>
          <w:sz w:val="22"/>
          <w:szCs w:val="22"/>
        </w:rPr>
        <w:t>All statistics were determined using Spearman correlation analysis.</w:t>
      </w:r>
    </w:p>
    <w:p w14:paraId="767298EE" w14:textId="77777777" w:rsidR="007504A9" w:rsidRDefault="007504A9" w:rsidP="007504A9">
      <w:pPr>
        <w:pStyle w:val="TSP52figure"/>
        <w:rPr>
          <w:lang w:eastAsia="zh-CN"/>
        </w:rPr>
      </w:pPr>
      <w:r>
        <w:rPr>
          <w:rFonts w:eastAsia="DFKai-SB"/>
          <w:noProof/>
        </w:rPr>
        <w:drawing>
          <wp:inline distT="0" distB="0" distL="0" distR="0" wp14:anchorId="596EAD19" wp14:editId="07F3C7D1">
            <wp:extent cx="5124450" cy="1754894"/>
            <wp:effectExtent l="0" t="0" r="0" b="0"/>
            <wp:docPr id="1353352757" name="圖片 8" descr="一張含有 文字, 螢幕擷取畫面, 圖表, 繪圖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352757" name="圖片 8" descr="一張含有 文字, 螢幕擷取畫面, 圖表, 繪圖 的圖片&#10;&#10;AI 產生的內容可能不正確。"/>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133685" cy="1758057"/>
                    </a:xfrm>
                    <a:prstGeom prst="rect">
                      <a:avLst/>
                    </a:prstGeom>
                  </pic:spPr>
                </pic:pic>
              </a:graphicData>
            </a:graphic>
          </wp:inline>
        </w:drawing>
      </w:r>
    </w:p>
    <w:p w14:paraId="2561CF7C" w14:textId="77777777" w:rsidR="007504A9" w:rsidRDefault="007504A9" w:rsidP="007504A9">
      <w:pPr>
        <w:pStyle w:val="TSP51figurecaption"/>
        <w:rPr>
          <w:b/>
        </w:rPr>
      </w:pPr>
      <w:r w:rsidRPr="00054E6E">
        <w:rPr>
          <w:b/>
        </w:rPr>
        <w:t>Figure S5:</w:t>
      </w:r>
      <w:r>
        <w:t xml:space="preserve"> Effect of BOC knockdown on drug response in T24 bladder cancer cells. (A–D) Cell viability assays were performed in T24 cells with BOC knockdown (shBOC#1–3) or control (</w:t>
      </w:r>
      <w:proofErr w:type="spellStart"/>
      <w:r>
        <w:t>shVoid</w:t>
      </w:r>
      <w:proofErr w:type="spellEnd"/>
      <w:r>
        <w:t xml:space="preserve">) following treatment with (A) cisplatin, (B) paclitaxel, (C) gemcitabine, or (D) </w:t>
      </w:r>
      <w:proofErr w:type="spellStart"/>
      <w:r>
        <w:t>epirubicin</w:t>
      </w:r>
      <w:proofErr w:type="spellEnd"/>
      <w:r>
        <w:t xml:space="preserve"> at the indicated concentrations. Data are presented as mean ± SEM. All statistics were determined using one-way ANOVA. ns, not significant.</w:t>
      </w:r>
    </w:p>
    <w:p w14:paraId="3461869D" w14:textId="77777777" w:rsidR="007504A9" w:rsidRDefault="007504A9" w:rsidP="007504A9">
      <w:pPr>
        <w:pStyle w:val="TSP52figure"/>
        <w:rPr>
          <w:lang w:eastAsia="zh-CN"/>
        </w:rPr>
      </w:pPr>
      <w:r>
        <w:rPr>
          <w:rFonts w:eastAsia="DFKai-SB"/>
          <w:noProof/>
        </w:rPr>
        <w:drawing>
          <wp:inline distT="0" distB="0" distL="0" distR="0" wp14:anchorId="69C4C11E" wp14:editId="6D2A39AE">
            <wp:extent cx="4959706" cy="1300645"/>
            <wp:effectExtent l="0" t="0" r="0" b="0"/>
            <wp:docPr id="419366721" name="圖片 9" descr="一張含有 螢幕擷取畫面, 繪圖, 文字, 圖表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9366721" name="圖片 9" descr="一張含有 螢幕擷取畫面, 繪圖, 文字, 圖表 的圖片&#10;&#10;AI 產生的內容可能不正確。"/>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972196" cy="1303920"/>
                    </a:xfrm>
                    <a:prstGeom prst="rect">
                      <a:avLst/>
                    </a:prstGeom>
                  </pic:spPr>
                </pic:pic>
              </a:graphicData>
            </a:graphic>
          </wp:inline>
        </w:drawing>
      </w:r>
    </w:p>
    <w:p w14:paraId="1C760237" w14:textId="77777777" w:rsidR="007504A9" w:rsidRDefault="007504A9" w:rsidP="007504A9">
      <w:pPr>
        <w:pStyle w:val="TSP51figurecaption"/>
        <w:rPr>
          <w:b/>
        </w:rPr>
      </w:pPr>
      <w:r w:rsidRPr="00054E6E">
        <w:rPr>
          <w:b/>
        </w:rPr>
        <w:t>Figure S6:</w:t>
      </w:r>
      <w:r>
        <w:t xml:space="preserve"> Effect of BOC knockdown on drug response in BFTC905 bladder cancer cells. (A–D) Cell viability assays were performed in BFTC905 cells with BOC knockdown (shBOC#1–3) or control (</w:t>
      </w:r>
      <w:proofErr w:type="spellStart"/>
      <w:r>
        <w:t>shVoid</w:t>
      </w:r>
      <w:proofErr w:type="spellEnd"/>
      <w:r>
        <w:t xml:space="preserve">) following treatment with (A) cisplatin, (B) paclitaxel, (C) gemcitabine, or (D) </w:t>
      </w:r>
      <w:proofErr w:type="spellStart"/>
      <w:r>
        <w:t>epirubicin</w:t>
      </w:r>
      <w:proofErr w:type="spellEnd"/>
      <w:r>
        <w:t xml:space="preserve"> at the indicated concentrations. Data are presented as mean ± SEM. All statistics were determined using one-way ANOVA. ns, not significant.</w:t>
      </w:r>
    </w:p>
    <w:p w14:paraId="763FAEE6" w14:textId="77777777" w:rsidR="007504A9" w:rsidRDefault="007504A9" w:rsidP="007504A9">
      <w:pPr>
        <w:pStyle w:val="TSP52figure"/>
        <w:rPr>
          <w:lang w:eastAsia="zh-CN"/>
        </w:rPr>
      </w:pPr>
      <w:r>
        <w:rPr>
          <w:rFonts w:eastAsia="DFKai-SB"/>
          <w:noProof/>
        </w:rPr>
        <w:lastRenderedPageBreak/>
        <w:drawing>
          <wp:inline distT="0" distB="0" distL="0" distR="0" wp14:anchorId="5258EFFE" wp14:editId="73144F11">
            <wp:extent cx="5003597" cy="2965793"/>
            <wp:effectExtent l="0" t="0" r="6985" b="6350"/>
            <wp:docPr id="1543412979"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412979" name="圖片 15"/>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011836" cy="2970677"/>
                    </a:xfrm>
                    <a:prstGeom prst="rect">
                      <a:avLst/>
                    </a:prstGeom>
                  </pic:spPr>
                </pic:pic>
              </a:graphicData>
            </a:graphic>
          </wp:inline>
        </w:drawing>
      </w:r>
    </w:p>
    <w:p w14:paraId="0425B33B" w14:textId="77777777" w:rsidR="007504A9" w:rsidRDefault="007504A9" w:rsidP="007504A9">
      <w:pPr>
        <w:pStyle w:val="TSP51figurecaption"/>
        <w:rPr>
          <w:b/>
        </w:rPr>
      </w:pPr>
      <w:r w:rsidRPr="00054E6E">
        <w:rPr>
          <w:b/>
        </w:rPr>
        <w:t>Figure S7:</w:t>
      </w:r>
      <w:r>
        <w:t xml:space="preserve"> Association between BOC knockdown and Hedgehog pathway gene expression. RNA-seq analysis was performed in BFTC909 cells following BOC knockdown (</w:t>
      </w:r>
      <w:proofErr w:type="spellStart"/>
      <w:r>
        <w:t>shBOC</w:t>
      </w:r>
      <w:proofErr w:type="spellEnd"/>
      <w:r>
        <w:t>) compared with control cells (</w:t>
      </w:r>
      <w:proofErr w:type="spellStart"/>
      <w:r>
        <w:t>shScramble</w:t>
      </w:r>
      <w:proofErr w:type="spellEnd"/>
      <w:r>
        <w:t xml:space="preserve">). Normalized read counts of Hedgehog pathway–related genes, including PTCH1, SMO, SUFU, GLI1, </w:t>
      </w:r>
      <w:proofErr w:type="spellStart"/>
      <w:r>
        <w:t>Myc</w:t>
      </w:r>
      <w:proofErr w:type="spellEnd"/>
      <w:r>
        <w:t>, BCL2, FOXM1, and VEGFA, were examined. BOC knockdown resulted in a significant reduction of VEGFA expression (</w:t>
      </w:r>
      <w:r>
        <w:rPr>
          <w:i/>
        </w:rPr>
        <w:t>p</w:t>
      </w:r>
      <w:r>
        <w:t xml:space="preserve"> = 0.0465), whereas other Hedgehog pathway components showed no significant differences between groups (all </w:t>
      </w:r>
      <w:r>
        <w:rPr>
          <w:i/>
        </w:rPr>
        <w:t>p</w:t>
      </w:r>
      <w:r>
        <w:t xml:space="preserve"> &gt; 0.05, unpaired Student’s </w:t>
      </w:r>
      <w:r>
        <w:rPr>
          <w:i/>
        </w:rPr>
        <w:t>t</w:t>
      </w:r>
      <w:r>
        <w:t>-test). Bars represent the mean ± SEM.</w:t>
      </w:r>
    </w:p>
    <w:p w14:paraId="355993B5" w14:textId="77777777" w:rsidR="007504A9" w:rsidRDefault="007504A9" w:rsidP="007504A9">
      <w:pPr>
        <w:pStyle w:val="TSP52figure"/>
      </w:pPr>
      <w:r>
        <w:rPr>
          <w:noProof/>
        </w:rPr>
        <w:lastRenderedPageBreak/>
        <w:drawing>
          <wp:inline distT="0" distB="0" distL="0" distR="0" wp14:anchorId="2E16E1C0" wp14:editId="3EDF48E2">
            <wp:extent cx="4988560" cy="4044950"/>
            <wp:effectExtent l="0" t="0" r="2540" b="635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6"/>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022488" cy="4072884"/>
                    </a:xfrm>
                    <a:prstGeom prst="rect">
                      <a:avLst/>
                    </a:prstGeom>
                  </pic:spPr>
                </pic:pic>
              </a:graphicData>
            </a:graphic>
          </wp:inline>
        </w:drawing>
      </w:r>
    </w:p>
    <w:p w14:paraId="48846636" w14:textId="77777777" w:rsidR="007504A9" w:rsidRDefault="007504A9" w:rsidP="007504A9">
      <w:pPr>
        <w:pStyle w:val="TSP51figurecaption"/>
      </w:pPr>
      <w:r w:rsidRPr="00054E6E">
        <w:rPr>
          <w:b/>
        </w:rPr>
        <w:t>Figure S8:</w:t>
      </w:r>
      <w:r>
        <w:t xml:space="preserve"> Representative images of BOC IHC quantification in bladder cancer tissues. (A) Immunohistochemistry (IHC) image from the Human Protein Atlas showing BOC localization in the urothelium and lamina propria of normal bladder tissue. (B) Representative IHC images of BOC in bladder cancer tissues. The original IHC images were processed using ImageJ IHC Profiler to generate hematoxylin-enhanced visualizations, threshold segmentation (red), and 3D surface plots for comparison between low-grade and high-grade tumors. All scale bar: 100 µm.</w:t>
      </w:r>
    </w:p>
    <w:p w14:paraId="1A520F32" w14:textId="77777777" w:rsidR="007504A9" w:rsidRDefault="007504A9" w:rsidP="007504A9">
      <w:pPr>
        <w:pStyle w:val="TSP52figure"/>
        <w:rPr>
          <w:lang w:eastAsia="zh-CN"/>
        </w:rPr>
      </w:pPr>
      <w:r>
        <w:rPr>
          <w:rFonts w:eastAsia="DFKai-SB"/>
          <w:noProof/>
        </w:rPr>
        <w:lastRenderedPageBreak/>
        <w:drawing>
          <wp:inline distT="0" distB="0" distL="0" distR="0" wp14:anchorId="16FBE08B" wp14:editId="37F5891F">
            <wp:extent cx="2582266" cy="3361579"/>
            <wp:effectExtent l="0" t="0" r="8890" b="0"/>
            <wp:docPr id="1185112442" name="圖片 13" descr="一張含有 文字, 螢幕擷取畫面, 圖表, 卡通 的圖片&#10;&#10;AI 產生的內容可能不正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112442" name="圖片 13" descr="一張含有 文字, 螢幕擷取畫面, 圖表, 卡通 的圖片&#10;&#10;AI 產生的內容可能不正確。"/>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638745" cy="3435103"/>
                    </a:xfrm>
                    <a:prstGeom prst="rect">
                      <a:avLst/>
                    </a:prstGeom>
                  </pic:spPr>
                </pic:pic>
              </a:graphicData>
            </a:graphic>
          </wp:inline>
        </w:drawing>
      </w:r>
    </w:p>
    <w:p w14:paraId="591DA204" w14:textId="77777777" w:rsidR="007504A9" w:rsidRDefault="007504A9" w:rsidP="007504A9">
      <w:pPr>
        <w:pStyle w:val="TSP51figurecaption"/>
        <w:rPr>
          <w:b/>
        </w:rPr>
      </w:pPr>
      <w:r w:rsidRPr="00054E6E">
        <w:rPr>
          <w:b/>
        </w:rPr>
        <w:t>Figure S9:</w:t>
      </w:r>
      <w:r>
        <w:t xml:space="preserve"> Association between BOC expression and stage in UTUC patients. Relative expression levels of BOC were quantified by </w:t>
      </w:r>
      <w:proofErr w:type="spellStart"/>
      <w:r>
        <w:t>qRT</w:t>
      </w:r>
      <w:proofErr w:type="spellEnd"/>
      <w:r>
        <w:t>-PCR in UTUC patient samples and compared between stage I (n = 25) and stage III (n = 23) tumors. Each dot represents an individual patient sample, and bars indicate the mean ± SEM. BOC expression was significantly higher in stage III tumors (</w:t>
      </w:r>
      <w:r>
        <w:rPr>
          <w:i/>
        </w:rPr>
        <w:t>p</w:t>
      </w:r>
      <w:r>
        <w:t xml:space="preserve"> = 0.0405, unpaired Student’s </w:t>
      </w:r>
      <w:r>
        <w:rPr>
          <w:i/>
        </w:rPr>
        <w:t>t</w:t>
      </w:r>
      <w:r>
        <w:t xml:space="preserve">-test). *, </w:t>
      </w:r>
      <w:r>
        <w:rPr>
          <w:i/>
          <w:iCs/>
        </w:rPr>
        <w:t>p</w:t>
      </w:r>
      <w:r>
        <w:t xml:space="preserve"> &lt; 0.0</w:t>
      </w:r>
      <w:r>
        <w:rPr>
          <w:rFonts w:eastAsiaTheme="minorEastAsia" w:hint="eastAsia"/>
          <w:lang w:eastAsia="zh-CN"/>
        </w:rPr>
        <w:t>5</w:t>
      </w:r>
      <w:r>
        <w:rPr>
          <w:rFonts w:eastAsiaTheme="minorEastAsia"/>
        </w:rPr>
        <w:t>.</w:t>
      </w:r>
    </w:p>
    <w:p w14:paraId="60DD5DC6" w14:textId="77777777" w:rsidR="007504A9" w:rsidRDefault="007504A9" w:rsidP="007504A9">
      <w:pPr>
        <w:pStyle w:val="TSP52figure"/>
        <w:rPr>
          <w:lang w:eastAsia="zh-CN"/>
        </w:rPr>
      </w:pPr>
      <w:r>
        <w:rPr>
          <w:rFonts w:eastAsia="DFKai-SB"/>
          <w:noProof/>
        </w:rPr>
        <w:drawing>
          <wp:inline distT="0" distB="0" distL="0" distR="0" wp14:anchorId="11EE9D3A" wp14:editId="619A2F45">
            <wp:extent cx="2199057" cy="2618841"/>
            <wp:effectExtent l="0" t="0" r="0" b="0"/>
            <wp:docPr id="1911193295"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1193295" name="圖片 14"/>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244340" cy="2672768"/>
                    </a:xfrm>
                    <a:prstGeom prst="rect">
                      <a:avLst/>
                    </a:prstGeom>
                  </pic:spPr>
                </pic:pic>
              </a:graphicData>
            </a:graphic>
          </wp:inline>
        </w:drawing>
      </w:r>
    </w:p>
    <w:p w14:paraId="27636B78" w14:textId="77777777" w:rsidR="007504A9" w:rsidRDefault="007504A9" w:rsidP="007504A9">
      <w:pPr>
        <w:pStyle w:val="TSP51figurecaption"/>
        <w:rPr>
          <w:b/>
          <w:lang w:val="es-MX"/>
        </w:rPr>
      </w:pPr>
      <w:r w:rsidRPr="00054E6E">
        <w:rPr>
          <w:b/>
        </w:rPr>
        <w:t>Figure S10:</w:t>
      </w:r>
      <w:r>
        <w:t xml:space="preserve"> Association between BOC expression and metastasis in UTUC patients. Relative expression levels of BOC were quantified by </w:t>
      </w:r>
      <w:proofErr w:type="spellStart"/>
      <w:r>
        <w:t>qRT</w:t>
      </w:r>
      <w:proofErr w:type="spellEnd"/>
      <w:r>
        <w:t>-PCR in UTUC patient samples and compared between tumors without metastasis (n = 42) and with metastasis (n = 6). Each dot represents an individual patient sample, and bars indicate the mean ± SEM. BOC expression was significantly higher in metastatic tumors (</w:t>
      </w:r>
      <w:r>
        <w:rPr>
          <w:i/>
        </w:rPr>
        <w:t>p</w:t>
      </w:r>
      <w:r>
        <w:t xml:space="preserve"> = 0.0255, unpaired Student’s </w:t>
      </w:r>
      <w:r>
        <w:rPr>
          <w:i/>
        </w:rPr>
        <w:t>t</w:t>
      </w:r>
      <w:r>
        <w:t xml:space="preserve">-test). </w:t>
      </w:r>
      <w:r>
        <w:rPr>
          <w:rFonts w:eastAsiaTheme="minorEastAsia" w:hint="eastAsia"/>
          <w:lang w:val="es-MX" w:eastAsia="zh-CN"/>
        </w:rPr>
        <w:t xml:space="preserve">*, </w:t>
      </w:r>
      <w:r>
        <w:rPr>
          <w:i/>
          <w:lang w:val="es-MX"/>
        </w:rPr>
        <w:t>p</w:t>
      </w:r>
      <w:r>
        <w:rPr>
          <w:lang w:val="es-MX"/>
        </w:rPr>
        <w:t xml:space="preserve"> &lt; 0.05.</w:t>
      </w:r>
    </w:p>
    <w:sectPr w:rsidR="007504A9">
      <w:pgSz w:w="12240" w:h="15840"/>
      <w:pgMar w:top="1440" w:right="1800" w:bottom="1440" w:left="180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365F45" w14:textId="77777777" w:rsidR="00565BA8" w:rsidRDefault="00565BA8" w:rsidP="007504A9">
      <w:pPr>
        <w:spacing w:line="240" w:lineRule="auto"/>
      </w:pPr>
      <w:r>
        <w:separator/>
      </w:r>
    </w:p>
  </w:endnote>
  <w:endnote w:type="continuationSeparator" w:id="0">
    <w:p w14:paraId="64E0F2E1" w14:textId="77777777" w:rsidR="00565BA8" w:rsidRDefault="00565BA8" w:rsidP="007504A9">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inion Pro">
    <w:altName w:val="Times New Roman"/>
    <w:panose1 w:val="02040503050201020203"/>
    <w:charset w:val="00"/>
    <w:family w:val="roman"/>
    <w:notTrueType/>
    <w:pitch w:val="variable"/>
    <w:sig w:usb0="E00002AF" w:usb1="5000E07B" w:usb2="00000000" w:usb3="00000000" w:csb0="0000019F" w:csb1="00000000"/>
  </w:font>
  <w:font w:name="Arial">
    <w:panose1 w:val="020B0604020202020204"/>
    <w:charset w:val="00"/>
    <w:family w:val="swiss"/>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Palatino Linotype">
    <w:panose1 w:val="02040502050505030304"/>
    <w:charset w:val="00"/>
    <w:family w:val="roman"/>
    <w:pitch w:val="variable"/>
    <w:sig w:usb0="E0000287" w:usb1="40000013" w:usb2="00000000" w:usb3="00000000" w:csb0="0000019F" w:csb1="00000000"/>
  </w:font>
  <w:font w:name="Tahoma">
    <w:panose1 w:val="020B0604030504040204"/>
    <w:charset w:val="00"/>
    <w:family w:val="swiss"/>
    <w:pitch w:val="variable"/>
    <w:sig w:usb0="E1002EFF" w:usb1="C000605B" w:usb2="00000029" w:usb3="00000000" w:csb0="000101FF" w:csb1="00000000"/>
  </w:font>
  <w:font w:name="Cordia New">
    <w:panose1 w:val="020B0304020202020204"/>
    <w:charset w:val="DE"/>
    <w:family w:val="swiss"/>
    <w:pitch w:val="variable"/>
    <w:sig w:usb0="81000003" w:usb1="00000000" w:usb2="00000000" w:usb3="00000000" w:csb0="00010001"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DFKai-SB">
    <w:altName w:val="宋体"/>
    <w:charset w:val="88"/>
    <w:family w:val="script"/>
    <w:pitch w:val="default"/>
    <w:sig w:usb0="00000000" w:usb1="00000000" w:usb2="00000016" w:usb3="00000000" w:csb0="00100001" w:csb1="00000000"/>
  </w:font>
  <w:font w:name="PMingLiU">
    <w:altName w:val="新細明體"/>
    <w:panose1 w:val="02010601000101010101"/>
    <w:charset w:val="88"/>
    <w:family w:val="roman"/>
    <w:pitch w:val="variable"/>
    <w:sig w:usb0="A00002FF" w:usb1="28CFFCFA" w:usb2="00000016" w:usb3="00000000" w:csb0="001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D5BC46" w14:textId="77777777" w:rsidR="00565BA8" w:rsidRDefault="00565BA8" w:rsidP="007504A9">
      <w:pPr>
        <w:spacing w:line="240" w:lineRule="auto"/>
      </w:pPr>
      <w:r>
        <w:separator/>
      </w:r>
    </w:p>
  </w:footnote>
  <w:footnote w:type="continuationSeparator" w:id="0">
    <w:p w14:paraId="7466D5CB" w14:textId="77777777" w:rsidR="00565BA8" w:rsidRDefault="00565BA8" w:rsidP="007504A9">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8B468F5"/>
    <w:multiLevelType w:val="hybridMultilevel"/>
    <w:tmpl w:val="CC4E56EA"/>
    <w:lvl w:ilvl="0" w:tplc="E264CA32">
      <w:start w:val="1"/>
      <w:numFmt w:val="bullet"/>
      <w:lvlRestart w:val="0"/>
      <w:pStyle w:val="TSP38bullet"/>
      <w:lvlText w:val=""/>
      <w:lvlJc w:val="left"/>
      <w:pPr>
        <w:ind w:left="3033" w:hanging="425"/>
      </w:pPr>
      <w:rPr>
        <w:rFonts w:ascii="Symbol" w:hAnsi="Symbol" w:hint="default"/>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952085B"/>
    <w:multiLevelType w:val="hybridMultilevel"/>
    <w:tmpl w:val="CB98231C"/>
    <w:lvl w:ilvl="0" w:tplc="664029F2">
      <w:start w:val="1"/>
      <w:numFmt w:val="decimal"/>
      <w:lvlRestart w:val="0"/>
      <w:pStyle w:val="TSP71FootNotes"/>
      <w:lvlText w:val="%1."/>
      <w:lvlJc w:val="left"/>
      <w:pPr>
        <w:ind w:left="425" w:hanging="425"/>
      </w:pPr>
      <w:rPr>
        <w:vertAlign w:val="superscrip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70012E46"/>
    <w:multiLevelType w:val="hybridMultilevel"/>
    <w:tmpl w:val="88C2FAD8"/>
    <w:lvl w:ilvl="0" w:tplc="5C06B1C6">
      <w:start w:val="1"/>
      <w:numFmt w:val="decimal"/>
      <w:pStyle w:val="TSP71References"/>
      <w:lvlText w:val="%1."/>
      <w:lvlJc w:val="left"/>
      <w:pPr>
        <w:ind w:left="360" w:hanging="360"/>
      </w:pPr>
      <w:rPr>
        <w:rFonts w:hint="eastAsia"/>
        <w:b w:val="0"/>
        <w:i w:val="0"/>
        <w:sz w:val="20"/>
        <w:vertAlign w:val="baseli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76311A3B"/>
    <w:multiLevelType w:val="hybridMultilevel"/>
    <w:tmpl w:val="9EF4A612"/>
    <w:lvl w:ilvl="0" w:tplc="BED0D818">
      <w:start w:val="1"/>
      <w:numFmt w:val="decimal"/>
      <w:lvlRestart w:val="0"/>
      <w:pStyle w:val="TSP37itemize"/>
      <w:lvlText w:val="%1."/>
      <w:lvlJc w:val="left"/>
      <w:pPr>
        <w:tabs>
          <w:tab w:val="num" w:pos="0"/>
        </w:tabs>
        <w:ind w:left="425" w:hanging="425"/>
      </w:pPr>
      <w:rPr>
        <w:rFonts w:hint="eastAsia"/>
        <w:b w:val="0"/>
        <w:i w:val="0"/>
        <w:caps w:val="0"/>
        <w:strike w:val="0"/>
        <w:dstrike w:val="0"/>
        <w:outline w:val="0"/>
        <w:shadow w:val="0"/>
        <w:emboss w:val="0"/>
        <w:imprint w:val="0"/>
        <w:vanish w:val="0"/>
        <w:color w:val="auto"/>
        <w:sz w:val="20"/>
        <w:u w:val="none"/>
        <w:effect w:val="none"/>
        <w:vertAlign w:val="baseline"/>
      </w:rPr>
    </w:lvl>
    <w:lvl w:ilvl="1" w:tplc="04090019" w:tentative="1">
      <w:start w:val="1"/>
      <w:numFmt w:val="lowerLetter"/>
      <w:lvlText w:val="%2."/>
      <w:lvlJc w:val="left"/>
      <w:pPr>
        <w:ind w:left="4048" w:hanging="360"/>
      </w:pPr>
    </w:lvl>
    <w:lvl w:ilvl="2" w:tplc="0409001B" w:tentative="1">
      <w:start w:val="1"/>
      <w:numFmt w:val="lowerRoman"/>
      <w:lvlText w:val="%3."/>
      <w:lvlJc w:val="right"/>
      <w:pPr>
        <w:ind w:left="4768" w:hanging="180"/>
      </w:pPr>
    </w:lvl>
    <w:lvl w:ilvl="3" w:tplc="0409000F" w:tentative="1">
      <w:start w:val="1"/>
      <w:numFmt w:val="decimal"/>
      <w:lvlText w:val="%4."/>
      <w:lvlJc w:val="left"/>
      <w:pPr>
        <w:ind w:left="5488" w:hanging="360"/>
      </w:pPr>
    </w:lvl>
    <w:lvl w:ilvl="4" w:tplc="04090019" w:tentative="1">
      <w:start w:val="1"/>
      <w:numFmt w:val="lowerLetter"/>
      <w:lvlText w:val="%5."/>
      <w:lvlJc w:val="left"/>
      <w:pPr>
        <w:ind w:left="6208" w:hanging="360"/>
      </w:pPr>
    </w:lvl>
    <w:lvl w:ilvl="5" w:tplc="0409001B" w:tentative="1">
      <w:start w:val="1"/>
      <w:numFmt w:val="lowerRoman"/>
      <w:lvlText w:val="%6."/>
      <w:lvlJc w:val="right"/>
      <w:pPr>
        <w:ind w:left="6928" w:hanging="180"/>
      </w:pPr>
    </w:lvl>
    <w:lvl w:ilvl="6" w:tplc="0409000F" w:tentative="1">
      <w:start w:val="1"/>
      <w:numFmt w:val="decimal"/>
      <w:lvlText w:val="%7."/>
      <w:lvlJc w:val="left"/>
      <w:pPr>
        <w:ind w:left="7648" w:hanging="360"/>
      </w:pPr>
    </w:lvl>
    <w:lvl w:ilvl="7" w:tplc="04090019" w:tentative="1">
      <w:start w:val="1"/>
      <w:numFmt w:val="lowerLetter"/>
      <w:lvlText w:val="%8."/>
      <w:lvlJc w:val="left"/>
      <w:pPr>
        <w:ind w:left="8368" w:hanging="360"/>
      </w:pPr>
    </w:lvl>
    <w:lvl w:ilvl="8" w:tplc="0409001B" w:tentative="1">
      <w:start w:val="1"/>
      <w:numFmt w:val="lowerRoman"/>
      <w:lvlText w:val="%9."/>
      <w:lvlJc w:val="right"/>
      <w:pPr>
        <w:ind w:left="9088" w:hanging="180"/>
      </w:pPr>
    </w:lvl>
  </w:abstractNum>
  <w:num w:numId="1" w16cid:durableId="1956210533">
    <w:abstractNumId w:val="3"/>
  </w:num>
  <w:num w:numId="2" w16cid:durableId="1510633002">
    <w:abstractNumId w:val="0"/>
  </w:num>
  <w:num w:numId="3" w16cid:durableId="395858669">
    <w:abstractNumId w:val="1"/>
  </w:num>
  <w:num w:numId="4" w16cid:durableId="55478063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0895"/>
    <w:rsid w:val="000C1CDB"/>
    <w:rsid w:val="00167D48"/>
    <w:rsid w:val="00315C91"/>
    <w:rsid w:val="00425DE1"/>
    <w:rsid w:val="0042613F"/>
    <w:rsid w:val="005258B8"/>
    <w:rsid w:val="00565BA8"/>
    <w:rsid w:val="00577623"/>
    <w:rsid w:val="005C0944"/>
    <w:rsid w:val="00714041"/>
    <w:rsid w:val="007327FE"/>
    <w:rsid w:val="007504A9"/>
    <w:rsid w:val="007D2656"/>
    <w:rsid w:val="00820859"/>
    <w:rsid w:val="008A305C"/>
    <w:rsid w:val="00937749"/>
    <w:rsid w:val="00952D5C"/>
    <w:rsid w:val="009C712C"/>
    <w:rsid w:val="00D14399"/>
    <w:rsid w:val="00D16D69"/>
    <w:rsid w:val="00D25790"/>
    <w:rsid w:val="00D30F0B"/>
    <w:rsid w:val="00D60895"/>
    <w:rsid w:val="00DE58B5"/>
    <w:rsid w:val="00E43258"/>
    <w:rsid w:val="00FA2A6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F5A82"/>
  <w15:chartTrackingRefBased/>
  <w15:docId w15:val="{4882FFFD-635F-4F4B-B0F8-0B76BA3BA2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宋体" w:hAnsiTheme="minorHAnsi" w:cstheme="minorBidi"/>
        <w:kern w:val="2"/>
        <w:sz w:val="24"/>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iPriority="0"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25DE1"/>
    <w:pPr>
      <w:adjustRightInd w:val="0"/>
      <w:snapToGrid w:val="0"/>
      <w:spacing w:after="0" w:line="240" w:lineRule="atLeast"/>
      <w:jc w:val="both"/>
    </w:pPr>
    <w:rPr>
      <w:rFonts w:ascii="Minion Pro" w:hAnsi="Minion Pro" w:cs="Times New Roman"/>
      <w:noProof/>
      <w:color w:val="000000"/>
      <w:kern w:val="0"/>
      <w:sz w:val="22"/>
      <w:szCs w:val="20"/>
      <w14:ligatures w14:val="none"/>
    </w:rPr>
  </w:style>
  <w:style w:type="paragraph" w:styleId="Heading1">
    <w:name w:val="heading 1"/>
    <w:aliases w:val="x"/>
    <w:basedOn w:val="Normal"/>
    <w:next w:val="Normal"/>
    <w:link w:val="Heading1Char"/>
    <w:qFormat/>
    <w:rsid w:val="007327FE"/>
    <w:pPr>
      <w:adjustRightInd/>
      <w:snapToGrid/>
      <w:spacing w:before="240" w:line="280" w:lineRule="atLeast"/>
      <w:outlineLvl w:val="0"/>
    </w:pPr>
    <w:rPr>
      <w:rFonts w:ascii="Arial" w:eastAsiaTheme="minorEastAsia" w:hAnsi="Arial"/>
      <w:b/>
      <w:noProof w:val="0"/>
      <w:sz w:val="20"/>
      <w:u w:val="single"/>
      <w14:ligatures w14:val="standardContextual"/>
    </w:rPr>
  </w:style>
  <w:style w:type="paragraph" w:styleId="Heading2">
    <w:name w:val="heading 2"/>
    <w:basedOn w:val="Normal"/>
    <w:next w:val="Normal"/>
    <w:link w:val="Heading2Char"/>
    <w:qFormat/>
    <w:rsid w:val="007327FE"/>
    <w:pPr>
      <w:adjustRightInd/>
      <w:snapToGrid/>
      <w:spacing w:before="120" w:line="280" w:lineRule="atLeast"/>
      <w:outlineLvl w:val="1"/>
    </w:pPr>
    <w:rPr>
      <w:rFonts w:ascii="Arial" w:eastAsiaTheme="minorEastAsia" w:hAnsi="Arial" w:cstheme="majorBidi"/>
      <w:b/>
      <w:noProof w:val="0"/>
      <w:sz w:val="20"/>
      <w14:ligatures w14:val="standardContextual"/>
    </w:rPr>
  </w:style>
  <w:style w:type="paragraph" w:styleId="Heading3">
    <w:name w:val="heading 3"/>
    <w:basedOn w:val="Normal"/>
    <w:next w:val="Normal"/>
    <w:link w:val="Heading3Char"/>
    <w:qFormat/>
    <w:rsid w:val="007327FE"/>
    <w:pPr>
      <w:adjustRightInd/>
      <w:snapToGrid/>
      <w:spacing w:line="280" w:lineRule="atLeast"/>
      <w:ind w:left="360"/>
      <w:outlineLvl w:val="2"/>
    </w:pPr>
    <w:rPr>
      <w:rFonts w:ascii="Palatino Linotype" w:eastAsiaTheme="minorEastAsia" w:hAnsi="Palatino Linotype"/>
      <w:b/>
      <w:noProof w:val="0"/>
      <w:sz w:val="20"/>
      <w14:ligatures w14:val="standardContextual"/>
    </w:rPr>
  </w:style>
  <w:style w:type="paragraph" w:styleId="Heading4">
    <w:name w:val="heading 4"/>
    <w:basedOn w:val="Normal"/>
    <w:next w:val="Normal"/>
    <w:link w:val="Heading4Char"/>
    <w:qFormat/>
    <w:rsid w:val="007327FE"/>
    <w:pPr>
      <w:keepNext/>
      <w:keepLines/>
      <w:adjustRightInd/>
      <w:snapToGrid/>
      <w:spacing w:before="240" w:line="480" w:lineRule="atLeast"/>
      <w:ind w:left="907" w:hanging="907"/>
      <w:outlineLvl w:val="3"/>
    </w:pPr>
    <w:rPr>
      <w:rFonts w:ascii="Arial" w:eastAsiaTheme="minorEastAsia" w:hAnsi="Arial" w:cstheme="majorBidi"/>
      <w:b/>
      <w:noProof w:val="0"/>
      <w:sz w:val="20"/>
      <w14:ligatures w14:val="standardContextual"/>
    </w:rPr>
  </w:style>
  <w:style w:type="paragraph" w:styleId="Heading5">
    <w:name w:val="heading 5"/>
    <w:basedOn w:val="Normal"/>
    <w:next w:val="Normal"/>
    <w:link w:val="Heading5Char"/>
    <w:qFormat/>
    <w:rsid w:val="007327FE"/>
    <w:pPr>
      <w:adjustRightInd/>
      <w:snapToGrid/>
      <w:spacing w:line="280" w:lineRule="atLeast"/>
      <w:ind w:left="706"/>
      <w:outlineLvl w:val="4"/>
    </w:pPr>
    <w:rPr>
      <w:rFonts w:ascii="Palatino Linotype" w:eastAsiaTheme="minorEastAsia" w:hAnsi="Palatino Linotype"/>
      <w:b/>
      <w:noProof w:val="0"/>
      <w:sz w:val="20"/>
      <w14:ligatures w14:val="standardContextual"/>
    </w:rPr>
  </w:style>
  <w:style w:type="paragraph" w:styleId="Heading6">
    <w:name w:val="heading 6"/>
    <w:basedOn w:val="Normal"/>
    <w:next w:val="Normal"/>
    <w:link w:val="Heading6Char"/>
    <w:qFormat/>
    <w:rsid w:val="007327FE"/>
    <w:pPr>
      <w:adjustRightInd/>
      <w:snapToGrid/>
      <w:spacing w:line="280" w:lineRule="atLeast"/>
      <w:ind w:left="706"/>
      <w:outlineLvl w:val="5"/>
    </w:pPr>
    <w:rPr>
      <w:rFonts w:ascii="Palatino Linotype" w:eastAsiaTheme="minorEastAsia" w:hAnsi="Palatino Linotype" w:cstheme="majorBidi"/>
      <w:noProof w:val="0"/>
      <w:sz w:val="20"/>
      <w:u w:val="single"/>
      <w14:ligatures w14:val="standardContextual"/>
    </w:rPr>
  </w:style>
  <w:style w:type="paragraph" w:styleId="Heading7">
    <w:name w:val="heading 7"/>
    <w:basedOn w:val="Normal"/>
    <w:next w:val="Normal"/>
    <w:link w:val="Heading7Char"/>
    <w:qFormat/>
    <w:rsid w:val="007327FE"/>
    <w:pPr>
      <w:adjustRightInd/>
      <w:snapToGrid/>
      <w:spacing w:line="280" w:lineRule="atLeast"/>
      <w:ind w:left="706"/>
      <w:outlineLvl w:val="6"/>
    </w:pPr>
    <w:rPr>
      <w:rFonts w:ascii="Palatino Linotype" w:eastAsiaTheme="minorEastAsia" w:hAnsi="Palatino Linotype"/>
      <w:i/>
      <w:noProof w:val="0"/>
      <w:sz w:val="20"/>
      <w14:ligatures w14:val="standardContextual"/>
    </w:rPr>
  </w:style>
  <w:style w:type="paragraph" w:styleId="Heading8">
    <w:name w:val="heading 8"/>
    <w:basedOn w:val="Normal"/>
    <w:next w:val="Normal"/>
    <w:link w:val="Heading8Char"/>
    <w:qFormat/>
    <w:rsid w:val="007327FE"/>
    <w:pPr>
      <w:adjustRightInd/>
      <w:snapToGrid/>
      <w:spacing w:line="280" w:lineRule="atLeast"/>
      <w:ind w:left="706"/>
      <w:outlineLvl w:val="7"/>
    </w:pPr>
    <w:rPr>
      <w:rFonts w:ascii="Palatino Linotype" w:eastAsiaTheme="minorEastAsia" w:hAnsi="Palatino Linotype" w:cstheme="majorBidi"/>
      <w:i/>
      <w:noProof w:val="0"/>
      <w:sz w:val="20"/>
      <w14:ligatures w14:val="standardContextual"/>
    </w:rPr>
  </w:style>
  <w:style w:type="paragraph" w:styleId="Heading9">
    <w:name w:val="heading 9"/>
    <w:basedOn w:val="Normal"/>
    <w:next w:val="Normal"/>
    <w:link w:val="Heading9Char"/>
    <w:qFormat/>
    <w:rsid w:val="007327FE"/>
    <w:pPr>
      <w:adjustRightInd/>
      <w:snapToGrid/>
      <w:spacing w:line="280" w:lineRule="atLeast"/>
      <w:ind w:left="706"/>
      <w:outlineLvl w:val="8"/>
    </w:pPr>
    <w:rPr>
      <w:rFonts w:ascii="Palatino Linotype" w:eastAsiaTheme="minorEastAsia" w:hAnsi="Palatino Linotype" w:cstheme="majorBidi"/>
      <w:i/>
      <w:noProof w:val="0"/>
      <w:sz w:val="20"/>
      <w14:ligatures w14:val="standardContextu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apple-converted-space">
    <w:name w:val="apple-converted-space"/>
    <w:basedOn w:val="DefaultParagraphFont"/>
    <w:rsid w:val="007327FE"/>
  </w:style>
  <w:style w:type="paragraph" w:styleId="BalloonText">
    <w:name w:val="Balloon Text"/>
    <w:basedOn w:val="Normal"/>
    <w:link w:val="BalloonTextChar"/>
    <w:uiPriority w:val="99"/>
    <w:rsid w:val="007327FE"/>
    <w:rPr>
      <w:rFonts w:cs="Tahoma"/>
      <w:szCs w:val="18"/>
    </w:rPr>
  </w:style>
  <w:style w:type="character" w:customStyle="1" w:styleId="BalloonTextChar">
    <w:name w:val="Balloon Text Char"/>
    <w:link w:val="BalloonText"/>
    <w:uiPriority w:val="99"/>
    <w:rsid w:val="007327FE"/>
    <w:rPr>
      <w:rFonts w:ascii="Minion Pro" w:eastAsia="宋体" w:hAnsi="Minion Pro" w:cs="Tahoma"/>
      <w:noProof/>
      <w:color w:val="000000"/>
      <w:kern w:val="0"/>
      <w:sz w:val="22"/>
      <w:szCs w:val="18"/>
      <w14:ligatures w14:val="none"/>
    </w:rPr>
  </w:style>
  <w:style w:type="paragraph" w:styleId="Bibliography">
    <w:name w:val="Bibliography"/>
    <w:basedOn w:val="Normal"/>
    <w:next w:val="Normal"/>
    <w:uiPriority w:val="37"/>
    <w:semiHidden/>
    <w:unhideWhenUsed/>
    <w:rsid w:val="007327FE"/>
  </w:style>
  <w:style w:type="paragraph" w:styleId="BodyText">
    <w:name w:val="Body Text"/>
    <w:link w:val="BodyTextChar"/>
    <w:rsid w:val="007327FE"/>
    <w:pPr>
      <w:spacing w:after="120" w:line="340" w:lineRule="atLeast"/>
      <w:jc w:val="both"/>
    </w:pPr>
    <w:rPr>
      <w:rFonts w:ascii="Minion Pro" w:hAnsi="Minion Pro" w:cs="Times New Roman"/>
      <w:color w:val="000000"/>
      <w:kern w:val="0"/>
      <w:szCs w:val="20"/>
      <w:lang w:eastAsia="de-DE"/>
      <w14:ligatures w14:val="none"/>
    </w:rPr>
  </w:style>
  <w:style w:type="character" w:customStyle="1" w:styleId="BodyTextChar">
    <w:name w:val="Body Text Char"/>
    <w:link w:val="BodyText"/>
    <w:rsid w:val="007327FE"/>
    <w:rPr>
      <w:rFonts w:ascii="Minion Pro" w:eastAsia="宋体" w:hAnsi="Minion Pro" w:cs="Times New Roman"/>
      <w:color w:val="000000"/>
      <w:kern w:val="0"/>
      <w:szCs w:val="20"/>
      <w:lang w:eastAsia="de-DE"/>
      <w14:ligatures w14:val="none"/>
    </w:rPr>
  </w:style>
  <w:style w:type="character" w:styleId="CommentReference">
    <w:name w:val="annotation reference"/>
    <w:rsid w:val="007327FE"/>
    <w:rPr>
      <w:sz w:val="21"/>
      <w:szCs w:val="21"/>
    </w:rPr>
  </w:style>
  <w:style w:type="paragraph" w:styleId="CommentText">
    <w:name w:val="annotation text"/>
    <w:basedOn w:val="Normal"/>
    <w:link w:val="CommentTextChar"/>
    <w:rsid w:val="007327FE"/>
  </w:style>
  <w:style w:type="character" w:customStyle="1" w:styleId="CommentTextChar">
    <w:name w:val="Comment Text Char"/>
    <w:link w:val="CommentText"/>
    <w:rsid w:val="007327FE"/>
    <w:rPr>
      <w:rFonts w:ascii="Minion Pro" w:eastAsia="宋体" w:hAnsi="Minion Pro" w:cs="Times New Roman"/>
      <w:noProof/>
      <w:color w:val="000000"/>
      <w:kern w:val="0"/>
      <w:sz w:val="22"/>
      <w:szCs w:val="20"/>
      <w14:ligatures w14:val="none"/>
    </w:rPr>
  </w:style>
  <w:style w:type="paragraph" w:styleId="CommentSubject">
    <w:name w:val="annotation subject"/>
    <w:basedOn w:val="CommentText"/>
    <w:next w:val="CommentText"/>
    <w:link w:val="CommentSubjectChar"/>
    <w:rsid w:val="007327FE"/>
    <w:rPr>
      <w:b/>
      <w:bCs/>
    </w:rPr>
  </w:style>
  <w:style w:type="character" w:customStyle="1" w:styleId="CommentSubjectChar">
    <w:name w:val="Comment Subject Char"/>
    <w:link w:val="CommentSubject"/>
    <w:rsid w:val="007327FE"/>
    <w:rPr>
      <w:rFonts w:ascii="Minion Pro" w:eastAsia="宋体" w:hAnsi="Minion Pro" w:cs="Times New Roman"/>
      <w:b/>
      <w:bCs/>
      <w:noProof/>
      <w:color w:val="000000"/>
      <w:kern w:val="0"/>
      <w:sz w:val="22"/>
      <w:szCs w:val="20"/>
      <w14:ligatures w14:val="none"/>
    </w:rPr>
  </w:style>
  <w:style w:type="character" w:styleId="EndnoteReference">
    <w:name w:val="endnote reference"/>
    <w:rsid w:val="007327FE"/>
    <w:rPr>
      <w:vertAlign w:val="superscript"/>
    </w:rPr>
  </w:style>
  <w:style w:type="paragraph" w:styleId="EndnoteText">
    <w:name w:val="endnote text"/>
    <w:basedOn w:val="Normal"/>
    <w:link w:val="EndnoteTextChar"/>
    <w:semiHidden/>
    <w:unhideWhenUsed/>
    <w:rsid w:val="007327FE"/>
    <w:pPr>
      <w:spacing w:line="240" w:lineRule="auto"/>
    </w:pPr>
  </w:style>
  <w:style w:type="character" w:customStyle="1" w:styleId="EndnoteTextChar">
    <w:name w:val="Endnote Text Char"/>
    <w:link w:val="EndnoteText"/>
    <w:semiHidden/>
    <w:rsid w:val="007327FE"/>
    <w:rPr>
      <w:rFonts w:ascii="Minion Pro" w:eastAsia="宋体" w:hAnsi="Minion Pro" w:cs="Times New Roman"/>
      <w:noProof/>
      <w:color w:val="000000"/>
      <w:kern w:val="0"/>
      <w:sz w:val="22"/>
      <w:szCs w:val="20"/>
      <w14:ligatures w14:val="none"/>
    </w:rPr>
  </w:style>
  <w:style w:type="character" w:styleId="FollowedHyperlink">
    <w:name w:val="FollowedHyperlink"/>
    <w:rsid w:val="007327FE"/>
    <w:rPr>
      <w:color w:val="954F72"/>
      <w:u w:val="single"/>
    </w:rPr>
  </w:style>
  <w:style w:type="paragraph" w:styleId="Footer">
    <w:name w:val="footer"/>
    <w:basedOn w:val="Normal"/>
    <w:link w:val="FooterChar"/>
    <w:uiPriority w:val="99"/>
    <w:qFormat/>
    <w:rsid w:val="007327FE"/>
    <w:pPr>
      <w:tabs>
        <w:tab w:val="center" w:pos="4153"/>
        <w:tab w:val="right" w:pos="8306"/>
      </w:tabs>
      <w:jc w:val="left"/>
    </w:pPr>
    <w:rPr>
      <w:szCs w:val="18"/>
    </w:rPr>
  </w:style>
  <w:style w:type="character" w:customStyle="1" w:styleId="FooterChar">
    <w:name w:val="Footer Char"/>
    <w:link w:val="Footer"/>
    <w:uiPriority w:val="99"/>
    <w:qFormat/>
    <w:rsid w:val="007327FE"/>
    <w:rPr>
      <w:rFonts w:ascii="Minion Pro" w:eastAsia="宋体" w:hAnsi="Minion Pro" w:cs="Times New Roman"/>
      <w:noProof/>
      <w:color w:val="000000"/>
      <w:kern w:val="0"/>
      <w:sz w:val="22"/>
      <w:szCs w:val="18"/>
      <w14:ligatures w14:val="none"/>
    </w:rPr>
  </w:style>
  <w:style w:type="paragraph" w:styleId="FootnoteText">
    <w:name w:val="footnote text"/>
    <w:basedOn w:val="Normal"/>
    <w:link w:val="FootnoteTextChar"/>
    <w:semiHidden/>
    <w:unhideWhenUsed/>
    <w:rsid w:val="007327FE"/>
    <w:pPr>
      <w:spacing w:line="240" w:lineRule="auto"/>
    </w:pPr>
  </w:style>
  <w:style w:type="character" w:customStyle="1" w:styleId="FootnoteTextChar">
    <w:name w:val="Footnote Text Char"/>
    <w:link w:val="FootnoteText"/>
    <w:semiHidden/>
    <w:rsid w:val="007327FE"/>
    <w:rPr>
      <w:rFonts w:ascii="Minion Pro" w:eastAsia="宋体" w:hAnsi="Minion Pro" w:cs="Times New Roman"/>
      <w:noProof/>
      <w:color w:val="000000"/>
      <w:kern w:val="0"/>
      <w:sz w:val="22"/>
      <w:szCs w:val="20"/>
      <w14:ligatures w14:val="none"/>
    </w:rPr>
  </w:style>
  <w:style w:type="paragraph" w:styleId="Header">
    <w:name w:val="header"/>
    <w:basedOn w:val="Normal"/>
    <w:link w:val="HeaderChar"/>
    <w:uiPriority w:val="99"/>
    <w:rsid w:val="007327FE"/>
    <w:pPr>
      <w:pBdr>
        <w:bottom w:val="single" w:sz="6" w:space="1" w:color="auto"/>
      </w:pBdr>
      <w:tabs>
        <w:tab w:val="center" w:pos="4153"/>
        <w:tab w:val="right" w:pos="8306"/>
      </w:tabs>
      <w:jc w:val="center"/>
    </w:pPr>
    <w:rPr>
      <w:szCs w:val="18"/>
    </w:rPr>
  </w:style>
  <w:style w:type="character" w:customStyle="1" w:styleId="HeaderChar">
    <w:name w:val="Header Char"/>
    <w:link w:val="Header"/>
    <w:uiPriority w:val="99"/>
    <w:rsid w:val="007327FE"/>
    <w:rPr>
      <w:rFonts w:ascii="Minion Pro" w:eastAsia="宋体" w:hAnsi="Minion Pro" w:cs="Times New Roman"/>
      <w:noProof/>
      <w:color w:val="000000"/>
      <w:kern w:val="0"/>
      <w:sz w:val="22"/>
      <w:szCs w:val="18"/>
      <w14:ligatures w14:val="none"/>
    </w:rPr>
  </w:style>
  <w:style w:type="character" w:customStyle="1" w:styleId="Heading1Char">
    <w:name w:val="Heading 1 Char"/>
    <w:aliases w:val="x Char"/>
    <w:basedOn w:val="DefaultParagraphFont"/>
    <w:link w:val="Heading1"/>
    <w:rsid w:val="007327FE"/>
    <w:rPr>
      <w:rFonts w:ascii="Arial" w:hAnsi="Arial" w:cs="Times New Roman"/>
      <w:b/>
      <w:color w:val="000000"/>
      <w:kern w:val="0"/>
      <w:sz w:val="20"/>
      <w:szCs w:val="20"/>
      <w:u w:val="single"/>
    </w:rPr>
  </w:style>
  <w:style w:type="character" w:customStyle="1" w:styleId="Heading2Char">
    <w:name w:val="Heading 2 Char"/>
    <w:basedOn w:val="DefaultParagraphFont"/>
    <w:link w:val="Heading2"/>
    <w:rsid w:val="007327FE"/>
    <w:rPr>
      <w:rFonts w:ascii="Arial" w:hAnsi="Arial" w:cstheme="majorBidi"/>
      <w:b/>
      <w:color w:val="000000"/>
      <w:kern w:val="0"/>
      <w:sz w:val="20"/>
      <w:szCs w:val="20"/>
    </w:rPr>
  </w:style>
  <w:style w:type="character" w:customStyle="1" w:styleId="Heading3Char">
    <w:name w:val="Heading 3 Char"/>
    <w:basedOn w:val="DefaultParagraphFont"/>
    <w:link w:val="Heading3"/>
    <w:rsid w:val="007327FE"/>
    <w:rPr>
      <w:rFonts w:ascii="Palatino Linotype" w:hAnsi="Palatino Linotype" w:cs="Times New Roman"/>
      <w:b/>
      <w:color w:val="000000"/>
      <w:kern w:val="0"/>
      <w:sz w:val="20"/>
      <w:szCs w:val="20"/>
    </w:rPr>
  </w:style>
  <w:style w:type="character" w:customStyle="1" w:styleId="Heading4Char">
    <w:name w:val="Heading 4 Char"/>
    <w:basedOn w:val="DefaultParagraphFont"/>
    <w:link w:val="Heading4"/>
    <w:rsid w:val="007327FE"/>
    <w:rPr>
      <w:rFonts w:ascii="Arial" w:hAnsi="Arial" w:cstheme="majorBidi"/>
      <w:b/>
      <w:color w:val="000000"/>
      <w:kern w:val="0"/>
      <w:sz w:val="20"/>
      <w:szCs w:val="20"/>
    </w:rPr>
  </w:style>
  <w:style w:type="character" w:customStyle="1" w:styleId="Heading5Char">
    <w:name w:val="Heading 5 Char"/>
    <w:basedOn w:val="DefaultParagraphFont"/>
    <w:link w:val="Heading5"/>
    <w:rsid w:val="007327FE"/>
    <w:rPr>
      <w:rFonts w:ascii="Palatino Linotype" w:hAnsi="Palatino Linotype" w:cs="Times New Roman"/>
      <w:b/>
      <w:color w:val="000000"/>
      <w:kern w:val="0"/>
      <w:sz w:val="20"/>
      <w:szCs w:val="20"/>
    </w:rPr>
  </w:style>
  <w:style w:type="character" w:customStyle="1" w:styleId="Heading6Char">
    <w:name w:val="Heading 6 Char"/>
    <w:basedOn w:val="DefaultParagraphFont"/>
    <w:link w:val="Heading6"/>
    <w:rsid w:val="007327FE"/>
    <w:rPr>
      <w:rFonts w:ascii="Palatino Linotype" w:hAnsi="Palatino Linotype" w:cstheme="majorBidi"/>
      <w:color w:val="000000"/>
      <w:kern w:val="0"/>
      <w:sz w:val="20"/>
      <w:szCs w:val="20"/>
      <w:u w:val="single"/>
    </w:rPr>
  </w:style>
  <w:style w:type="character" w:customStyle="1" w:styleId="Heading7Char">
    <w:name w:val="Heading 7 Char"/>
    <w:basedOn w:val="DefaultParagraphFont"/>
    <w:link w:val="Heading7"/>
    <w:rsid w:val="007327FE"/>
    <w:rPr>
      <w:rFonts w:ascii="Palatino Linotype" w:hAnsi="Palatino Linotype" w:cs="Times New Roman"/>
      <w:i/>
      <w:color w:val="000000"/>
      <w:kern w:val="0"/>
      <w:sz w:val="20"/>
      <w:szCs w:val="20"/>
    </w:rPr>
  </w:style>
  <w:style w:type="character" w:customStyle="1" w:styleId="Heading8Char">
    <w:name w:val="Heading 8 Char"/>
    <w:basedOn w:val="DefaultParagraphFont"/>
    <w:link w:val="Heading8"/>
    <w:rsid w:val="007327FE"/>
    <w:rPr>
      <w:rFonts w:ascii="Palatino Linotype" w:hAnsi="Palatino Linotype" w:cstheme="majorBidi"/>
      <w:i/>
      <w:color w:val="000000"/>
      <w:kern w:val="0"/>
      <w:sz w:val="20"/>
      <w:szCs w:val="20"/>
    </w:rPr>
  </w:style>
  <w:style w:type="character" w:customStyle="1" w:styleId="Heading9Char">
    <w:name w:val="Heading 9 Char"/>
    <w:basedOn w:val="DefaultParagraphFont"/>
    <w:link w:val="Heading9"/>
    <w:rsid w:val="007327FE"/>
    <w:rPr>
      <w:rFonts w:ascii="Palatino Linotype" w:hAnsi="Palatino Linotype" w:cstheme="majorBidi"/>
      <w:i/>
      <w:color w:val="000000"/>
      <w:kern w:val="0"/>
      <w:sz w:val="20"/>
      <w:szCs w:val="20"/>
    </w:rPr>
  </w:style>
  <w:style w:type="character" w:styleId="Hyperlink">
    <w:name w:val="Hyperlink"/>
    <w:uiPriority w:val="99"/>
    <w:rsid w:val="007327FE"/>
    <w:rPr>
      <w:color w:val="2F5496" w:themeColor="accent1" w:themeShade="BF"/>
      <w:u w:val="single"/>
    </w:rPr>
  </w:style>
  <w:style w:type="character" w:styleId="LineNumber">
    <w:name w:val="line number"/>
    <w:uiPriority w:val="99"/>
    <w:rsid w:val="007327FE"/>
    <w:rPr>
      <w:rFonts w:ascii="Minion Pro" w:hAnsi="Minion Pro"/>
      <w:sz w:val="16"/>
    </w:rPr>
  </w:style>
  <w:style w:type="paragraph" w:customStyle="1" w:styleId="TSP10doinum">
    <w:name w:val="TSP_1.0_doinum"/>
    <w:basedOn w:val="Normal"/>
    <w:qFormat/>
    <w:rsid w:val="007327FE"/>
    <w:pPr>
      <w:spacing w:after="240" w:line="240" w:lineRule="auto"/>
      <w:jc w:val="left"/>
    </w:pPr>
    <w:rPr>
      <w:rFonts w:eastAsiaTheme="minorEastAsia"/>
      <w:noProof w:val="0"/>
      <w:kern w:val="2"/>
      <w:sz w:val="14"/>
      <w14:ligatures w14:val="standardContextual"/>
    </w:rPr>
  </w:style>
  <w:style w:type="paragraph" w:customStyle="1" w:styleId="TSP11articletype">
    <w:name w:val="TSP_1.1_article_type"/>
    <w:next w:val="Normal"/>
    <w:qFormat/>
    <w:rsid w:val="007327FE"/>
    <w:pPr>
      <w:adjustRightInd w:val="0"/>
      <w:snapToGrid w:val="0"/>
      <w:spacing w:after="240" w:line="240" w:lineRule="atLeast"/>
    </w:pPr>
    <w:rPr>
      <w:rFonts w:ascii="Minion Pro" w:eastAsia="Times New Roman" w:hAnsi="Minion Pro" w:cs="Times New Roman"/>
      <w:b/>
      <w:caps/>
      <w:snapToGrid w:val="0"/>
      <w:color w:val="000000"/>
      <w:kern w:val="0"/>
      <w:sz w:val="18"/>
      <w:szCs w:val="22"/>
      <w:u w:val="single"/>
      <w:lang w:eastAsia="de-DE" w:bidi="en-US"/>
      <w14:ligatures w14:val="none"/>
    </w:rPr>
  </w:style>
  <w:style w:type="paragraph" w:customStyle="1" w:styleId="TSP12title">
    <w:name w:val="TSP_1.2_title"/>
    <w:next w:val="Normal"/>
    <w:qFormat/>
    <w:rsid w:val="007327FE"/>
    <w:pPr>
      <w:adjustRightInd w:val="0"/>
      <w:snapToGrid w:val="0"/>
      <w:spacing w:before="240" w:after="240" w:line="240" w:lineRule="atLeast"/>
    </w:pPr>
    <w:rPr>
      <w:rFonts w:ascii="Minion Pro" w:eastAsia="Times New Roman" w:hAnsi="Minion Pro" w:cs="Times New Roman"/>
      <w:b/>
      <w:snapToGrid w:val="0"/>
      <w:color w:val="000000"/>
      <w:kern w:val="0"/>
      <w:sz w:val="28"/>
      <w:szCs w:val="20"/>
      <w:lang w:eastAsia="de-DE" w:bidi="en-US"/>
      <w14:ligatures w14:val="none"/>
    </w:rPr>
  </w:style>
  <w:style w:type="paragraph" w:customStyle="1" w:styleId="TSP13authornames">
    <w:name w:val="TSP_1.3_authornames"/>
    <w:next w:val="Normal"/>
    <w:qFormat/>
    <w:rsid w:val="007327FE"/>
    <w:pPr>
      <w:adjustRightInd w:val="0"/>
      <w:snapToGrid w:val="0"/>
      <w:spacing w:after="240" w:line="240" w:lineRule="atLeast"/>
    </w:pPr>
    <w:rPr>
      <w:rFonts w:ascii="Minion Pro" w:eastAsia="Times New Roman" w:hAnsi="Minion Pro" w:cs="Times New Roman"/>
      <w:b/>
      <w:color w:val="000000"/>
      <w:kern w:val="0"/>
      <w:sz w:val="22"/>
      <w:szCs w:val="22"/>
      <w:lang w:eastAsia="de-DE" w:bidi="en-US"/>
      <w14:ligatures w14:val="none"/>
    </w:rPr>
  </w:style>
  <w:style w:type="paragraph" w:customStyle="1" w:styleId="TSP14history">
    <w:name w:val="TSP_1.4_history"/>
    <w:basedOn w:val="Normal"/>
    <w:next w:val="Normal"/>
    <w:autoRedefine/>
    <w:qFormat/>
    <w:rsid w:val="007327FE"/>
    <w:pPr>
      <w:spacing w:before="60" w:after="240"/>
      <w:jc w:val="left"/>
    </w:pPr>
    <w:rPr>
      <w:rFonts w:eastAsia="Times New Roman"/>
      <w:noProof w:val="0"/>
      <w:sz w:val="18"/>
      <w:lang w:eastAsia="de-DE" w:bidi="en-US"/>
    </w:rPr>
  </w:style>
  <w:style w:type="paragraph" w:customStyle="1" w:styleId="TSP15academiceditor">
    <w:name w:val="TSP_1.5_academic_editor"/>
    <w:qFormat/>
    <w:rsid w:val="007327FE"/>
    <w:pPr>
      <w:adjustRightInd w:val="0"/>
      <w:snapToGrid w:val="0"/>
      <w:spacing w:before="120" w:after="120" w:line="240" w:lineRule="atLeast"/>
    </w:pPr>
    <w:rPr>
      <w:rFonts w:ascii="Minion Pro" w:eastAsia="Times New Roman" w:hAnsi="Minion Pro" w:cs="Times New Roman"/>
      <w:color w:val="000000"/>
      <w:kern w:val="0"/>
      <w:sz w:val="18"/>
      <w:szCs w:val="22"/>
      <w:lang w:eastAsia="de-DE" w:bidi="en-US"/>
      <w14:ligatures w14:val="none"/>
    </w:rPr>
  </w:style>
  <w:style w:type="paragraph" w:customStyle="1" w:styleId="TSP16affiliation">
    <w:name w:val="TSP_1.6_affiliation"/>
    <w:qFormat/>
    <w:rsid w:val="007327FE"/>
    <w:pPr>
      <w:adjustRightInd w:val="0"/>
      <w:snapToGrid w:val="0"/>
      <w:spacing w:after="0" w:line="240" w:lineRule="atLeast"/>
    </w:pPr>
    <w:rPr>
      <w:rFonts w:ascii="Minion Pro" w:eastAsia="Times New Roman" w:hAnsi="Minion Pro" w:cs="Times New Roman"/>
      <w:color w:val="000000"/>
      <w:kern w:val="0"/>
      <w:sz w:val="18"/>
      <w:szCs w:val="18"/>
      <w:lang w:eastAsia="de-DE" w:bidi="en-US"/>
      <w14:ligatures w14:val="none"/>
    </w:rPr>
  </w:style>
  <w:style w:type="paragraph" w:customStyle="1" w:styleId="TSP17abstract">
    <w:name w:val="TSP_1.7_abstract"/>
    <w:next w:val="Normal"/>
    <w:qFormat/>
    <w:rsid w:val="007327FE"/>
    <w:pPr>
      <w:adjustRightInd w:val="0"/>
      <w:snapToGrid w:val="0"/>
      <w:spacing w:before="240" w:after="240" w:line="240" w:lineRule="atLeast"/>
      <w:jc w:val="both"/>
    </w:pPr>
    <w:rPr>
      <w:rFonts w:ascii="Minion Pro" w:eastAsia="Times New Roman" w:hAnsi="Minion Pro" w:cs="Times New Roman"/>
      <w:color w:val="000000"/>
      <w:kern w:val="0"/>
      <w:sz w:val="20"/>
      <w:szCs w:val="22"/>
      <w:lang w:eastAsia="de-DE" w:bidi="en-US"/>
      <w14:ligatures w14:val="none"/>
    </w:rPr>
  </w:style>
  <w:style w:type="paragraph" w:customStyle="1" w:styleId="TSP18keywords">
    <w:name w:val="TSP_1.8_keywords"/>
    <w:next w:val="Normal"/>
    <w:qFormat/>
    <w:rsid w:val="007327FE"/>
    <w:pPr>
      <w:adjustRightInd w:val="0"/>
      <w:snapToGrid w:val="0"/>
      <w:spacing w:before="240" w:after="0" w:line="240" w:lineRule="atLeast"/>
      <w:jc w:val="both"/>
    </w:pPr>
    <w:rPr>
      <w:rFonts w:ascii="Minion Pro" w:eastAsia="Times New Roman" w:hAnsi="Minion Pro" w:cs="Times New Roman"/>
      <w:snapToGrid w:val="0"/>
      <w:color w:val="000000"/>
      <w:kern w:val="0"/>
      <w:sz w:val="20"/>
      <w:szCs w:val="22"/>
      <w:lang w:eastAsia="de-DE" w:bidi="en-US"/>
      <w14:ligatures w14:val="none"/>
    </w:rPr>
  </w:style>
  <w:style w:type="paragraph" w:customStyle="1" w:styleId="TSP19classification">
    <w:name w:val="TSP_1.9_classification"/>
    <w:qFormat/>
    <w:rsid w:val="007327FE"/>
    <w:pPr>
      <w:spacing w:before="240" w:after="0" w:line="240" w:lineRule="atLeast"/>
      <w:jc w:val="both"/>
    </w:pPr>
    <w:rPr>
      <w:rFonts w:ascii="Minion Pro" w:eastAsia="Times New Roman" w:hAnsi="Minion Pro" w:cs="Times New Roman"/>
      <w:b/>
      <w:color w:val="000000"/>
      <w:kern w:val="0"/>
      <w:sz w:val="20"/>
      <w:szCs w:val="22"/>
      <w:lang w:eastAsia="de-DE" w:bidi="en-US"/>
      <w14:ligatures w14:val="none"/>
    </w:rPr>
  </w:style>
  <w:style w:type="paragraph" w:customStyle="1" w:styleId="TSP19line">
    <w:name w:val="TSP_1.9_line"/>
    <w:qFormat/>
    <w:rsid w:val="007327FE"/>
    <w:pPr>
      <w:pBdr>
        <w:bottom w:val="single" w:sz="6" w:space="1" w:color="auto"/>
      </w:pBdr>
      <w:adjustRightInd w:val="0"/>
      <w:snapToGrid w:val="0"/>
      <w:spacing w:after="480" w:line="240" w:lineRule="atLeast"/>
      <w:jc w:val="both"/>
    </w:pPr>
    <w:rPr>
      <w:rFonts w:ascii="Minion Pro" w:eastAsia="Times New Roman" w:hAnsi="Minion Pro" w:cs="Cordia New"/>
      <w:color w:val="000000"/>
      <w:kern w:val="0"/>
      <w:sz w:val="20"/>
      <w:lang w:eastAsia="de-DE" w:bidi="en-US"/>
      <w14:ligatures w14:val="none"/>
    </w:rPr>
  </w:style>
  <w:style w:type="paragraph" w:customStyle="1" w:styleId="TSP21heading1">
    <w:name w:val="TSP_2.1_heading1"/>
    <w:qFormat/>
    <w:rsid w:val="007327FE"/>
    <w:pPr>
      <w:adjustRightInd w:val="0"/>
      <w:snapToGrid w:val="0"/>
      <w:spacing w:before="240" w:after="60" w:line="240" w:lineRule="atLeast"/>
      <w:outlineLvl w:val="0"/>
    </w:pPr>
    <w:rPr>
      <w:rFonts w:ascii="Minion Pro" w:eastAsia="Times New Roman" w:hAnsi="Minion Pro" w:cs="Times New Roman"/>
      <w:b/>
      <w:snapToGrid w:val="0"/>
      <w:color w:val="000000"/>
      <w:kern w:val="0"/>
      <w:sz w:val="22"/>
      <w:szCs w:val="22"/>
      <w:lang w:eastAsia="de-DE" w:bidi="en-US"/>
      <w14:ligatures w14:val="none"/>
    </w:rPr>
  </w:style>
  <w:style w:type="paragraph" w:customStyle="1" w:styleId="TSP22heading2">
    <w:name w:val="TSP_2.2_heading2"/>
    <w:qFormat/>
    <w:rsid w:val="007327FE"/>
    <w:pPr>
      <w:adjustRightInd w:val="0"/>
      <w:snapToGrid w:val="0"/>
      <w:spacing w:before="60" w:after="60" w:line="240" w:lineRule="atLeast"/>
      <w:outlineLvl w:val="1"/>
    </w:pPr>
    <w:rPr>
      <w:rFonts w:ascii="Minion Pro" w:eastAsia="Times New Roman" w:hAnsi="Minion Pro" w:cs="Times New Roman"/>
      <w:b/>
      <w:i/>
      <w:noProof/>
      <w:snapToGrid w:val="0"/>
      <w:color w:val="000000"/>
      <w:kern w:val="0"/>
      <w:sz w:val="22"/>
      <w:szCs w:val="22"/>
      <w:lang w:eastAsia="de-DE" w:bidi="en-US"/>
      <w14:ligatures w14:val="none"/>
    </w:rPr>
  </w:style>
  <w:style w:type="paragraph" w:customStyle="1" w:styleId="TSP23heading3">
    <w:name w:val="TSP_2.3_heading3"/>
    <w:qFormat/>
    <w:rsid w:val="007327FE"/>
    <w:pPr>
      <w:adjustRightInd w:val="0"/>
      <w:snapToGrid w:val="0"/>
      <w:spacing w:before="60" w:after="60" w:line="240" w:lineRule="atLeast"/>
      <w:outlineLvl w:val="2"/>
    </w:pPr>
    <w:rPr>
      <w:rFonts w:ascii="Minion Pro" w:eastAsia="Times New Roman" w:hAnsi="Minion Pro" w:cs="Times New Roman"/>
      <w:i/>
      <w:snapToGrid w:val="0"/>
      <w:color w:val="000000"/>
      <w:kern w:val="0"/>
      <w:sz w:val="22"/>
      <w:szCs w:val="22"/>
      <w:lang w:eastAsia="de-DE" w:bidi="en-US"/>
      <w14:ligatures w14:val="none"/>
    </w:rPr>
  </w:style>
  <w:style w:type="paragraph" w:customStyle="1" w:styleId="TSP24heading4">
    <w:name w:val="TSP_2.4_heading4"/>
    <w:basedOn w:val="TSP23heading3"/>
    <w:qFormat/>
    <w:rsid w:val="007327FE"/>
    <w:pPr>
      <w:outlineLvl w:val="3"/>
    </w:pPr>
    <w:rPr>
      <w:i w:val="0"/>
    </w:rPr>
  </w:style>
  <w:style w:type="paragraph" w:customStyle="1" w:styleId="TSP31text">
    <w:name w:val="TSP_3.1_text"/>
    <w:qFormat/>
    <w:rsid w:val="007327FE"/>
    <w:pPr>
      <w:adjustRightInd w:val="0"/>
      <w:snapToGrid w:val="0"/>
      <w:spacing w:after="60" w:line="240" w:lineRule="atLeast"/>
      <w:ind w:firstLine="425"/>
      <w:jc w:val="both"/>
    </w:pPr>
    <w:rPr>
      <w:rFonts w:ascii="Minion Pro" w:eastAsia="Times New Roman" w:hAnsi="Minion Pro" w:cs="Times New Roman"/>
      <w:snapToGrid w:val="0"/>
      <w:color w:val="000000"/>
      <w:kern w:val="0"/>
      <w:sz w:val="22"/>
      <w:szCs w:val="22"/>
      <w:lang w:eastAsia="de-DE" w:bidi="en-US"/>
      <w14:ligatures w14:val="none"/>
    </w:rPr>
  </w:style>
  <w:style w:type="paragraph" w:customStyle="1" w:styleId="TSP32textnoindent">
    <w:name w:val="TSP_3.2_text_no_indent"/>
    <w:basedOn w:val="TSP31text"/>
    <w:qFormat/>
    <w:rsid w:val="007327FE"/>
    <w:pPr>
      <w:ind w:firstLine="0"/>
    </w:pPr>
  </w:style>
  <w:style w:type="paragraph" w:customStyle="1" w:styleId="TSP33textspaceafter">
    <w:name w:val="TSP_3.3_text_space_after"/>
    <w:qFormat/>
    <w:rsid w:val="007327FE"/>
    <w:pPr>
      <w:adjustRightInd w:val="0"/>
      <w:snapToGrid w:val="0"/>
      <w:spacing w:after="240" w:line="240" w:lineRule="atLeast"/>
      <w:ind w:firstLine="425"/>
      <w:jc w:val="both"/>
    </w:pPr>
    <w:rPr>
      <w:rFonts w:ascii="Minion Pro" w:eastAsia="Times New Roman" w:hAnsi="Minion Pro" w:cs="Times New Roman"/>
      <w:snapToGrid w:val="0"/>
      <w:color w:val="000000"/>
      <w:kern w:val="0"/>
      <w:sz w:val="22"/>
      <w:szCs w:val="22"/>
      <w:lang w:eastAsia="de-DE" w:bidi="en-US"/>
      <w14:ligatures w14:val="none"/>
    </w:rPr>
  </w:style>
  <w:style w:type="paragraph" w:customStyle="1" w:styleId="TSP34textspacebefore">
    <w:name w:val="TSP_3.4_text_space_before"/>
    <w:qFormat/>
    <w:rsid w:val="007327FE"/>
    <w:pPr>
      <w:adjustRightInd w:val="0"/>
      <w:snapToGrid w:val="0"/>
      <w:spacing w:before="240" w:after="0" w:line="240" w:lineRule="atLeast"/>
      <w:ind w:firstLine="425"/>
      <w:jc w:val="both"/>
    </w:pPr>
    <w:rPr>
      <w:rFonts w:ascii="Minion Pro" w:eastAsia="Times New Roman" w:hAnsi="Minion Pro" w:cs="Times New Roman"/>
      <w:snapToGrid w:val="0"/>
      <w:color w:val="000000"/>
      <w:kern w:val="0"/>
      <w:sz w:val="22"/>
      <w:szCs w:val="22"/>
      <w:lang w:eastAsia="de-DE" w:bidi="en-US"/>
      <w14:ligatures w14:val="none"/>
    </w:rPr>
  </w:style>
  <w:style w:type="paragraph" w:customStyle="1" w:styleId="TSP35textbeforelist">
    <w:name w:val="TSP_3.5_text_before_list"/>
    <w:qFormat/>
    <w:rsid w:val="007327FE"/>
    <w:pPr>
      <w:adjustRightInd w:val="0"/>
      <w:snapToGrid w:val="0"/>
      <w:spacing w:after="60" w:line="240" w:lineRule="atLeast"/>
      <w:ind w:firstLine="425"/>
      <w:jc w:val="both"/>
    </w:pPr>
    <w:rPr>
      <w:rFonts w:ascii="Minion Pro" w:eastAsia="Times New Roman" w:hAnsi="Minion Pro" w:cs="Times New Roman"/>
      <w:snapToGrid w:val="0"/>
      <w:color w:val="000000"/>
      <w:kern w:val="0"/>
      <w:sz w:val="22"/>
      <w:szCs w:val="22"/>
      <w:lang w:eastAsia="de-DE" w:bidi="en-US"/>
      <w14:ligatures w14:val="none"/>
    </w:rPr>
  </w:style>
  <w:style w:type="paragraph" w:customStyle="1" w:styleId="TSP36textafterlist">
    <w:name w:val="TSP_3.6_text_after_list"/>
    <w:qFormat/>
    <w:rsid w:val="007327FE"/>
    <w:pPr>
      <w:adjustRightInd w:val="0"/>
      <w:snapToGrid w:val="0"/>
      <w:spacing w:before="60" w:after="0" w:line="240" w:lineRule="atLeast"/>
      <w:ind w:firstLine="425"/>
      <w:jc w:val="both"/>
    </w:pPr>
    <w:rPr>
      <w:rFonts w:ascii="Minion Pro" w:eastAsia="Times New Roman" w:hAnsi="Minion Pro" w:cs="Times New Roman"/>
      <w:snapToGrid w:val="0"/>
      <w:color w:val="000000"/>
      <w:kern w:val="0"/>
      <w:sz w:val="22"/>
      <w:szCs w:val="22"/>
      <w:lang w:eastAsia="de-DE" w:bidi="en-US"/>
      <w14:ligatures w14:val="none"/>
    </w:rPr>
  </w:style>
  <w:style w:type="paragraph" w:customStyle="1" w:styleId="TSP37itemize">
    <w:name w:val="TSP_3.7_itemize"/>
    <w:qFormat/>
    <w:rsid w:val="007327FE"/>
    <w:pPr>
      <w:numPr>
        <w:numId w:val="1"/>
      </w:numPr>
      <w:adjustRightInd w:val="0"/>
      <w:snapToGrid w:val="0"/>
      <w:spacing w:after="0" w:line="228" w:lineRule="auto"/>
      <w:jc w:val="both"/>
    </w:pPr>
    <w:rPr>
      <w:rFonts w:ascii="Minion Pro" w:eastAsia="Times New Roman" w:hAnsi="Minion Pro" w:cs="Times New Roman"/>
      <w:color w:val="000000"/>
      <w:kern w:val="0"/>
      <w:sz w:val="22"/>
      <w:szCs w:val="22"/>
      <w:lang w:eastAsia="de-DE" w:bidi="en-US"/>
      <w14:ligatures w14:val="none"/>
    </w:rPr>
  </w:style>
  <w:style w:type="paragraph" w:customStyle="1" w:styleId="TSP38bullet">
    <w:name w:val="TSP_3.8_bullet"/>
    <w:qFormat/>
    <w:rsid w:val="007327FE"/>
    <w:pPr>
      <w:numPr>
        <w:numId w:val="2"/>
      </w:numPr>
      <w:adjustRightInd w:val="0"/>
      <w:snapToGrid w:val="0"/>
      <w:spacing w:after="0" w:line="228" w:lineRule="auto"/>
      <w:jc w:val="both"/>
    </w:pPr>
    <w:rPr>
      <w:rFonts w:ascii="Minion Pro" w:eastAsia="Times New Roman" w:hAnsi="Minion Pro" w:cs="Times New Roman"/>
      <w:color w:val="000000"/>
      <w:kern w:val="0"/>
      <w:sz w:val="22"/>
      <w:szCs w:val="22"/>
      <w:lang w:eastAsia="de-DE" w:bidi="en-US"/>
      <w14:ligatures w14:val="none"/>
    </w:rPr>
  </w:style>
  <w:style w:type="paragraph" w:customStyle="1" w:styleId="TSP39equation">
    <w:name w:val="TSP_3.9_equation"/>
    <w:qFormat/>
    <w:rsid w:val="007327FE"/>
    <w:pPr>
      <w:adjustRightInd w:val="0"/>
      <w:snapToGrid w:val="0"/>
      <w:spacing w:before="120" w:after="120" w:line="240" w:lineRule="atLeast"/>
    </w:pPr>
    <w:rPr>
      <w:rFonts w:ascii="Minion Pro" w:eastAsia="Times New Roman" w:hAnsi="Minion Pro" w:cs="Times New Roman"/>
      <w:snapToGrid w:val="0"/>
      <w:color w:val="000000"/>
      <w:kern w:val="0"/>
      <w:sz w:val="22"/>
      <w:szCs w:val="22"/>
      <w:lang w:eastAsia="de-DE" w:bidi="en-US"/>
      <w14:ligatures w14:val="none"/>
    </w:rPr>
  </w:style>
  <w:style w:type="paragraph" w:customStyle="1" w:styleId="TSP3aequationnumber">
    <w:name w:val="TSP_3.a_equation_number"/>
    <w:qFormat/>
    <w:rsid w:val="007327FE"/>
    <w:pPr>
      <w:spacing w:before="120" w:after="120" w:line="240" w:lineRule="atLeast"/>
      <w:jc w:val="right"/>
    </w:pPr>
    <w:rPr>
      <w:rFonts w:ascii="Minion Pro" w:eastAsia="Times New Roman" w:hAnsi="Minion Pro" w:cs="Times New Roman"/>
      <w:snapToGrid w:val="0"/>
      <w:color w:val="000000"/>
      <w:kern w:val="0"/>
      <w:sz w:val="22"/>
      <w:szCs w:val="22"/>
      <w:lang w:eastAsia="de-DE" w:bidi="en-US"/>
      <w14:ligatures w14:val="none"/>
    </w:rPr>
  </w:style>
  <w:style w:type="paragraph" w:customStyle="1" w:styleId="TSP411onetablecaption">
    <w:name w:val="TSP_4.1.1_one_table_caption"/>
    <w:qFormat/>
    <w:rsid w:val="007327FE"/>
    <w:pPr>
      <w:adjustRightInd w:val="0"/>
      <w:snapToGrid w:val="0"/>
      <w:spacing w:before="240" w:after="120" w:line="240" w:lineRule="atLeast"/>
      <w:jc w:val="center"/>
    </w:pPr>
    <w:rPr>
      <w:rFonts w:ascii="Minion Pro" w:hAnsi="Minion Pro" w:cs="Cordia New"/>
      <w:noProof/>
      <w:color w:val="000000"/>
      <w:kern w:val="0"/>
      <w:sz w:val="20"/>
      <w:szCs w:val="22"/>
      <w:lang w:bidi="en-US"/>
      <w14:ligatures w14:val="none"/>
    </w:rPr>
  </w:style>
  <w:style w:type="paragraph" w:customStyle="1" w:styleId="TSP41tablecaption">
    <w:name w:val="TSP_4.1_table_caption"/>
    <w:qFormat/>
    <w:rsid w:val="007327FE"/>
    <w:pPr>
      <w:adjustRightInd w:val="0"/>
      <w:snapToGrid w:val="0"/>
      <w:spacing w:before="240" w:after="120" w:line="240" w:lineRule="atLeast"/>
      <w:jc w:val="both"/>
    </w:pPr>
    <w:rPr>
      <w:rFonts w:ascii="Minion Pro" w:eastAsia="Times New Roman" w:hAnsi="Minion Pro" w:cs="Cordia New"/>
      <w:color w:val="000000"/>
      <w:kern w:val="0"/>
      <w:sz w:val="20"/>
      <w:szCs w:val="22"/>
      <w:lang w:eastAsia="de-DE" w:bidi="en-US"/>
      <w14:ligatures w14:val="none"/>
    </w:rPr>
  </w:style>
  <w:style w:type="paragraph" w:customStyle="1" w:styleId="TSP42tablebody">
    <w:name w:val="TSP_4.2_table_body"/>
    <w:qFormat/>
    <w:rsid w:val="007327FE"/>
    <w:pPr>
      <w:adjustRightInd w:val="0"/>
      <w:snapToGrid w:val="0"/>
      <w:spacing w:after="0" w:line="240" w:lineRule="atLeast"/>
      <w:jc w:val="center"/>
    </w:pPr>
    <w:rPr>
      <w:rFonts w:ascii="Minion Pro" w:eastAsia="Times New Roman" w:hAnsi="Minion Pro" w:cs="Times New Roman"/>
      <w:snapToGrid w:val="0"/>
      <w:color w:val="000000"/>
      <w:kern w:val="0"/>
      <w:sz w:val="20"/>
      <w:szCs w:val="20"/>
      <w:lang w:eastAsia="de-DE" w:bidi="en-US"/>
      <w14:ligatures w14:val="none"/>
    </w:rPr>
  </w:style>
  <w:style w:type="paragraph" w:customStyle="1" w:styleId="TSP43tablefooter">
    <w:name w:val="TSP_4.3_table_footer"/>
    <w:next w:val="TSP31text"/>
    <w:qFormat/>
    <w:rsid w:val="007327FE"/>
    <w:pPr>
      <w:adjustRightInd w:val="0"/>
      <w:snapToGrid w:val="0"/>
      <w:spacing w:after="240" w:line="240" w:lineRule="atLeast"/>
      <w:jc w:val="both"/>
    </w:pPr>
    <w:rPr>
      <w:rFonts w:ascii="Minion Pro" w:eastAsia="Times New Roman" w:hAnsi="Minion Pro" w:cs="Cordia New"/>
      <w:color w:val="000000"/>
      <w:kern w:val="0"/>
      <w:sz w:val="20"/>
      <w:szCs w:val="22"/>
      <w:lang w:eastAsia="de-DE" w:bidi="en-US"/>
      <w14:ligatures w14:val="none"/>
    </w:rPr>
  </w:style>
  <w:style w:type="paragraph" w:customStyle="1" w:styleId="TSP511onefigurecaption">
    <w:name w:val="TSP_5.1.1_one_figure_caption"/>
    <w:qFormat/>
    <w:rsid w:val="007327FE"/>
    <w:pPr>
      <w:adjustRightInd w:val="0"/>
      <w:snapToGrid w:val="0"/>
      <w:spacing w:before="120" w:after="240" w:line="240" w:lineRule="atLeast"/>
      <w:jc w:val="center"/>
    </w:pPr>
    <w:rPr>
      <w:rFonts w:ascii="Minion Pro" w:hAnsi="Minion Pro" w:cs="Times New Roman"/>
      <w:noProof/>
      <w:color w:val="000000"/>
      <w:kern w:val="0"/>
      <w:sz w:val="20"/>
      <w:szCs w:val="20"/>
      <w:lang w:bidi="en-US"/>
      <w14:ligatures w14:val="none"/>
    </w:rPr>
  </w:style>
  <w:style w:type="paragraph" w:customStyle="1" w:styleId="TSP51figurecaption">
    <w:name w:val="TSP_5.1_figure_caption"/>
    <w:qFormat/>
    <w:rsid w:val="007327FE"/>
    <w:pPr>
      <w:adjustRightInd w:val="0"/>
      <w:snapToGrid w:val="0"/>
      <w:spacing w:before="120" w:after="240" w:line="240" w:lineRule="atLeast"/>
      <w:jc w:val="both"/>
    </w:pPr>
    <w:rPr>
      <w:rFonts w:ascii="Minion Pro" w:eastAsia="Times New Roman" w:hAnsi="Minion Pro" w:cs="Times New Roman"/>
      <w:color w:val="000000"/>
      <w:kern w:val="0"/>
      <w:sz w:val="20"/>
      <w:szCs w:val="20"/>
      <w:lang w:eastAsia="de-DE" w:bidi="en-US"/>
      <w14:ligatures w14:val="none"/>
    </w:rPr>
  </w:style>
  <w:style w:type="paragraph" w:customStyle="1" w:styleId="TSP52figure">
    <w:name w:val="TSP_5.2_figure"/>
    <w:qFormat/>
    <w:rsid w:val="007327FE"/>
    <w:pPr>
      <w:adjustRightInd w:val="0"/>
      <w:snapToGrid w:val="0"/>
      <w:spacing w:before="240" w:after="120" w:line="240" w:lineRule="atLeast"/>
      <w:jc w:val="center"/>
    </w:pPr>
    <w:rPr>
      <w:rFonts w:ascii="Minion Pro" w:eastAsia="Times New Roman" w:hAnsi="Minion Pro" w:cs="Times New Roman"/>
      <w:snapToGrid w:val="0"/>
      <w:color w:val="000000"/>
      <w:kern w:val="0"/>
      <w:sz w:val="20"/>
      <w:szCs w:val="20"/>
      <w:lang w:eastAsia="de-DE" w:bidi="en-US"/>
      <w14:ligatures w14:val="none"/>
    </w:rPr>
  </w:style>
  <w:style w:type="paragraph" w:customStyle="1" w:styleId="TSP61Citation">
    <w:name w:val="TSP_6.1_Citation"/>
    <w:qFormat/>
    <w:rsid w:val="007327FE"/>
    <w:pPr>
      <w:adjustRightInd w:val="0"/>
      <w:snapToGrid w:val="0"/>
      <w:spacing w:after="0" w:line="240" w:lineRule="atLeast"/>
    </w:pPr>
    <w:rPr>
      <w:rFonts w:ascii="Minion Pro" w:hAnsi="Minion Pro" w:cs="Cordia New"/>
      <w:kern w:val="0"/>
      <w:sz w:val="22"/>
      <w:szCs w:val="22"/>
      <w14:ligatures w14:val="none"/>
    </w:rPr>
  </w:style>
  <w:style w:type="paragraph" w:customStyle="1" w:styleId="TSP62BackMatter">
    <w:name w:val="TSP_6.2_BackMatter"/>
    <w:qFormat/>
    <w:rsid w:val="007327FE"/>
    <w:pPr>
      <w:adjustRightInd w:val="0"/>
      <w:snapToGrid w:val="0"/>
      <w:spacing w:before="120" w:after="120" w:line="240" w:lineRule="atLeast"/>
      <w:jc w:val="both"/>
    </w:pPr>
    <w:rPr>
      <w:rFonts w:ascii="Minion Pro" w:eastAsia="Times New Roman" w:hAnsi="Minion Pro" w:cs="Times New Roman"/>
      <w:snapToGrid w:val="0"/>
      <w:color w:val="000000"/>
      <w:kern w:val="0"/>
      <w:sz w:val="20"/>
      <w:szCs w:val="20"/>
      <w:lang w:eastAsia="en-US" w:bidi="en-US"/>
      <w14:ligatures w14:val="none"/>
    </w:rPr>
  </w:style>
  <w:style w:type="paragraph" w:customStyle="1" w:styleId="TSP63Notes">
    <w:name w:val="TSP_6.3_Notes"/>
    <w:qFormat/>
    <w:rsid w:val="007327FE"/>
    <w:pPr>
      <w:adjustRightInd w:val="0"/>
      <w:snapToGrid w:val="0"/>
      <w:spacing w:before="60" w:after="60" w:line="228" w:lineRule="auto"/>
      <w:jc w:val="both"/>
    </w:pPr>
    <w:rPr>
      <w:rFonts w:ascii="Minion Pro" w:hAnsi="Minion Pro" w:cs="Times New Roman"/>
      <w:snapToGrid w:val="0"/>
      <w:color w:val="000000"/>
      <w:kern w:val="0"/>
      <w:sz w:val="18"/>
      <w:szCs w:val="20"/>
      <w:lang w:eastAsia="en-US" w:bidi="en-US"/>
      <w14:ligatures w14:val="none"/>
    </w:rPr>
  </w:style>
  <w:style w:type="paragraph" w:customStyle="1" w:styleId="TSP71FootNotes">
    <w:name w:val="TSP_7.1_FootNotes"/>
    <w:qFormat/>
    <w:rsid w:val="007327FE"/>
    <w:pPr>
      <w:numPr>
        <w:numId w:val="3"/>
      </w:numPr>
      <w:adjustRightInd w:val="0"/>
      <w:snapToGrid w:val="0"/>
      <w:spacing w:before="60" w:after="60" w:line="228" w:lineRule="auto"/>
      <w:jc w:val="both"/>
    </w:pPr>
    <w:rPr>
      <w:rFonts w:ascii="Minion Pro" w:hAnsi="Minion Pro" w:cs="Times New Roman"/>
      <w:noProof/>
      <w:color w:val="000000"/>
      <w:kern w:val="0"/>
      <w:sz w:val="18"/>
      <w:szCs w:val="20"/>
      <w14:ligatures w14:val="none"/>
    </w:rPr>
  </w:style>
  <w:style w:type="paragraph" w:customStyle="1" w:styleId="TSP71References">
    <w:name w:val="TSP_7.1_References"/>
    <w:qFormat/>
    <w:rsid w:val="007327FE"/>
    <w:pPr>
      <w:numPr>
        <w:numId w:val="4"/>
      </w:numPr>
      <w:adjustRightInd w:val="0"/>
      <w:snapToGrid w:val="0"/>
      <w:spacing w:after="0" w:line="228" w:lineRule="auto"/>
      <w:jc w:val="both"/>
    </w:pPr>
    <w:rPr>
      <w:rFonts w:ascii="Minion Pro" w:eastAsia="等线" w:hAnsi="Minion Pro" w:cs="Times New Roman"/>
      <w:color w:val="000000"/>
      <w:kern w:val="0"/>
      <w:sz w:val="20"/>
      <w:szCs w:val="20"/>
      <w:lang w:eastAsia="de-DE" w:bidi="en-US"/>
      <w14:ligatures w14:val="none"/>
    </w:rPr>
  </w:style>
  <w:style w:type="paragraph" w:customStyle="1" w:styleId="TSP72Copyright">
    <w:name w:val="TSP_7.2_Copyright"/>
    <w:qFormat/>
    <w:rsid w:val="00952D5C"/>
    <w:pPr>
      <w:adjustRightInd w:val="0"/>
      <w:snapToGrid w:val="0"/>
      <w:spacing w:after="0" w:line="228" w:lineRule="auto"/>
      <w:jc w:val="both"/>
    </w:pPr>
    <w:rPr>
      <w:rFonts w:ascii="Minion Pro" w:eastAsia="Times New Roman" w:hAnsi="Minion Pro" w:cs="Times New Roman"/>
      <w:noProof/>
      <w:snapToGrid w:val="0"/>
      <w:color w:val="000000"/>
      <w:kern w:val="0"/>
      <w:sz w:val="18"/>
      <w:szCs w:val="20"/>
      <w:lang w:val="en-GB" w:eastAsia="en-GB"/>
      <w14:ligatures w14:val="none"/>
    </w:rPr>
  </w:style>
  <w:style w:type="paragraph" w:customStyle="1" w:styleId="TSP73CopyrightImage">
    <w:name w:val="TSP_7.3_CopyrightImage"/>
    <w:qFormat/>
    <w:rsid w:val="007327FE"/>
    <w:pPr>
      <w:adjustRightInd w:val="0"/>
      <w:snapToGrid w:val="0"/>
      <w:spacing w:before="20" w:after="0" w:line="228" w:lineRule="auto"/>
    </w:pPr>
    <w:rPr>
      <w:rFonts w:ascii="Minion Pro" w:eastAsia="Times New Roman" w:hAnsi="Minion Pro" w:cs="Times New Roman"/>
      <w:color w:val="000000"/>
      <w:kern w:val="0"/>
      <w:sz w:val="18"/>
      <w:szCs w:val="20"/>
      <w:lang w:eastAsia="de-CH"/>
      <w14:ligatures w14:val="none"/>
    </w:rPr>
  </w:style>
  <w:style w:type="paragraph" w:customStyle="1" w:styleId="TSP81theorem">
    <w:name w:val="TSP_8.1_theorem"/>
    <w:qFormat/>
    <w:rsid w:val="007327FE"/>
    <w:pPr>
      <w:adjustRightInd w:val="0"/>
      <w:snapToGrid w:val="0"/>
      <w:spacing w:before="240" w:after="240" w:line="240" w:lineRule="atLeast"/>
      <w:jc w:val="both"/>
    </w:pPr>
    <w:rPr>
      <w:rFonts w:ascii="Minion Pro" w:eastAsia="Times New Roman" w:hAnsi="Minion Pro" w:cs="Times New Roman"/>
      <w:i/>
      <w:snapToGrid w:val="0"/>
      <w:color w:val="000000"/>
      <w:kern w:val="0"/>
      <w:sz w:val="22"/>
      <w:szCs w:val="22"/>
      <w:lang w:eastAsia="de-DE" w:bidi="en-US"/>
      <w14:ligatures w14:val="none"/>
    </w:rPr>
  </w:style>
  <w:style w:type="paragraph" w:customStyle="1" w:styleId="TSP82proof">
    <w:name w:val="TSP_8.2_proof"/>
    <w:qFormat/>
    <w:rsid w:val="007327FE"/>
    <w:pPr>
      <w:adjustRightInd w:val="0"/>
      <w:snapToGrid w:val="0"/>
      <w:spacing w:before="240" w:after="240" w:line="240" w:lineRule="atLeast"/>
      <w:jc w:val="both"/>
    </w:pPr>
    <w:rPr>
      <w:rFonts w:ascii="Minion Pro" w:eastAsia="Times New Roman" w:hAnsi="Minion Pro" w:cs="Times New Roman"/>
      <w:snapToGrid w:val="0"/>
      <w:color w:val="000000"/>
      <w:kern w:val="0"/>
      <w:sz w:val="22"/>
      <w:szCs w:val="22"/>
      <w:lang w:eastAsia="de-DE" w:bidi="en-US"/>
      <w14:ligatures w14:val="none"/>
    </w:rPr>
  </w:style>
  <w:style w:type="paragraph" w:customStyle="1" w:styleId="TSPequationFram">
    <w:name w:val="TSP_equationFram"/>
    <w:qFormat/>
    <w:rsid w:val="007327FE"/>
    <w:pPr>
      <w:adjustRightInd w:val="0"/>
      <w:snapToGrid w:val="0"/>
      <w:spacing w:before="120" w:after="120" w:line="240" w:lineRule="auto"/>
    </w:pPr>
    <w:rPr>
      <w:rFonts w:ascii="Minion Pro" w:eastAsia="Times New Roman" w:hAnsi="Minion Pro" w:cs="Times New Roman"/>
      <w:snapToGrid w:val="0"/>
      <w:color w:val="000000"/>
      <w:kern w:val="0"/>
      <w:sz w:val="22"/>
      <w:szCs w:val="22"/>
      <w:lang w:eastAsia="de-DE" w:bidi="en-US"/>
      <w14:ligatures w14:val="none"/>
    </w:rPr>
  </w:style>
  <w:style w:type="paragraph" w:customStyle="1" w:styleId="TSPfooter">
    <w:name w:val="TSP_footer"/>
    <w:qFormat/>
    <w:rsid w:val="007327FE"/>
    <w:pPr>
      <w:adjustRightInd w:val="0"/>
      <w:snapToGrid w:val="0"/>
      <w:spacing w:after="0" w:line="228" w:lineRule="auto"/>
      <w:jc w:val="both"/>
    </w:pPr>
    <w:rPr>
      <w:rFonts w:ascii="Minion Pro" w:eastAsia="Times New Roman" w:hAnsi="Minion Pro" w:cs="Times New Roman"/>
      <w:color w:val="000000"/>
      <w:kern w:val="0"/>
      <w:sz w:val="16"/>
      <w:szCs w:val="20"/>
      <w:lang w:eastAsia="de-DE"/>
      <w14:ligatures w14:val="none"/>
    </w:rPr>
  </w:style>
  <w:style w:type="paragraph" w:customStyle="1" w:styleId="TSPfooterfirstpage">
    <w:name w:val="TSP_footer_firstpage"/>
    <w:qFormat/>
    <w:rsid w:val="007327FE"/>
    <w:pPr>
      <w:tabs>
        <w:tab w:val="right" w:pos="8845"/>
      </w:tabs>
      <w:suppressAutoHyphens/>
      <w:snapToGrid w:val="0"/>
      <w:spacing w:after="0" w:line="228" w:lineRule="auto"/>
      <w:jc w:val="both"/>
    </w:pPr>
    <w:rPr>
      <w:rFonts w:ascii="Minion Pro" w:eastAsia="Times New Roman" w:hAnsi="Minion Pro" w:cs="Times New Roman"/>
      <w:color w:val="000000"/>
      <w:kern w:val="0"/>
      <w:sz w:val="16"/>
      <w:szCs w:val="20"/>
      <w:lang w:eastAsia="de-DE"/>
      <w14:ligatures w14:val="none"/>
    </w:rPr>
  </w:style>
  <w:style w:type="paragraph" w:customStyle="1" w:styleId="TSPheader">
    <w:name w:val="TSP_header"/>
    <w:qFormat/>
    <w:rsid w:val="007327FE"/>
    <w:pPr>
      <w:adjustRightInd w:val="0"/>
      <w:snapToGrid w:val="0"/>
      <w:spacing w:after="0" w:line="228" w:lineRule="auto"/>
      <w:jc w:val="both"/>
    </w:pPr>
    <w:rPr>
      <w:rFonts w:ascii="Minion Pro" w:eastAsia="Times New Roman" w:hAnsi="Minion Pro" w:cs="Times New Roman"/>
      <w:iCs/>
      <w:color w:val="000000"/>
      <w:kern w:val="0"/>
      <w:sz w:val="16"/>
      <w:szCs w:val="20"/>
      <w:lang w:eastAsia="de-DE"/>
      <w14:ligatures w14:val="none"/>
    </w:rPr>
  </w:style>
  <w:style w:type="paragraph" w:customStyle="1" w:styleId="TSPheadercitation">
    <w:name w:val="TSP_header_citation"/>
    <w:qFormat/>
    <w:rsid w:val="007327FE"/>
    <w:pPr>
      <w:spacing w:after="0" w:line="228" w:lineRule="auto"/>
    </w:pPr>
    <w:rPr>
      <w:rFonts w:ascii="Minion Pro" w:eastAsia="Times New Roman" w:hAnsi="Minion Pro" w:cs="Times New Roman"/>
      <w:snapToGrid w:val="0"/>
      <w:color w:val="000000"/>
      <w:kern w:val="0"/>
      <w:sz w:val="16"/>
      <w:szCs w:val="20"/>
      <w:lang w:eastAsia="de-DE" w:bidi="en-US"/>
      <w14:ligatures w14:val="none"/>
    </w:rPr>
  </w:style>
  <w:style w:type="paragraph" w:customStyle="1" w:styleId="TSPheaderjournallogo">
    <w:name w:val="TSP_header_journal_logo"/>
    <w:qFormat/>
    <w:rsid w:val="007327FE"/>
    <w:pPr>
      <w:adjustRightInd w:val="0"/>
      <w:snapToGrid w:val="0"/>
      <w:spacing w:after="0" w:line="240" w:lineRule="atLeast"/>
    </w:pPr>
    <w:rPr>
      <w:rFonts w:ascii="Minion Pro" w:eastAsia="Times New Roman" w:hAnsi="Minion Pro" w:cs="Times New Roman"/>
      <w:color w:val="000000"/>
      <w:kern w:val="0"/>
      <w:sz w:val="22"/>
      <w:szCs w:val="22"/>
      <w:lang w:eastAsia="de-CH"/>
      <w14:ligatures w14:val="none"/>
    </w:rPr>
  </w:style>
  <w:style w:type="paragraph" w:customStyle="1" w:styleId="TSPheadertsplogo">
    <w:name w:val="TSP_header_tsp_logo"/>
    <w:qFormat/>
    <w:rsid w:val="007327FE"/>
    <w:pPr>
      <w:adjustRightInd w:val="0"/>
      <w:snapToGrid w:val="0"/>
      <w:spacing w:after="0" w:line="240" w:lineRule="atLeast"/>
      <w:jc w:val="right"/>
    </w:pPr>
    <w:rPr>
      <w:rFonts w:ascii="Minion Pro" w:eastAsia="Times New Roman" w:hAnsi="Minion Pro" w:cs="Times New Roman"/>
      <w:color w:val="000000"/>
      <w:kern w:val="0"/>
      <w:sz w:val="22"/>
      <w:szCs w:val="22"/>
      <w:lang w:eastAsia="de-CH"/>
      <w14:ligatures w14:val="none"/>
    </w:rPr>
  </w:style>
  <w:style w:type="paragraph" w:customStyle="1" w:styleId="TSPtext">
    <w:name w:val="TSP_text"/>
    <w:qFormat/>
    <w:rsid w:val="007327FE"/>
    <w:pPr>
      <w:snapToGrid w:val="0"/>
      <w:spacing w:after="0" w:line="240" w:lineRule="atLeast"/>
      <w:ind w:firstLine="425"/>
      <w:jc w:val="both"/>
    </w:pPr>
    <w:rPr>
      <w:rFonts w:ascii="Minion Pro" w:eastAsia="Times New Roman" w:hAnsi="Minion Pro" w:cs="Times New Roman"/>
      <w:noProof/>
      <w:snapToGrid w:val="0"/>
      <w:color w:val="000000"/>
      <w:kern w:val="0"/>
      <w:sz w:val="22"/>
      <w:szCs w:val="22"/>
      <w:lang w:eastAsia="de-DE" w:bidi="en-US"/>
      <w14:ligatures w14:val="none"/>
    </w:rPr>
  </w:style>
  <w:style w:type="paragraph" w:customStyle="1" w:styleId="TSPtitle">
    <w:name w:val="TSP_title"/>
    <w:qFormat/>
    <w:rsid w:val="007327FE"/>
    <w:pPr>
      <w:adjustRightInd w:val="0"/>
      <w:snapToGrid w:val="0"/>
      <w:spacing w:before="240" w:after="240" w:line="240" w:lineRule="atLeast"/>
      <w:jc w:val="both"/>
    </w:pPr>
    <w:rPr>
      <w:rFonts w:ascii="Minion Pro" w:eastAsia="Times New Roman" w:hAnsi="Minion Pro" w:cs="Times New Roman"/>
      <w:b/>
      <w:snapToGrid w:val="0"/>
      <w:color w:val="000000"/>
      <w:kern w:val="0"/>
      <w:sz w:val="28"/>
      <w:szCs w:val="20"/>
      <w:lang w:eastAsia="de-DE" w:bidi="en-US"/>
      <w14:ligatures w14:val="none"/>
    </w:rPr>
  </w:style>
  <w:style w:type="character" w:styleId="PageNumber">
    <w:name w:val="page number"/>
    <w:rsid w:val="005258B8"/>
    <w:rPr>
      <w:rFonts w:ascii="Minion Pro" w:hAnsi="Minion Pro"/>
      <w:sz w:val="20"/>
    </w:rPr>
  </w:style>
  <w:style w:type="paragraph" w:styleId="NormalWeb">
    <w:name w:val="Normal (Web)"/>
    <w:basedOn w:val="Normal"/>
    <w:uiPriority w:val="99"/>
    <w:rsid w:val="00167D48"/>
    <w:rPr>
      <w:szCs w:val="24"/>
    </w:rPr>
  </w:style>
  <w:style w:type="paragraph" w:customStyle="1" w:styleId="MsoFootnoteText0">
    <w:name w:val="MsoFootnoteText"/>
    <w:basedOn w:val="NormalWeb"/>
    <w:qFormat/>
    <w:rsid w:val="00714041"/>
    <w:pPr>
      <w:adjustRightInd/>
      <w:snapToGrid/>
      <w:spacing w:line="280" w:lineRule="atLeast"/>
    </w:pPr>
    <w:rPr>
      <w:rFonts w:ascii="Times New Roman" w:hAnsi="Times New Roman"/>
      <w:noProof w:val="0"/>
      <w:sz w:val="20"/>
    </w:rPr>
  </w:style>
  <w:style w:type="character" w:styleId="PlaceholderText">
    <w:name w:val="Placeholder Text"/>
    <w:uiPriority w:val="99"/>
    <w:semiHidden/>
    <w:rsid w:val="000C1CDB"/>
    <w:rPr>
      <w:color w:val="808080"/>
    </w:rPr>
  </w:style>
  <w:style w:type="table" w:styleId="TableGrid">
    <w:name w:val="Table Grid"/>
    <w:basedOn w:val="TableNormal"/>
    <w:uiPriority w:val="59"/>
    <w:rsid w:val="000C1CDB"/>
    <w:pPr>
      <w:spacing w:after="0" w:line="260" w:lineRule="atLeast"/>
      <w:jc w:val="both"/>
    </w:pPr>
    <w:rPr>
      <w:rFonts w:ascii="Minion Pro" w:hAnsi="Minion Pro" w:cs="Times New Roman"/>
      <w:color w:val="000000"/>
      <w:kern w:val="0"/>
      <w:sz w:val="20"/>
      <w:szCs w:val="2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FA2A62"/>
    <w:pPr>
      <w:adjustRightInd/>
      <w:snapToGrid/>
      <w:spacing w:line="280" w:lineRule="atLeast"/>
      <w:ind w:firstLineChars="200" w:firstLine="420"/>
    </w:pPr>
    <w:rPr>
      <w:rFonts w:eastAsiaTheme="minorEastAsia"/>
      <w:noProof w:val="0"/>
      <w14:ligatures w14:val="standardContextual"/>
    </w:rPr>
  </w:style>
  <w:style w:type="paragraph" w:styleId="Title">
    <w:name w:val="Title"/>
    <w:basedOn w:val="Normal"/>
    <w:next w:val="Normal"/>
    <w:link w:val="TitleChar"/>
    <w:uiPriority w:val="10"/>
    <w:qFormat/>
    <w:rsid w:val="00FA2A62"/>
    <w:pPr>
      <w:spacing w:after="80" w:line="240" w:lineRule="auto"/>
      <w:contextualSpacing/>
    </w:pPr>
    <w:rPr>
      <w:rFonts w:asciiTheme="majorHAnsi" w:eastAsiaTheme="majorEastAsia" w:hAnsiTheme="majorHAnsi" w:cstheme="majorBidi"/>
      <w:color w:val="auto"/>
      <w:spacing w:val="-10"/>
      <w:kern w:val="28"/>
      <w:sz w:val="56"/>
      <w:szCs w:val="56"/>
    </w:rPr>
  </w:style>
  <w:style w:type="character" w:customStyle="1" w:styleId="TitleChar">
    <w:name w:val="Title Char"/>
    <w:basedOn w:val="DefaultParagraphFont"/>
    <w:link w:val="Title"/>
    <w:uiPriority w:val="10"/>
    <w:rsid w:val="00FA2A62"/>
    <w:rPr>
      <w:rFonts w:asciiTheme="majorHAnsi" w:eastAsiaTheme="majorEastAsia" w:hAnsiTheme="majorHAnsi" w:cstheme="majorBidi"/>
      <w:noProof/>
      <w:spacing w:val="-10"/>
      <w:kern w:val="28"/>
      <w:sz w:val="56"/>
      <w:szCs w:val="56"/>
      <w14:ligatures w14:val="none"/>
    </w:rPr>
  </w:style>
  <w:style w:type="paragraph" w:styleId="Subtitle">
    <w:name w:val="Subtitle"/>
    <w:basedOn w:val="Normal"/>
    <w:next w:val="Normal"/>
    <w:link w:val="SubtitleChar"/>
    <w:uiPriority w:val="11"/>
    <w:qFormat/>
    <w:rsid w:val="00FA2A62"/>
    <w:pPr>
      <w:numPr>
        <w:ilvl w:val="1"/>
      </w:numPr>
      <w:spacing w:after="160"/>
      <w:ind w:firstLine="425"/>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FA2A62"/>
    <w:rPr>
      <w:rFonts w:eastAsiaTheme="majorEastAsia" w:cstheme="majorBidi"/>
      <w:noProof/>
      <w:color w:val="595959" w:themeColor="text1" w:themeTint="A6"/>
      <w:spacing w:val="15"/>
      <w:kern w:val="0"/>
      <w:sz w:val="28"/>
      <w:szCs w:val="28"/>
      <w14:ligatures w14:val="none"/>
    </w:rPr>
  </w:style>
  <w:style w:type="paragraph" w:styleId="Quote">
    <w:name w:val="Quote"/>
    <w:basedOn w:val="Normal"/>
    <w:next w:val="Normal"/>
    <w:link w:val="QuoteChar"/>
    <w:uiPriority w:val="29"/>
    <w:qFormat/>
    <w:rsid w:val="00FA2A62"/>
    <w:pPr>
      <w:spacing w:before="160" w:after="160"/>
      <w:jc w:val="center"/>
    </w:pPr>
    <w:rPr>
      <w:i/>
      <w:iCs/>
      <w:color w:val="404040" w:themeColor="text1" w:themeTint="BF"/>
    </w:rPr>
  </w:style>
  <w:style w:type="character" w:customStyle="1" w:styleId="QuoteChar">
    <w:name w:val="Quote Char"/>
    <w:basedOn w:val="DefaultParagraphFont"/>
    <w:link w:val="Quote"/>
    <w:uiPriority w:val="29"/>
    <w:rsid w:val="00FA2A62"/>
    <w:rPr>
      <w:rFonts w:ascii="Minion Pro" w:hAnsi="Minion Pro" w:cs="Times New Roman"/>
      <w:i/>
      <w:iCs/>
      <w:noProof/>
      <w:color w:val="404040" w:themeColor="text1" w:themeTint="BF"/>
      <w:kern w:val="0"/>
      <w:sz w:val="22"/>
      <w:szCs w:val="20"/>
      <w14:ligatures w14:val="none"/>
    </w:rPr>
  </w:style>
  <w:style w:type="character" w:styleId="IntenseEmphasis">
    <w:name w:val="Intense Emphasis"/>
    <w:basedOn w:val="DefaultParagraphFont"/>
    <w:uiPriority w:val="21"/>
    <w:qFormat/>
    <w:rsid w:val="00FA2A62"/>
    <w:rPr>
      <w:i/>
      <w:iCs/>
      <w:color w:val="2F5496" w:themeColor="accent1" w:themeShade="BF"/>
    </w:rPr>
  </w:style>
  <w:style w:type="paragraph" w:styleId="IntenseQuote">
    <w:name w:val="Intense Quote"/>
    <w:basedOn w:val="Normal"/>
    <w:next w:val="Normal"/>
    <w:link w:val="IntenseQuoteChar"/>
    <w:uiPriority w:val="30"/>
    <w:qFormat/>
    <w:rsid w:val="00FA2A62"/>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FA2A62"/>
    <w:rPr>
      <w:rFonts w:ascii="Minion Pro" w:hAnsi="Minion Pro" w:cs="Times New Roman"/>
      <w:i/>
      <w:iCs/>
      <w:noProof/>
      <w:color w:val="2F5496" w:themeColor="accent1" w:themeShade="BF"/>
      <w:kern w:val="0"/>
      <w:sz w:val="22"/>
      <w:szCs w:val="20"/>
      <w14:ligatures w14:val="none"/>
    </w:rPr>
  </w:style>
  <w:style w:type="character" w:styleId="IntenseReference">
    <w:name w:val="Intense Reference"/>
    <w:basedOn w:val="DefaultParagraphFont"/>
    <w:uiPriority w:val="32"/>
    <w:qFormat/>
    <w:rsid w:val="00FA2A62"/>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tiff"/><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tiff"/><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10.tif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tiff"/><Relationship Id="rId5" Type="http://schemas.openxmlformats.org/officeDocument/2006/relationships/footnotes" Target="footnotes.xml"/><Relationship Id="rId15" Type="http://schemas.openxmlformats.org/officeDocument/2006/relationships/image" Target="media/image9.tiff"/><Relationship Id="rId10" Type="http://schemas.openxmlformats.org/officeDocument/2006/relationships/image" Target="media/image4.tiff"/><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image" Target="media/image8.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TotalTime>
  <Pages>8</Pages>
  <Words>845</Words>
  <Characters>4817</Characters>
  <Application>Microsoft Office Word</Application>
  <DocSecurity>0</DocSecurity>
  <Lines>40</Lines>
  <Paragraphs>11</Paragraphs>
  <ScaleCrop>false</ScaleCrop>
  <Company/>
  <LinksUpToDate>false</LinksUpToDate>
  <CharactersWithSpaces>5651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Tech Science Press</dc:creator>
  <cp:keywords/>
  <dc:description/>
  <cp:lastModifiedBy>Tech Science Press</cp:lastModifiedBy>
  <cp:revision>4</cp:revision>
  <dcterms:created xsi:type="dcterms:W3CDTF">2026-01-23T01:46:00Z</dcterms:created>
  <dcterms:modified xsi:type="dcterms:W3CDTF">2026-01-23T01:49:00Z</dcterms:modified>
</cp:coreProperties>
</file>