
<file path=[Content_Types].xml><?xml version="1.0" encoding="utf-8"?>
<Types xmlns="http://schemas.openxmlformats.org/package/2006/content-types">
  <Default Extension="tiff" ContentType="image/tif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2492F7">
      <w:pPr>
        <w:rPr>
          <w:rFonts w:ascii="Minion Pro" w:hAnsi="Minion Pro" w:eastAsia="PMingLiU" w:cs="Minion Pro"/>
          <w:b/>
          <w:bCs/>
          <w:lang w:val="en-US"/>
        </w:rPr>
      </w:pPr>
      <w:r>
        <w:rPr>
          <w:rFonts w:ascii="Minion Pro" w:hAnsi="Minion Pro" w:cs="Minion Pro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-332740</wp:posOffset>
            </wp:positionV>
            <wp:extent cx="4036060" cy="5234940"/>
            <wp:effectExtent l="0" t="0" r="2540" b="7620"/>
            <wp:wrapTopAndBottom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圖片 33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6060" cy="523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7"/>
          <w:rFonts w:ascii="Minion Pro" w:hAnsi="Minion Pro"/>
        </w:rPr>
        <w:t>Figure S1. Native PAGE and silver staining of KRAS-G4 and RG-1 G4 oligonucleotides incubated with GACC or PDS.</w:t>
      </w:r>
      <w:r>
        <w:rPr>
          <w:rFonts w:hint="eastAsia" w:ascii="Minion Pro" w:hAnsi="Minion Pro"/>
        </w:rPr>
        <w:t xml:space="preserve"> </w:t>
      </w:r>
      <w:r>
        <w:rPr>
          <w:rFonts w:ascii="Minion Pro" w:hAnsi="Minion Pro"/>
        </w:rPr>
        <w:t>(</w:t>
      </w:r>
      <w:r>
        <w:rPr>
          <w:rFonts w:ascii="Minion Pro" w:hAnsi="Minion Pro"/>
          <w:b/>
        </w:rPr>
        <w:t>A</w:t>
      </w:r>
      <w:r>
        <w:rPr>
          <w:rFonts w:ascii="Minion Pro" w:hAnsi="Minion Pro"/>
        </w:rPr>
        <w:t xml:space="preserve">) </w:t>
      </w:r>
      <w:r>
        <w:rPr>
          <w:rStyle w:val="7"/>
          <w:rFonts w:ascii="Minion Pro" w:hAnsi="Minion Pro"/>
          <w:b w:val="0"/>
        </w:rPr>
        <w:t>KRAS-G4</w:t>
      </w:r>
      <w:r>
        <w:rPr>
          <w:rFonts w:ascii="Minion Pro" w:hAnsi="Minion Pro"/>
        </w:rPr>
        <w:t xml:space="preserve"> oligonucleotide (10 µM) incubated with GACC (0, 5, 50, 500, 5000 µM) or pyridostatin (</w:t>
      </w:r>
      <w:r>
        <w:rPr>
          <w:rStyle w:val="7"/>
          <w:rFonts w:ascii="Minion Pro" w:hAnsi="Minion Pro"/>
          <w:b w:val="0"/>
        </w:rPr>
        <w:t>PDS</w:t>
      </w:r>
      <w:r>
        <w:rPr>
          <w:rFonts w:ascii="Minion Pro" w:hAnsi="Minion Pro"/>
        </w:rPr>
        <w:t>, 1–3 µM), resolved by native PAGE and visualized by silver staining. (</w:t>
      </w:r>
      <w:r>
        <w:rPr>
          <w:rFonts w:ascii="Minion Pro" w:hAnsi="Minion Pro"/>
          <w:b/>
        </w:rPr>
        <w:t>B</w:t>
      </w:r>
      <w:r>
        <w:rPr>
          <w:rFonts w:ascii="Minion Pro" w:hAnsi="Minion Pro"/>
        </w:rPr>
        <w:t xml:space="preserve">) </w:t>
      </w:r>
      <w:r>
        <w:rPr>
          <w:rStyle w:val="7"/>
          <w:rFonts w:ascii="Minion Pro" w:hAnsi="Minion Pro"/>
          <w:b w:val="0"/>
        </w:rPr>
        <w:t>RG-1 (WT)</w:t>
      </w:r>
      <w:r>
        <w:rPr>
          <w:rFonts w:ascii="Minion Pro" w:hAnsi="Minion Pro"/>
        </w:rPr>
        <w:t xml:space="preserve"> oligonucleotide (10 µM) incubated with GACC (0, 50, 100, 200, 400 µM) or PDS (1–3 µM), analyzed as in (A). </w:t>
      </w:r>
      <w:r>
        <w:rPr>
          <w:rStyle w:val="7"/>
          <w:rFonts w:ascii="Minion Pro" w:hAnsi="Minion Pro"/>
          <w:b w:val="0"/>
        </w:rPr>
        <w:t>Right:</w:t>
      </w:r>
      <w:r>
        <w:rPr>
          <w:rFonts w:ascii="Minion Pro" w:hAnsi="Minion Pro"/>
        </w:rPr>
        <w:t xml:space="preserve"> densi</w:t>
      </w:r>
      <w:bookmarkStart w:id="0" w:name="_GoBack"/>
      <w:bookmarkEnd w:id="0"/>
      <w:r>
        <w:rPr>
          <w:rFonts w:ascii="Minion Pro" w:hAnsi="Minion Pro"/>
        </w:rPr>
        <w:t xml:space="preserve">tometric quantification of the RG-1 band intensity from the silver-stained gel (ImageJ v2.16.0; RRID:SCR_003070), expressed as fold-change relative to the </w:t>
      </w:r>
      <w:r>
        <w:rPr>
          <w:rStyle w:val="7"/>
          <w:rFonts w:ascii="Minion Pro" w:hAnsi="Minion Pro"/>
          <w:b w:val="0"/>
        </w:rPr>
        <w:t>0 µM</w:t>
      </w:r>
      <w:r>
        <w:rPr>
          <w:rFonts w:ascii="Minion Pro" w:hAnsi="Minion Pro"/>
        </w:rPr>
        <w:t xml:space="preserve"> condition; bars show mean with individual data points overlaid. Statistical annotations: </w:t>
      </w:r>
      <w:r>
        <w:rPr>
          <w:rStyle w:val="7"/>
          <w:rFonts w:ascii="Minion Pro" w:hAnsi="Minion Pro"/>
          <w:b w:val="0"/>
        </w:rPr>
        <w:t>ns</w:t>
      </w:r>
      <w:r>
        <w:rPr>
          <w:rFonts w:ascii="Minion Pro" w:hAnsi="Minion Pro"/>
        </w:rPr>
        <w:t xml:space="preserve">, not significant; </w:t>
      </w:r>
      <w:r>
        <w:rPr>
          <w:rStyle w:val="7"/>
          <w:rFonts w:ascii="Minion Pro" w:hAnsi="Minion Pro"/>
        </w:rPr>
        <w:t>**</w:t>
      </w:r>
      <w:r>
        <w:rPr>
          <w:rFonts w:ascii="Minion Pro" w:hAnsi="Minion Pro"/>
        </w:rPr>
        <w:t xml:space="preserve"> </w:t>
      </w:r>
      <w:r>
        <w:rPr>
          <w:rFonts w:ascii="Minion Pro" w:hAnsi="Minion Pro"/>
          <w:i/>
          <w:iCs/>
        </w:rPr>
        <w:t>p</w:t>
      </w:r>
      <w:r>
        <w:rPr>
          <w:rFonts w:ascii="Minion Pro" w:hAnsi="Minion Pro"/>
        </w:rPr>
        <w:t xml:space="preserve"> &lt; 0.01.</w:t>
      </w:r>
    </w:p>
    <w:p w14:paraId="30282CAB">
      <w:pPr>
        <w:spacing w:line="320" w:lineRule="exact"/>
        <w:jc w:val="both"/>
        <w:outlineLvl w:val="1"/>
        <w:rPr>
          <w:rFonts w:ascii="Minion Pro" w:hAnsi="Minion Pro" w:eastAsia="PMingLiU" w:cs="Minion Pro"/>
          <w:lang w:val="en-US"/>
        </w:rPr>
      </w:pPr>
      <w:r>
        <w:rPr>
          <w:rFonts w:ascii="Minion Pro" w:hAnsi="Minion Pro" w:eastAsia="PMingLiU"/>
          <w:b/>
          <w:bCs/>
          <w:lang w:val="en-U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0</wp:posOffset>
            </wp:positionV>
            <wp:extent cx="5760720" cy="5190490"/>
            <wp:effectExtent l="0" t="0" r="0" b="6350"/>
            <wp:wrapTopAndBottom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5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90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nion Pro" w:hAnsi="Minion Pro" w:eastAsia="PMingLiU"/>
          <w:b/>
          <w:bCs/>
          <w:lang w:val="en-US"/>
        </w:rPr>
        <w:t xml:space="preserve">Figure S2. </w:t>
      </w:r>
      <w:r>
        <w:rPr>
          <w:rStyle w:val="7"/>
          <w:rFonts w:ascii="Minion Pro" w:hAnsi="Minion Pro"/>
        </w:rPr>
        <w:t>BG4 immunofluorescence indicates increased nuclear G4 signal in Hep3B cells following GACC treatment.</w:t>
      </w:r>
      <w:r>
        <w:rPr>
          <w:rFonts w:ascii="Minion Pro" w:hAnsi="Minion Pro"/>
        </w:rPr>
        <w:t xml:space="preserve"> Hep3B cells were transfected with </w:t>
      </w:r>
      <w:r>
        <w:rPr>
          <w:rStyle w:val="7"/>
          <w:rFonts w:ascii="Minion Pro" w:hAnsi="Minion Pro"/>
          <w:b w:val="0"/>
        </w:rPr>
        <w:t>Cy5-labeled RG-1 G4 oligonucleotides</w:t>
      </w:r>
      <w:r>
        <w:rPr>
          <w:rFonts w:ascii="Minion Pro" w:hAnsi="Minion Pro"/>
        </w:rPr>
        <w:t xml:space="preserve"> and treated with </w:t>
      </w:r>
      <w:r>
        <w:rPr>
          <w:rStyle w:val="7"/>
          <w:rFonts w:ascii="Minion Pro" w:hAnsi="Minion Pro"/>
          <w:b w:val="0"/>
        </w:rPr>
        <w:t>GACC (200 µM)</w:t>
      </w:r>
      <w:r>
        <w:rPr>
          <w:rFonts w:ascii="Minion Pro" w:hAnsi="Minion Pro"/>
        </w:rPr>
        <w:t xml:space="preserve"> for </w:t>
      </w:r>
      <w:r>
        <w:rPr>
          <w:rStyle w:val="7"/>
          <w:rFonts w:ascii="Minion Pro" w:hAnsi="Minion Pro"/>
          <w:b w:val="0"/>
        </w:rPr>
        <w:t>24 h</w:t>
      </w:r>
      <w:r>
        <w:rPr>
          <w:rFonts w:ascii="Minion Pro" w:hAnsi="Minion Pro"/>
        </w:rPr>
        <w:t xml:space="preserve">. Cells were immunostained with </w:t>
      </w:r>
      <w:r>
        <w:rPr>
          <w:rStyle w:val="7"/>
          <w:rFonts w:ascii="Minion Pro" w:hAnsi="Minion Pro"/>
          <w:b w:val="0"/>
        </w:rPr>
        <w:t>BG4 (anti-G4)</w:t>
      </w:r>
      <w:r>
        <w:rPr>
          <w:rFonts w:ascii="Minion Pro" w:hAnsi="Minion Pro"/>
        </w:rPr>
        <w:t xml:space="preserve"> and counterstained with </w:t>
      </w:r>
      <w:r>
        <w:rPr>
          <w:rStyle w:val="7"/>
          <w:rFonts w:ascii="Minion Pro" w:hAnsi="Minion Pro"/>
          <w:b w:val="0"/>
        </w:rPr>
        <w:t>DAPI</w:t>
      </w:r>
      <w:r>
        <w:rPr>
          <w:rFonts w:ascii="Minion Pro" w:hAnsi="Minion Pro"/>
        </w:rPr>
        <w:t xml:space="preserve">. Representative images were acquired under identical microscope and exposure settings across conditions. Scale bar, </w:t>
      </w:r>
      <w:r>
        <w:rPr>
          <w:rStyle w:val="7"/>
          <w:rFonts w:ascii="Minion Pro" w:hAnsi="Minion Pro"/>
          <w:b w:val="0"/>
        </w:rPr>
        <w:t>20 µm</w:t>
      </w:r>
      <w:r>
        <w:t>.</w:t>
      </w:r>
    </w:p>
    <w:p w14:paraId="0DABD571">
      <w:pPr>
        <w:spacing w:line="320" w:lineRule="exact"/>
        <w:jc w:val="both"/>
        <w:outlineLvl w:val="1"/>
        <w:rPr>
          <w:rFonts w:ascii="Minion Pro" w:hAnsi="Minion Pro" w:eastAsia="PMingLiU" w:cs="Minion Pro"/>
          <w:lang w:val="en-US"/>
        </w:rPr>
      </w:pPr>
    </w:p>
    <w:p w14:paraId="1FF41D8C">
      <w:pPr>
        <w:spacing w:line="320" w:lineRule="exact"/>
        <w:jc w:val="both"/>
        <w:outlineLvl w:val="1"/>
        <w:rPr>
          <w:rFonts w:ascii="Minion Pro" w:hAnsi="Minion Pro" w:eastAsia="PMingLiU" w:cs="Minion Pro"/>
          <w:lang w:val="en-US"/>
        </w:rPr>
      </w:pPr>
    </w:p>
    <w:p w14:paraId="7BDC3CDB">
      <w:pPr>
        <w:spacing w:line="320" w:lineRule="exact"/>
        <w:jc w:val="both"/>
        <w:outlineLvl w:val="1"/>
        <w:rPr>
          <w:rFonts w:ascii="Minion Pro" w:hAnsi="Minion Pro" w:eastAsia="PMingLiU" w:cs="Minion Pro"/>
          <w:lang w:val="en-US"/>
        </w:rPr>
      </w:pPr>
    </w:p>
    <w:p w14:paraId="0F167CDE">
      <w:pPr>
        <w:spacing w:line="320" w:lineRule="exact"/>
        <w:jc w:val="both"/>
        <w:outlineLvl w:val="1"/>
        <w:rPr>
          <w:rFonts w:ascii="Minion Pro" w:hAnsi="Minion Pro" w:eastAsia="PMingLiU" w:cs="Minion Pro"/>
          <w:b/>
          <w:bCs/>
          <w:lang w:val="en-US"/>
        </w:rPr>
      </w:pPr>
    </w:p>
    <w:p w14:paraId="1821A117">
      <w:pPr>
        <w:spacing w:line="320" w:lineRule="exact"/>
        <w:jc w:val="both"/>
        <w:outlineLvl w:val="1"/>
        <w:rPr>
          <w:rFonts w:ascii="Minion Pro" w:hAnsi="Minion Pro" w:eastAsia="PMingLiU" w:cs="Minion Pro"/>
          <w:b/>
          <w:bCs/>
          <w:lang w:val="en-US"/>
        </w:rPr>
      </w:pPr>
    </w:p>
    <w:p w14:paraId="4DBFA19A">
      <w:pPr>
        <w:spacing w:line="320" w:lineRule="exact"/>
        <w:jc w:val="both"/>
        <w:outlineLvl w:val="1"/>
        <w:rPr>
          <w:rFonts w:ascii="Minion Pro" w:hAnsi="Minion Pro" w:eastAsia="PMingLiU" w:cs="Minion Pro"/>
          <w:b/>
          <w:bCs/>
          <w:lang w:val="en-US"/>
        </w:rPr>
      </w:pPr>
    </w:p>
    <w:p w14:paraId="70052AD9">
      <w:pPr>
        <w:spacing w:line="320" w:lineRule="exact"/>
        <w:jc w:val="both"/>
        <w:outlineLvl w:val="1"/>
        <w:rPr>
          <w:rFonts w:ascii="Minion Pro" w:hAnsi="Minion Pro" w:eastAsia="PMingLiU" w:cs="Minion Pro"/>
          <w:b/>
          <w:bCs/>
          <w:lang w:val="en-US"/>
        </w:rPr>
      </w:pPr>
    </w:p>
    <w:p w14:paraId="2A926649">
      <w:pPr>
        <w:spacing w:line="320" w:lineRule="exact"/>
        <w:jc w:val="both"/>
        <w:outlineLvl w:val="1"/>
        <w:rPr>
          <w:rFonts w:ascii="Minion Pro" w:hAnsi="Minion Pro" w:eastAsia="PMingLiU" w:cs="Minion Pro"/>
          <w:b/>
          <w:bCs/>
          <w:lang w:val="en-US"/>
        </w:rPr>
      </w:pPr>
    </w:p>
    <w:p w14:paraId="74BCFD5B">
      <w:pPr>
        <w:spacing w:line="320" w:lineRule="exact"/>
        <w:jc w:val="both"/>
        <w:outlineLvl w:val="1"/>
        <w:rPr>
          <w:rFonts w:ascii="Minion Pro" w:hAnsi="Minion Pro" w:eastAsia="PMingLiU" w:cs="Minion Pro"/>
          <w:lang w:val="en-US"/>
        </w:rPr>
      </w:pPr>
      <w:r>
        <w:rPr>
          <w:rFonts w:ascii="Minion Pro" w:hAnsi="Minion Pro" w:eastAsia="PMingLiU" w:cs="Minion Pro"/>
          <w:b/>
          <w:bCs/>
          <w:lang w:val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0</wp:posOffset>
            </wp:positionV>
            <wp:extent cx="5321300" cy="7574280"/>
            <wp:effectExtent l="0" t="0" r="12700" b="0"/>
            <wp:wrapTopAndBottom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圖片 27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nion Pro" w:hAnsi="Minion Pro" w:eastAsia="PMingLiU" w:cs="Minion Pro"/>
          <w:b/>
          <w:bCs/>
          <w:lang w:val="en-US"/>
        </w:rPr>
        <w:t xml:space="preserve">Figure S3. Exploratory antiviral activity of GACC against influenza A viruses </w:t>
      </w:r>
      <w:r>
        <w:rPr>
          <w:rFonts w:ascii="Minion Pro" w:hAnsi="Minion Pro" w:eastAsia="PMingLiU" w:cs="Minion Pro"/>
          <w:b/>
          <w:bCs/>
          <w:i/>
          <w:iCs/>
          <w:lang w:val="en-US"/>
        </w:rPr>
        <w:t>in vitro</w:t>
      </w:r>
      <w:r>
        <w:rPr>
          <w:rFonts w:ascii="Minion Pro" w:hAnsi="Minion Pro" w:eastAsia="PMingLiU" w:cs="Minion Pro"/>
          <w:b/>
          <w:bCs/>
          <w:lang w:val="en-US"/>
        </w:rPr>
        <w:t>.</w:t>
      </w:r>
      <w:r>
        <w:rPr>
          <w:rFonts w:hint="eastAsia" w:ascii="Minion Pro" w:hAnsi="Minion Pro" w:eastAsia="宋体" w:cs="Minion Pro"/>
          <w:b/>
          <w:bCs/>
          <w:lang w:val="en-US" w:eastAsia="zh-CN"/>
        </w:rPr>
        <w:t xml:space="preserve"> </w:t>
      </w:r>
      <w:r>
        <w:rPr>
          <w:rFonts w:ascii="Minion Pro" w:hAnsi="Minion Pro" w:eastAsia="PMingLiU" w:cs="Minion Pro"/>
          <w:b/>
          <w:bCs/>
          <w:lang w:val="en-US"/>
        </w:rPr>
        <w:t>(A–B)</w:t>
      </w:r>
      <w:r>
        <w:rPr>
          <w:rFonts w:ascii="Minion Pro" w:hAnsi="Minion Pro" w:eastAsia="PMingLiU" w:cs="Minion Pro"/>
          <w:lang w:val="en-US"/>
        </w:rPr>
        <w:t xml:space="preserve"> Dose–response curves for GACC against influenza A H1N1 and H3N2 (strains indicated in Methods) measured by plaque-based readouts. </w:t>
      </w:r>
      <w:r>
        <w:rPr>
          <w:rFonts w:ascii="Minion Pro" w:hAnsi="Minion Pro" w:eastAsia="PMingLiU" w:cs="Minion Pro"/>
          <w:b/>
          <w:bCs/>
          <w:lang w:val="en-US"/>
        </w:rPr>
        <w:t>(C–D)</w:t>
      </w:r>
      <w:r>
        <w:rPr>
          <w:rFonts w:ascii="Minion Pro" w:hAnsi="Minion Pro" w:eastAsia="PMingLiU" w:cs="Minion Pro"/>
          <w:lang w:val="en-US"/>
        </w:rPr>
        <w:t xml:space="preserve"> Quantification of viral titers following GACC treatment for H1N1 </w:t>
      </w:r>
      <w:r>
        <w:rPr>
          <w:rFonts w:ascii="Minion Pro" w:hAnsi="Minion Pro" w:eastAsia="PMingLiU" w:cs="Minion Pro"/>
          <w:b/>
          <w:bCs/>
          <w:lang w:val="en-US"/>
        </w:rPr>
        <w:t>(C)</w:t>
      </w:r>
      <w:r>
        <w:rPr>
          <w:rFonts w:ascii="Minion Pro" w:hAnsi="Minion Pro" w:eastAsia="PMingLiU" w:cs="Minion Pro"/>
          <w:lang w:val="en-US"/>
        </w:rPr>
        <w:t xml:space="preserve"> and H3N2</w:t>
      </w:r>
      <w:r>
        <w:rPr>
          <w:rFonts w:ascii="Minion Pro" w:hAnsi="Minion Pro" w:eastAsia="PMingLiU" w:cs="Minion Pro"/>
          <w:b/>
          <w:bCs/>
          <w:lang w:val="en-US"/>
        </w:rPr>
        <w:t xml:space="preserve"> (D)</w:t>
      </w:r>
      <w:r>
        <w:rPr>
          <w:rFonts w:ascii="Minion Pro" w:hAnsi="Minion Pro" w:eastAsia="PMingLiU" w:cs="Minion Pro"/>
          <w:lang w:val="en-US"/>
        </w:rPr>
        <w:t>. Data are presented as mean ± SEM from the indicated number of independent experiments. IC</w:t>
      </w:r>
      <w:r>
        <w:rPr>
          <w:rFonts w:ascii="Minion Pro" w:hAnsi="Minion Pro" w:eastAsia="MS Mincho" w:cs="Minion Pro"/>
          <w:lang w:val="en-US"/>
        </w:rPr>
        <w:t>₅₀</w:t>
      </w:r>
      <w:r>
        <w:rPr>
          <w:rFonts w:ascii="Minion Pro" w:hAnsi="Minion Pro" w:eastAsia="PMingLiU" w:cs="Minion Pro"/>
          <w:lang w:val="en-US"/>
        </w:rPr>
        <w:t xml:space="preserve"> values were derived by nonlinear regression as described in Methods. These results are preliminary and are provided as exploratory findings.</w:t>
      </w:r>
    </w:p>
    <w:p w14:paraId="17B7228C">
      <w:pPr>
        <w:pStyle w:val="2"/>
        <w:spacing w:before="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Table S1. Resources &amp; RRIDs</w:t>
      </w:r>
    </w:p>
    <w:tbl>
      <w:tblPr>
        <w:tblStyle w:val="8"/>
        <w:tblW w:w="5529" w:type="pct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59"/>
        <w:gridCol w:w="1886"/>
        <w:gridCol w:w="1306"/>
        <w:gridCol w:w="2031"/>
        <w:gridCol w:w="2288"/>
      </w:tblGrid>
      <w:tr w14:paraId="1800773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  <w:tcBorders>
              <w:top w:val="single" w:color="auto" w:sz="4" w:space="0"/>
              <w:bottom w:val="single" w:color="auto" w:sz="4" w:space="0"/>
            </w:tcBorders>
          </w:tcPr>
          <w:p w14:paraId="19DF3DF8">
            <w:pPr>
              <w:spacing w:line="320" w:lineRule="exact"/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bCs/>
                <w:kern w:val="2"/>
              </w:rPr>
              <w:t>Resource</w:t>
            </w:r>
          </w:p>
        </w:tc>
        <w:tc>
          <w:tcPr>
            <w:tcW w:w="918" w:type="pct"/>
            <w:tcBorders>
              <w:top w:val="single" w:color="auto" w:sz="4" w:space="0"/>
              <w:bottom w:val="single" w:color="auto" w:sz="4" w:space="0"/>
            </w:tcBorders>
          </w:tcPr>
          <w:p w14:paraId="245919E7">
            <w:pPr>
              <w:spacing w:line="320" w:lineRule="exact"/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bCs/>
                <w:kern w:val="2"/>
              </w:rPr>
              <w:t>Supplier/Source</w:t>
            </w:r>
          </w:p>
        </w:tc>
        <w:tc>
          <w:tcPr>
            <w:tcW w:w="636" w:type="pct"/>
            <w:tcBorders>
              <w:top w:val="single" w:color="auto" w:sz="4" w:space="0"/>
              <w:bottom w:val="single" w:color="auto" w:sz="4" w:space="0"/>
            </w:tcBorders>
          </w:tcPr>
          <w:p w14:paraId="09437F59">
            <w:pPr>
              <w:spacing w:line="320" w:lineRule="exact"/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bCs/>
                <w:kern w:val="2"/>
              </w:rPr>
              <w:t>Catalog/Model</w:t>
            </w:r>
          </w:p>
        </w:tc>
        <w:tc>
          <w:tcPr>
            <w:tcW w:w="989" w:type="pct"/>
            <w:tcBorders>
              <w:top w:val="single" w:color="auto" w:sz="4" w:space="0"/>
              <w:bottom w:val="single" w:color="auto" w:sz="4" w:space="0"/>
            </w:tcBorders>
          </w:tcPr>
          <w:p w14:paraId="7D79374B">
            <w:pPr>
              <w:spacing w:line="320" w:lineRule="exact"/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bCs/>
                <w:kern w:val="2"/>
              </w:rPr>
              <w:t>RRID</w:t>
            </w:r>
          </w:p>
        </w:tc>
        <w:tc>
          <w:tcPr>
            <w:tcW w:w="1114" w:type="pct"/>
            <w:tcBorders>
              <w:top w:val="single" w:color="auto" w:sz="4" w:space="0"/>
              <w:bottom w:val="single" w:color="auto" w:sz="4" w:space="0"/>
            </w:tcBorders>
          </w:tcPr>
          <w:p w14:paraId="2E4B40C4">
            <w:pPr>
              <w:tabs>
                <w:tab w:val="center" w:pos="2880"/>
                <w:tab w:val="center" w:pos="4320"/>
                <w:tab w:val="center" w:pos="5760"/>
                <w:tab w:val="center" w:pos="7200"/>
                <w:tab w:val="left" w:pos="11900"/>
              </w:tabs>
              <w:autoSpaceDE w:val="0"/>
              <w:autoSpaceDN w:val="0"/>
              <w:adjustRightInd w:val="0"/>
              <w:spacing w:line="320" w:lineRule="exact"/>
              <w:rPr>
                <w:rFonts w:asciiTheme="minorHAnsi" w:hAnsiTheme="minorHAnsi" w:cstheme="minorBidi"/>
                <w:b/>
                <w:bCs/>
                <w:kern w:val="2"/>
              </w:rPr>
            </w:pPr>
            <w:r>
              <w:rPr>
                <w:rFonts w:asciiTheme="minorHAnsi" w:hAnsiTheme="minorHAnsi" w:cstheme="minorBidi"/>
                <w:b/>
                <w:bCs/>
                <w:kern w:val="2"/>
              </w:rPr>
              <w:t>Location</w:t>
            </w:r>
          </w:p>
        </w:tc>
      </w:tr>
      <w:tr w14:paraId="02FCC6C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  <w:tcBorders>
              <w:top w:val="single" w:color="auto" w:sz="4" w:space="0"/>
            </w:tcBorders>
          </w:tcPr>
          <w:p w14:paraId="64EB6FC5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Calibri" w:asciiTheme="minorHAnsi" w:hAnsiTheme="minorHAnsi"/>
                <w:color w:val="000000"/>
                <w:kern w:val="2"/>
              </w:rPr>
              <w:t>Anti-DNA G-quadruplex structures, clone BG4</w:t>
            </w:r>
          </w:p>
        </w:tc>
        <w:tc>
          <w:tcPr>
            <w:tcW w:w="918" w:type="pct"/>
            <w:tcBorders>
              <w:top w:val="single" w:color="auto" w:sz="4" w:space="0"/>
            </w:tcBorders>
          </w:tcPr>
          <w:p w14:paraId="372BC823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Calibri" w:asciiTheme="minorHAnsi" w:hAnsiTheme="minorHAnsi"/>
                <w:color w:val="000000"/>
                <w:kern w:val="2"/>
              </w:rPr>
              <w:t>Merck Millipore</w:t>
            </w:r>
          </w:p>
        </w:tc>
        <w:tc>
          <w:tcPr>
            <w:tcW w:w="636" w:type="pct"/>
            <w:tcBorders>
              <w:top w:val="single" w:color="auto" w:sz="4" w:space="0"/>
            </w:tcBorders>
          </w:tcPr>
          <w:p w14:paraId="25A9ABF3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cs="Calibri" w:asciiTheme="minorHAnsi" w:hAnsiTheme="minorHAnsi"/>
                <w:color w:val="000000"/>
                <w:kern w:val="2"/>
              </w:rPr>
              <w:t>MABE917</w:t>
            </w:r>
          </w:p>
        </w:tc>
        <w:tc>
          <w:tcPr>
            <w:tcW w:w="989" w:type="pct"/>
            <w:tcBorders>
              <w:top w:val="single" w:color="auto" w:sz="4" w:space="0"/>
            </w:tcBorders>
          </w:tcPr>
          <w:p w14:paraId="79365CD2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HAnsi" w:hAnsiTheme="minorHAnsi" w:cstheme="minorBidi"/>
                <w:b/>
                <w:bCs/>
                <w:color w:val="000000"/>
                <w:kern w:val="2"/>
              </w:rPr>
              <w:t>　</w:t>
            </w:r>
          </w:p>
        </w:tc>
        <w:tc>
          <w:tcPr>
            <w:tcW w:w="1114" w:type="pct"/>
            <w:tcBorders>
              <w:top w:val="single" w:color="auto" w:sz="4" w:space="0"/>
            </w:tcBorders>
          </w:tcPr>
          <w:p w14:paraId="3593D26F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Cs/>
                <w:color w:val="000000"/>
                <w:kern w:val="2"/>
              </w:rPr>
              <w:t>Burlington, MA, USA</w:t>
            </w:r>
          </w:p>
        </w:tc>
      </w:tr>
      <w:tr w14:paraId="1080B1D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366209E5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Lipofectamine 3000</w:t>
            </w:r>
          </w:p>
        </w:tc>
        <w:tc>
          <w:tcPr>
            <w:tcW w:w="918" w:type="pct"/>
          </w:tcPr>
          <w:p w14:paraId="6A2274FA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Invitrogen</w:t>
            </w:r>
          </w:p>
        </w:tc>
        <w:tc>
          <w:tcPr>
            <w:tcW w:w="636" w:type="pct"/>
          </w:tcPr>
          <w:p w14:paraId="46EE830C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L3000015</w:t>
            </w:r>
          </w:p>
        </w:tc>
        <w:tc>
          <w:tcPr>
            <w:tcW w:w="989" w:type="pct"/>
          </w:tcPr>
          <w:p w14:paraId="4726303C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　</w:t>
            </w:r>
          </w:p>
        </w:tc>
        <w:tc>
          <w:tcPr>
            <w:tcW w:w="1114" w:type="pct"/>
          </w:tcPr>
          <w:p w14:paraId="1F155593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6DADFE8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34331285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HepG2 cell line</w:t>
            </w:r>
          </w:p>
        </w:tc>
        <w:tc>
          <w:tcPr>
            <w:tcW w:w="918" w:type="pct"/>
          </w:tcPr>
          <w:p w14:paraId="265A3F80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BCRC (FIRDI)</w:t>
            </w:r>
          </w:p>
        </w:tc>
        <w:tc>
          <w:tcPr>
            <w:tcW w:w="636" w:type="pct"/>
          </w:tcPr>
          <w:p w14:paraId="6F42DA67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60025</w:t>
            </w:r>
          </w:p>
        </w:tc>
        <w:tc>
          <w:tcPr>
            <w:tcW w:w="989" w:type="pct"/>
          </w:tcPr>
          <w:p w14:paraId="72C19781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RRID:CVCL_0027</w:t>
            </w:r>
          </w:p>
        </w:tc>
        <w:tc>
          <w:tcPr>
            <w:tcW w:w="1114" w:type="pct"/>
          </w:tcPr>
          <w:p w14:paraId="07DE13E5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Hsinchu City, Taiwan</w:t>
            </w:r>
          </w:p>
        </w:tc>
      </w:tr>
      <w:tr w14:paraId="1ACFD19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470B3034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PLC/PRF/5 cell line</w:t>
            </w:r>
          </w:p>
        </w:tc>
        <w:tc>
          <w:tcPr>
            <w:tcW w:w="918" w:type="pct"/>
          </w:tcPr>
          <w:p w14:paraId="134511BC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BCRC (FIRDI)</w:t>
            </w:r>
          </w:p>
        </w:tc>
        <w:tc>
          <w:tcPr>
            <w:tcW w:w="636" w:type="pct"/>
          </w:tcPr>
          <w:p w14:paraId="5BC620C7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60223</w:t>
            </w:r>
          </w:p>
        </w:tc>
        <w:tc>
          <w:tcPr>
            <w:tcW w:w="989" w:type="pct"/>
          </w:tcPr>
          <w:p w14:paraId="5AE45712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RRID:CVCL_0485</w:t>
            </w:r>
          </w:p>
        </w:tc>
        <w:tc>
          <w:tcPr>
            <w:tcW w:w="1114" w:type="pct"/>
          </w:tcPr>
          <w:p w14:paraId="04ED3325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Hsinchu City, Taiwan</w:t>
            </w:r>
          </w:p>
        </w:tc>
      </w:tr>
      <w:tr w14:paraId="32A8644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31A905DF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Hep3B2.1-7 (Hep3B) cell line</w:t>
            </w:r>
          </w:p>
        </w:tc>
        <w:tc>
          <w:tcPr>
            <w:tcW w:w="918" w:type="pct"/>
          </w:tcPr>
          <w:p w14:paraId="3C52F854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BCRC (FIRDI)</w:t>
            </w:r>
          </w:p>
        </w:tc>
        <w:tc>
          <w:tcPr>
            <w:tcW w:w="636" w:type="pct"/>
          </w:tcPr>
          <w:p w14:paraId="560D90D2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60434</w:t>
            </w:r>
          </w:p>
        </w:tc>
        <w:tc>
          <w:tcPr>
            <w:tcW w:w="989" w:type="pct"/>
          </w:tcPr>
          <w:p w14:paraId="6179AE1D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RRID:CVCL_0326</w:t>
            </w:r>
          </w:p>
        </w:tc>
        <w:tc>
          <w:tcPr>
            <w:tcW w:w="1114" w:type="pct"/>
          </w:tcPr>
          <w:p w14:paraId="141988F9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Hsinchu City, Taiwan</w:t>
            </w:r>
          </w:p>
        </w:tc>
      </w:tr>
      <w:tr w14:paraId="5AF37C2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011C4EB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THLE-2 cell line</w:t>
            </w:r>
          </w:p>
        </w:tc>
        <w:tc>
          <w:tcPr>
            <w:tcW w:w="918" w:type="pct"/>
          </w:tcPr>
          <w:p w14:paraId="36038DA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ATCC</w:t>
            </w:r>
          </w:p>
        </w:tc>
        <w:tc>
          <w:tcPr>
            <w:tcW w:w="636" w:type="pct"/>
          </w:tcPr>
          <w:p w14:paraId="415F1A9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CRL-2706</w:t>
            </w:r>
          </w:p>
        </w:tc>
        <w:tc>
          <w:tcPr>
            <w:tcW w:w="989" w:type="pct"/>
          </w:tcPr>
          <w:p w14:paraId="788BD1A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RRID:CVCL_3803</w:t>
            </w:r>
          </w:p>
        </w:tc>
        <w:tc>
          <w:tcPr>
            <w:tcW w:w="1114" w:type="pct"/>
          </w:tcPr>
          <w:p w14:paraId="26F68906">
            <w:pPr>
              <w:spacing w:line="320" w:lineRule="exact"/>
              <w:rPr>
                <w:rFonts w:asciiTheme="minorHAnsi" w:hAnsiTheme="minorHAnsi" w:cstheme="minorBidi"/>
                <w:b/>
                <w:kern w:val="2"/>
              </w:rPr>
            </w:pPr>
            <w:r>
              <w:rPr>
                <w:rStyle w:val="7"/>
                <w:rFonts w:asciiTheme="minorHAnsi" w:hAnsiTheme="minorHAnsi" w:cstheme="minorBidi"/>
                <w:b w:val="0"/>
                <w:kern w:val="2"/>
              </w:rPr>
              <w:t>Manassas, VA, USA</w:t>
            </w:r>
            <w:r>
              <w:rPr>
                <w:rFonts w:asciiTheme="minorHAnsi" w:hAnsiTheme="minorHAnsi" w:cstheme="minorBidi"/>
                <w:b/>
                <w:kern w:val="2"/>
              </w:rPr>
              <w:t xml:space="preserve"> </w:t>
            </w:r>
          </w:p>
        </w:tc>
      </w:tr>
      <w:tr w14:paraId="45B7838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49EFB1C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MDCK (NBL-2) cell line</w:t>
            </w:r>
          </w:p>
        </w:tc>
        <w:tc>
          <w:tcPr>
            <w:tcW w:w="918" w:type="pct"/>
          </w:tcPr>
          <w:p w14:paraId="0B82DFB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ATCC</w:t>
            </w:r>
          </w:p>
        </w:tc>
        <w:tc>
          <w:tcPr>
            <w:tcW w:w="636" w:type="pct"/>
          </w:tcPr>
          <w:p w14:paraId="36CCC4C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CCL-34</w:t>
            </w:r>
          </w:p>
        </w:tc>
        <w:tc>
          <w:tcPr>
            <w:tcW w:w="989" w:type="pct"/>
          </w:tcPr>
          <w:p w14:paraId="68A5A53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RRID:CVCL_0422</w:t>
            </w:r>
          </w:p>
        </w:tc>
        <w:tc>
          <w:tcPr>
            <w:tcW w:w="1114" w:type="pct"/>
          </w:tcPr>
          <w:p w14:paraId="35C0EFA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Style w:val="7"/>
                <w:rFonts w:asciiTheme="minorHAnsi" w:hAnsiTheme="minorHAnsi" w:cstheme="minorBidi"/>
                <w:b w:val="0"/>
                <w:kern w:val="2"/>
              </w:rPr>
              <w:t>Manassas, VA, USA</w:t>
            </w:r>
            <w:r>
              <w:rPr>
                <w:rFonts w:asciiTheme="minorHAnsi" w:hAnsiTheme="minorHAnsi" w:cstheme="minorBidi"/>
                <w:b/>
                <w:kern w:val="2"/>
              </w:rPr>
              <w:t xml:space="preserve"> </w:t>
            </w:r>
          </w:p>
        </w:tc>
      </w:tr>
      <w:tr w14:paraId="7011DCB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2C3CECE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BG4 scFv (FLAG-tagged)</w:t>
            </w:r>
          </w:p>
        </w:tc>
        <w:tc>
          <w:tcPr>
            <w:tcW w:w="918" w:type="pct"/>
          </w:tcPr>
          <w:p w14:paraId="3858B86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Absolute Antibody</w:t>
            </w:r>
          </w:p>
        </w:tc>
        <w:tc>
          <w:tcPr>
            <w:tcW w:w="636" w:type="pct"/>
          </w:tcPr>
          <w:p w14:paraId="3EA80005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Ab00174-1.1</w:t>
            </w:r>
          </w:p>
        </w:tc>
        <w:tc>
          <w:tcPr>
            <w:tcW w:w="989" w:type="pct"/>
          </w:tcPr>
          <w:p w14:paraId="4E15922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2C9520A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Oxford, United Kingdom</w:t>
            </w:r>
          </w:p>
        </w:tc>
      </w:tr>
      <w:tr w14:paraId="05B0B39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784D279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Anti-DYKDDDDK (FLAG) (Rabbit mAb)</w:t>
            </w:r>
          </w:p>
        </w:tc>
        <w:tc>
          <w:tcPr>
            <w:tcW w:w="918" w:type="pct"/>
          </w:tcPr>
          <w:p w14:paraId="42F537F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Cell Signaling Technology</w:t>
            </w:r>
          </w:p>
        </w:tc>
        <w:tc>
          <w:tcPr>
            <w:tcW w:w="636" w:type="pct"/>
          </w:tcPr>
          <w:p w14:paraId="547072F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#2368</w:t>
            </w:r>
          </w:p>
        </w:tc>
        <w:tc>
          <w:tcPr>
            <w:tcW w:w="989" w:type="pct"/>
          </w:tcPr>
          <w:p w14:paraId="78F75A1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44477DC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Danvers, MA, USA.</w:t>
            </w:r>
          </w:p>
        </w:tc>
      </w:tr>
      <w:tr w14:paraId="326A6F7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66E5F36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Goat Anti-Rabbit IgG (H+L), DyLight 488</w:t>
            </w:r>
          </w:p>
        </w:tc>
        <w:tc>
          <w:tcPr>
            <w:tcW w:w="918" w:type="pct"/>
          </w:tcPr>
          <w:p w14:paraId="1EB7B0E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GeneTex</w:t>
            </w:r>
          </w:p>
        </w:tc>
        <w:tc>
          <w:tcPr>
            <w:tcW w:w="636" w:type="pct"/>
          </w:tcPr>
          <w:p w14:paraId="080B4D4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GTX213110-04</w:t>
            </w:r>
          </w:p>
        </w:tc>
        <w:tc>
          <w:tcPr>
            <w:tcW w:w="989" w:type="pct"/>
          </w:tcPr>
          <w:p w14:paraId="349FE30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74D5354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Hsinchu, Taiwan</w:t>
            </w:r>
          </w:p>
        </w:tc>
      </w:tr>
      <w:tr w14:paraId="032F3F4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3842ED6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DAPI</w:t>
            </w:r>
          </w:p>
        </w:tc>
        <w:tc>
          <w:tcPr>
            <w:tcW w:w="918" w:type="pct"/>
          </w:tcPr>
          <w:p w14:paraId="7A99E1E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Invitrogen</w:t>
            </w:r>
          </w:p>
        </w:tc>
        <w:tc>
          <w:tcPr>
            <w:tcW w:w="636" w:type="pct"/>
          </w:tcPr>
          <w:p w14:paraId="7C7C4D2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D1306</w:t>
            </w:r>
          </w:p>
        </w:tc>
        <w:tc>
          <w:tcPr>
            <w:tcW w:w="989" w:type="pct"/>
          </w:tcPr>
          <w:p w14:paraId="47A9DE1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5AB8EB7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3FC46B5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469A6B7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NucleoSpin® RNA Midi kit</w:t>
            </w:r>
          </w:p>
        </w:tc>
        <w:tc>
          <w:tcPr>
            <w:tcW w:w="918" w:type="pct"/>
          </w:tcPr>
          <w:p w14:paraId="2D199FA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MACHEREY-NAGEL</w:t>
            </w:r>
          </w:p>
        </w:tc>
        <w:tc>
          <w:tcPr>
            <w:tcW w:w="636" w:type="pct"/>
          </w:tcPr>
          <w:p w14:paraId="4B0FB2D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740962</w:t>
            </w:r>
          </w:p>
        </w:tc>
        <w:tc>
          <w:tcPr>
            <w:tcW w:w="989" w:type="pct"/>
          </w:tcPr>
          <w:p w14:paraId="344C0F9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64FFAE0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Düren, Germany</w:t>
            </w:r>
          </w:p>
        </w:tc>
      </w:tr>
      <w:tr w14:paraId="56AEE0D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6D5764F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rDNase Set</w:t>
            </w:r>
          </w:p>
        </w:tc>
        <w:tc>
          <w:tcPr>
            <w:tcW w:w="918" w:type="pct"/>
          </w:tcPr>
          <w:p w14:paraId="4CC9289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MACHEREY-NAGEL</w:t>
            </w:r>
          </w:p>
        </w:tc>
        <w:tc>
          <w:tcPr>
            <w:tcW w:w="636" w:type="pct"/>
          </w:tcPr>
          <w:p w14:paraId="5C268F4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740963</w:t>
            </w:r>
          </w:p>
        </w:tc>
        <w:tc>
          <w:tcPr>
            <w:tcW w:w="989" w:type="pct"/>
          </w:tcPr>
          <w:p w14:paraId="4E547F7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1AAC150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Düren, Germany</w:t>
            </w:r>
          </w:p>
        </w:tc>
      </w:tr>
      <w:tr w14:paraId="4971FBB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379BA76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iScript™ cDNA Synthesis Kit</w:t>
            </w:r>
          </w:p>
        </w:tc>
        <w:tc>
          <w:tcPr>
            <w:tcW w:w="918" w:type="pct"/>
          </w:tcPr>
          <w:p w14:paraId="6970E9A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Bio-Rad</w:t>
            </w:r>
          </w:p>
        </w:tc>
        <w:tc>
          <w:tcPr>
            <w:tcW w:w="636" w:type="pct"/>
          </w:tcPr>
          <w:p w14:paraId="2BC0E5CB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1708891</w:t>
            </w:r>
          </w:p>
        </w:tc>
        <w:tc>
          <w:tcPr>
            <w:tcW w:w="989" w:type="pct"/>
          </w:tcPr>
          <w:p w14:paraId="223C57B8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7FFDDF7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Hercules, CA, USA</w:t>
            </w:r>
          </w:p>
        </w:tc>
      </w:tr>
      <w:tr w14:paraId="2BB0B01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712A56F5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Fast SYBR™ Green Master Mix</w:t>
            </w:r>
          </w:p>
        </w:tc>
        <w:tc>
          <w:tcPr>
            <w:tcW w:w="918" w:type="pct"/>
          </w:tcPr>
          <w:p w14:paraId="0056F835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Applied Biosystems</w:t>
            </w:r>
          </w:p>
        </w:tc>
        <w:tc>
          <w:tcPr>
            <w:tcW w:w="636" w:type="pct"/>
          </w:tcPr>
          <w:p w14:paraId="237CBED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4385612</w:t>
            </w:r>
          </w:p>
        </w:tc>
        <w:tc>
          <w:tcPr>
            <w:tcW w:w="989" w:type="pct"/>
          </w:tcPr>
          <w:p w14:paraId="03B19FFD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50536E06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0D65C61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0373DC4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TRIzol™ Reagent</w:t>
            </w:r>
          </w:p>
        </w:tc>
        <w:tc>
          <w:tcPr>
            <w:tcW w:w="918" w:type="pct"/>
          </w:tcPr>
          <w:p w14:paraId="0ED703FD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Invitrogen</w:t>
            </w:r>
          </w:p>
        </w:tc>
        <w:tc>
          <w:tcPr>
            <w:tcW w:w="636" w:type="pct"/>
          </w:tcPr>
          <w:p w14:paraId="69C0B31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15596026</w:t>
            </w:r>
          </w:p>
        </w:tc>
        <w:tc>
          <w:tcPr>
            <w:tcW w:w="989" w:type="pct"/>
          </w:tcPr>
          <w:p w14:paraId="20A42DD6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557F3D76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12C4B7F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7039A86F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Taq DNA polymerase, recombinant</w:t>
            </w:r>
          </w:p>
        </w:tc>
        <w:tc>
          <w:tcPr>
            <w:tcW w:w="918" w:type="pct"/>
          </w:tcPr>
          <w:p w14:paraId="6EFF937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Invitrogen</w:t>
            </w:r>
          </w:p>
        </w:tc>
        <w:tc>
          <w:tcPr>
            <w:tcW w:w="636" w:type="pct"/>
          </w:tcPr>
          <w:p w14:paraId="5DC9E685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11615-010</w:t>
            </w:r>
          </w:p>
        </w:tc>
        <w:tc>
          <w:tcPr>
            <w:tcW w:w="989" w:type="pct"/>
          </w:tcPr>
          <w:p w14:paraId="259D5A8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20A5C6B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6C82E5E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27A3C3DB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Metformin hydrochloride</w:t>
            </w:r>
          </w:p>
        </w:tc>
        <w:tc>
          <w:tcPr>
            <w:tcW w:w="918" w:type="pct"/>
          </w:tcPr>
          <w:p w14:paraId="509D79DB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MedChemExpress (MCE)</w:t>
            </w:r>
          </w:p>
        </w:tc>
        <w:tc>
          <w:tcPr>
            <w:tcW w:w="636" w:type="pct"/>
          </w:tcPr>
          <w:p w14:paraId="4458A378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HY-17471A/CS-1851</w:t>
            </w:r>
          </w:p>
        </w:tc>
        <w:tc>
          <w:tcPr>
            <w:tcW w:w="989" w:type="pct"/>
          </w:tcPr>
          <w:p w14:paraId="1784156D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4136C07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Monmouth Junction, NJ, USA.</w:t>
            </w:r>
          </w:p>
        </w:tc>
      </w:tr>
      <w:tr w14:paraId="65BE19B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5503462D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Regorafenib</w:t>
            </w:r>
          </w:p>
        </w:tc>
        <w:tc>
          <w:tcPr>
            <w:tcW w:w="918" w:type="pct"/>
          </w:tcPr>
          <w:p w14:paraId="79A7FF4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TargetMol</w:t>
            </w:r>
          </w:p>
        </w:tc>
        <w:tc>
          <w:tcPr>
            <w:tcW w:w="636" w:type="pct"/>
          </w:tcPr>
          <w:p w14:paraId="3CF9BD02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T1792</w:t>
            </w:r>
          </w:p>
        </w:tc>
        <w:tc>
          <w:tcPr>
            <w:tcW w:w="989" w:type="pct"/>
          </w:tcPr>
          <w:p w14:paraId="53D4CAC5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2573C7A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Wellesley Hills/Boston, MA, USA</w:t>
            </w:r>
          </w:p>
        </w:tc>
      </w:tr>
      <w:tr w14:paraId="7B7A75E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5733338E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Pyridostatin (RR82) trifluoroacetate salt (PDS)</w:t>
            </w:r>
          </w:p>
        </w:tc>
        <w:tc>
          <w:tcPr>
            <w:tcW w:w="918" w:type="pct"/>
          </w:tcPr>
          <w:p w14:paraId="624DA80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Selleck Chemicals</w:t>
            </w:r>
          </w:p>
        </w:tc>
        <w:tc>
          <w:tcPr>
            <w:tcW w:w="636" w:type="pct"/>
          </w:tcPr>
          <w:p w14:paraId="5834CFE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S7444</w:t>
            </w:r>
          </w:p>
        </w:tc>
        <w:tc>
          <w:tcPr>
            <w:tcW w:w="989" w:type="pct"/>
          </w:tcPr>
          <w:p w14:paraId="7D19320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4AA01CB7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Houston, TX, USA</w:t>
            </w:r>
          </w:p>
        </w:tc>
      </w:tr>
      <w:tr w14:paraId="21CB276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156A886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Glutamic acid–chelated cobalt (GACC)</w:t>
            </w:r>
          </w:p>
        </w:tc>
        <w:tc>
          <w:tcPr>
            <w:tcW w:w="918" w:type="pct"/>
          </w:tcPr>
          <w:p w14:paraId="32FFCE4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Amelio Biomedical</w:t>
            </w:r>
          </w:p>
        </w:tc>
        <w:tc>
          <w:tcPr>
            <w:tcW w:w="636" w:type="pct"/>
          </w:tcPr>
          <w:p w14:paraId="1A98709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6524876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456A805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New Taipei City, Taiwan</w:t>
            </w:r>
          </w:p>
        </w:tc>
      </w:tr>
      <w:tr w14:paraId="6D70ED7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2C94324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Vybrant™ DiI Cell-Labeling Solution</w:t>
            </w:r>
          </w:p>
        </w:tc>
        <w:tc>
          <w:tcPr>
            <w:tcW w:w="918" w:type="pct"/>
          </w:tcPr>
          <w:p w14:paraId="4C59E5A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Invitrogen</w:t>
            </w:r>
          </w:p>
        </w:tc>
        <w:tc>
          <w:tcPr>
            <w:tcW w:w="636" w:type="pct"/>
          </w:tcPr>
          <w:p w14:paraId="2FCCD87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V22885</w:t>
            </w:r>
          </w:p>
        </w:tc>
        <w:tc>
          <w:tcPr>
            <w:tcW w:w="989" w:type="pct"/>
          </w:tcPr>
          <w:p w14:paraId="6098428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4C3D79A8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46F4140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750D621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DMEM, high glucose</w:t>
            </w:r>
          </w:p>
        </w:tc>
        <w:tc>
          <w:tcPr>
            <w:tcW w:w="918" w:type="pct"/>
          </w:tcPr>
          <w:p w14:paraId="1D797C47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Gibco (Thermo Fisher Scientific)</w:t>
            </w:r>
          </w:p>
        </w:tc>
        <w:tc>
          <w:tcPr>
            <w:tcW w:w="636" w:type="pct"/>
          </w:tcPr>
          <w:p w14:paraId="58A17AF2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11965-092</w:t>
            </w:r>
          </w:p>
        </w:tc>
        <w:tc>
          <w:tcPr>
            <w:tcW w:w="989" w:type="pct"/>
          </w:tcPr>
          <w:p w14:paraId="45F676DF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1B3B248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3783EEB5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1FE42B9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Fetal Bovine Serum (FBS), qualified</w:t>
            </w:r>
          </w:p>
        </w:tc>
        <w:tc>
          <w:tcPr>
            <w:tcW w:w="918" w:type="pct"/>
          </w:tcPr>
          <w:p w14:paraId="0F695F15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Gibco (Thermo Fisher Scientific)</w:t>
            </w:r>
          </w:p>
        </w:tc>
        <w:tc>
          <w:tcPr>
            <w:tcW w:w="636" w:type="pct"/>
          </w:tcPr>
          <w:p w14:paraId="58715B9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16000-044</w:t>
            </w:r>
          </w:p>
        </w:tc>
        <w:tc>
          <w:tcPr>
            <w:tcW w:w="989" w:type="pct"/>
          </w:tcPr>
          <w:p w14:paraId="0FD32A6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330DE7D7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077C77A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1A1B925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Penicillin–Streptomycin (100×)</w:t>
            </w:r>
          </w:p>
        </w:tc>
        <w:tc>
          <w:tcPr>
            <w:tcW w:w="918" w:type="pct"/>
          </w:tcPr>
          <w:p w14:paraId="2EC8E446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Gibco (Thermo Fisher Scientific)</w:t>
            </w:r>
          </w:p>
        </w:tc>
        <w:tc>
          <w:tcPr>
            <w:tcW w:w="636" w:type="pct"/>
          </w:tcPr>
          <w:p w14:paraId="6BEA29C5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15140-122</w:t>
            </w:r>
          </w:p>
        </w:tc>
        <w:tc>
          <w:tcPr>
            <w:tcW w:w="989" w:type="pct"/>
          </w:tcPr>
          <w:p w14:paraId="11514A5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769D3162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30DF5A9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6F9D538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Fiji (ImageJ-based distribution)</w:t>
            </w:r>
          </w:p>
        </w:tc>
        <w:tc>
          <w:tcPr>
            <w:tcW w:w="918" w:type="pct"/>
          </w:tcPr>
          <w:p w14:paraId="0199E0E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National Institutes of Health (NIH)</w:t>
            </w:r>
          </w:p>
        </w:tc>
        <w:tc>
          <w:tcPr>
            <w:tcW w:w="636" w:type="pct"/>
          </w:tcPr>
          <w:p w14:paraId="07567BDB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v2.16.0</w:t>
            </w:r>
          </w:p>
        </w:tc>
        <w:tc>
          <w:tcPr>
            <w:tcW w:w="989" w:type="pct"/>
          </w:tcPr>
          <w:p w14:paraId="1BDA23EE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RRID:SCR_003070</w:t>
            </w:r>
          </w:p>
        </w:tc>
        <w:tc>
          <w:tcPr>
            <w:tcW w:w="1114" w:type="pct"/>
          </w:tcPr>
          <w:p w14:paraId="1AA1164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Bethesda, MD, USA</w:t>
            </w:r>
          </w:p>
        </w:tc>
      </w:tr>
      <w:tr w14:paraId="729C8C2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082DD777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GraphPad Prism</w:t>
            </w:r>
          </w:p>
        </w:tc>
        <w:tc>
          <w:tcPr>
            <w:tcW w:w="918" w:type="pct"/>
          </w:tcPr>
          <w:p w14:paraId="61AFAF9E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Dotmatics/GraphPad</w:t>
            </w:r>
          </w:p>
        </w:tc>
        <w:tc>
          <w:tcPr>
            <w:tcW w:w="636" w:type="pct"/>
          </w:tcPr>
          <w:p w14:paraId="2BF133DD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10.3.1</w:t>
            </w:r>
          </w:p>
        </w:tc>
        <w:tc>
          <w:tcPr>
            <w:tcW w:w="989" w:type="pct"/>
          </w:tcPr>
          <w:p w14:paraId="5F5F7B9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RRID:SCR_002798</w:t>
            </w:r>
          </w:p>
        </w:tc>
        <w:tc>
          <w:tcPr>
            <w:tcW w:w="1114" w:type="pct"/>
          </w:tcPr>
          <w:p w14:paraId="6D15A65F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San Diego, CA, USA</w:t>
            </w:r>
          </w:p>
        </w:tc>
      </w:tr>
      <w:tr w14:paraId="7A70751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30283483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RCSB Protein Data Bank</w:t>
            </w:r>
          </w:p>
        </w:tc>
        <w:tc>
          <w:tcPr>
            <w:tcW w:w="918" w:type="pct"/>
          </w:tcPr>
          <w:p w14:paraId="1173576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RCSB</w:t>
            </w:r>
          </w:p>
        </w:tc>
        <w:tc>
          <w:tcPr>
            <w:tcW w:w="636" w:type="pct"/>
          </w:tcPr>
          <w:p w14:paraId="10ED3E7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78826DF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RRID:SCR_012820</w:t>
            </w:r>
          </w:p>
        </w:tc>
        <w:tc>
          <w:tcPr>
            <w:tcW w:w="1114" w:type="pct"/>
          </w:tcPr>
          <w:p w14:paraId="3EC0830E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Piscataway, NJ, USA</w:t>
            </w:r>
          </w:p>
        </w:tc>
      </w:tr>
      <w:tr w14:paraId="06235BE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6C796573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i/>
                <w:iCs/>
                <w:color w:val="000000"/>
                <w:kern w:val="2"/>
              </w:rPr>
              <w:t>Tg(fabp10a:EGFP-mCherry) nn1000</w:t>
            </w:r>
          </w:p>
        </w:tc>
        <w:tc>
          <w:tcPr>
            <w:tcW w:w="918" w:type="pct"/>
          </w:tcPr>
          <w:p w14:paraId="0835D83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ZFIN</w:t>
            </w:r>
          </w:p>
        </w:tc>
        <w:tc>
          <w:tcPr>
            <w:tcW w:w="636" w:type="pct"/>
          </w:tcPr>
          <w:p w14:paraId="14B4EED5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7C3B18F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RRID:ZDB-TGCONSTRUCT-131205-1</w:t>
            </w:r>
          </w:p>
        </w:tc>
        <w:tc>
          <w:tcPr>
            <w:tcW w:w="1114" w:type="pct"/>
          </w:tcPr>
          <w:p w14:paraId="023A001F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University of Oregon, Eugene, OR, USA</w:t>
            </w:r>
          </w:p>
        </w:tc>
      </w:tr>
      <w:tr w14:paraId="560E601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104D49A2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HSPR transgenic zebrafish</w:t>
            </w:r>
          </w:p>
        </w:tc>
        <w:tc>
          <w:tcPr>
            <w:tcW w:w="918" w:type="pct"/>
          </w:tcPr>
          <w:p w14:paraId="000E8D6B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NHRI internal resource</w:t>
            </w:r>
          </w:p>
        </w:tc>
        <w:tc>
          <w:tcPr>
            <w:tcW w:w="636" w:type="pct"/>
          </w:tcPr>
          <w:p w14:paraId="4953F2E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34994D46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78364BFF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Zhunan, Miaoli County, Taiwan</w:t>
            </w:r>
          </w:p>
        </w:tc>
      </w:tr>
      <w:tr w14:paraId="77E99AC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22A819A2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Applied Biosystems™ ViiA™ 7 Real-Time PCR System</w:t>
            </w:r>
          </w:p>
        </w:tc>
        <w:tc>
          <w:tcPr>
            <w:tcW w:w="918" w:type="pct"/>
          </w:tcPr>
          <w:p w14:paraId="25EC1386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Thermo Fisher Scientific</w:t>
            </w:r>
          </w:p>
        </w:tc>
        <w:tc>
          <w:tcPr>
            <w:tcW w:w="636" w:type="pct"/>
          </w:tcPr>
          <w:p w14:paraId="6CB5D3F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1690C3B5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4AB0B3A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Waltham, MA, USA</w:t>
            </w:r>
          </w:p>
        </w:tc>
      </w:tr>
      <w:tr w14:paraId="6C86AE3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0B40C54D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Bruker D8 Venture diffractometer</w:t>
            </w:r>
          </w:p>
        </w:tc>
        <w:tc>
          <w:tcPr>
            <w:tcW w:w="918" w:type="pct"/>
          </w:tcPr>
          <w:p w14:paraId="4EDDD54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Bruker AXS</w:t>
            </w:r>
          </w:p>
        </w:tc>
        <w:tc>
          <w:tcPr>
            <w:tcW w:w="636" w:type="pct"/>
          </w:tcPr>
          <w:p w14:paraId="2F4B77AF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7D3B3037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62B59E4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Karlsruhe, Germany</w:t>
            </w:r>
          </w:p>
        </w:tc>
      </w:tr>
      <w:tr w14:paraId="273F6BE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01733376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Taiwan Zebrafish Core Facility at NTHU-NHRI</w:t>
            </w:r>
          </w:p>
        </w:tc>
        <w:tc>
          <w:tcPr>
            <w:tcW w:w="918" w:type="pct"/>
          </w:tcPr>
          <w:p w14:paraId="3B89DD9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NHRI internal resource</w:t>
            </w:r>
          </w:p>
        </w:tc>
        <w:tc>
          <w:tcPr>
            <w:tcW w:w="636" w:type="pct"/>
          </w:tcPr>
          <w:p w14:paraId="33065AF2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15DBD59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2D9E26B3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Zhunan, Miaoli County, Taiwan</w:t>
            </w:r>
          </w:p>
        </w:tc>
      </w:tr>
      <w:tr w14:paraId="42CD204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29FA490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Instrumentation Center, National Taiwan University</w:t>
            </w:r>
          </w:p>
        </w:tc>
        <w:tc>
          <w:tcPr>
            <w:tcW w:w="918" w:type="pct"/>
          </w:tcPr>
          <w:p w14:paraId="01D0AB0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National Taiwan University</w:t>
            </w:r>
          </w:p>
        </w:tc>
        <w:tc>
          <w:tcPr>
            <w:tcW w:w="636" w:type="pct"/>
          </w:tcPr>
          <w:p w14:paraId="3D3CD27A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616363FE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3CFFF7AB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Taipei, Taiwan</w:t>
            </w:r>
          </w:p>
        </w:tc>
      </w:tr>
      <w:tr w14:paraId="46EDB15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4653E9A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SGS Taiwan</w:t>
            </w:r>
          </w:p>
        </w:tc>
        <w:tc>
          <w:tcPr>
            <w:tcW w:w="918" w:type="pct"/>
          </w:tcPr>
          <w:p w14:paraId="1C3700D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636" w:type="pct"/>
          </w:tcPr>
          <w:p w14:paraId="0526E2F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3FDCCD9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14C7900B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Taipei, Taiwan</w:t>
            </w:r>
          </w:p>
        </w:tc>
      </w:tr>
      <w:tr w14:paraId="2BD3574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261AB548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Development Center for Biotechnology (DCB), Taiwan</w:t>
            </w:r>
          </w:p>
        </w:tc>
        <w:tc>
          <w:tcPr>
            <w:tcW w:w="918" w:type="pct"/>
          </w:tcPr>
          <w:p w14:paraId="69A9584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636" w:type="pct"/>
          </w:tcPr>
          <w:p w14:paraId="20ABB24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75E3CAA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3EE32A1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Taipei, Taiwan</w:t>
            </w:r>
          </w:p>
        </w:tc>
      </w:tr>
      <w:tr w14:paraId="40F85D7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2C7429B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AminoMatrix Labs</w:t>
            </w:r>
          </w:p>
        </w:tc>
        <w:tc>
          <w:tcPr>
            <w:tcW w:w="918" w:type="pct"/>
          </w:tcPr>
          <w:p w14:paraId="7F704330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636" w:type="pct"/>
          </w:tcPr>
          <w:p w14:paraId="10CE8B1E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5EBBA8FB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604E9008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New Taipei City, Taiwan</w:t>
            </w:r>
          </w:p>
        </w:tc>
      </w:tr>
      <w:tr w14:paraId="1A0B7EF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5E069C3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Cy5-labeled KRAS-G4 oligonucleotides</w:t>
            </w:r>
          </w:p>
        </w:tc>
        <w:tc>
          <w:tcPr>
            <w:tcW w:w="918" w:type="pct"/>
          </w:tcPr>
          <w:p w14:paraId="3EA41BB6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MDBio, Inc.</w:t>
            </w:r>
          </w:p>
        </w:tc>
        <w:tc>
          <w:tcPr>
            <w:tcW w:w="636" w:type="pct"/>
          </w:tcPr>
          <w:p w14:paraId="38C7E943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989" w:type="pct"/>
          </w:tcPr>
          <w:p w14:paraId="684C8881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5B1D9C8C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Taipei, Taiwan</w:t>
            </w:r>
          </w:p>
        </w:tc>
      </w:tr>
      <w:tr w14:paraId="2A4A73C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01A5D1AE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Microscope/Camera for zebrafish imaging</w:t>
            </w:r>
          </w:p>
        </w:tc>
        <w:tc>
          <w:tcPr>
            <w:tcW w:w="918" w:type="pct"/>
          </w:tcPr>
          <w:p w14:paraId="5169ABF8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Leica DMIRB inverted fluorescence microscope / Olympus cooled digital color camera DP73</w:t>
            </w:r>
          </w:p>
        </w:tc>
        <w:tc>
          <w:tcPr>
            <w:tcW w:w="636" w:type="pct"/>
          </w:tcPr>
          <w:p w14:paraId="5DF725EE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Leica DMIRB; Olympus DP73</w:t>
            </w:r>
          </w:p>
        </w:tc>
        <w:tc>
          <w:tcPr>
            <w:tcW w:w="989" w:type="pct"/>
          </w:tcPr>
          <w:p w14:paraId="6D7702C9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—</w:t>
            </w:r>
          </w:p>
        </w:tc>
        <w:tc>
          <w:tcPr>
            <w:tcW w:w="1114" w:type="pct"/>
          </w:tcPr>
          <w:p w14:paraId="09B2C55F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Wetzlar, Germany</w:t>
            </w:r>
          </w:p>
        </w:tc>
      </w:tr>
      <w:tr w14:paraId="2158871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43" w:type="pct"/>
          </w:tcPr>
          <w:p w14:paraId="571415C4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MetaMorph</w:t>
            </w:r>
          </w:p>
        </w:tc>
        <w:tc>
          <w:tcPr>
            <w:tcW w:w="918" w:type="pct"/>
          </w:tcPr>
          <w:p w14:paraId="3893F2B2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Molecular Devices</w:t>
            </w:r>
          </w:p>
        </w:tc>
        <w:tc>
          <w:tcPr>
            <w:tcW w:w="636" w:type="pct"/>
          </w:tcPr>
          <w:p w14:paraId="1ED25F1F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7.10.1.161</w:t>
            </w:r>
          </w:p>
        </w:tc>
        <w:tc>
          <w:tcPr>
            <w:tcW w:w="989" w:type="pct"/>
          </w:tcPr>
          <w:p w14:paraId="0797F48B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RRID:SCR_002368</w:t>
            </w:r>
          </w:p>
        </w:tc>
        <w:tc>
          <w:tcPr>
            <w:tcW w:w="1114" w:type="pct"/>
          </w:tcPr>
          <w:p w14:paraId="6B8D2886">
            <w:pPr>
              <w:spacing w:line="320" w:lineRule="exact"/>
              <w:rPr>
                <w:rFonts w:ascii="Cambria" w:hAnsi="Cambria" w:cstheme="minorBidi"/>
                <w:color w:val="000000"/>
                <w:kern w:val="2"/>
              </w:rPr>
            </w:pPr>
            <w:r>
              <w:rPr>
                <w:rFonts w:ascii="Cambria" w:hAnsi="Cambria" w:cstheme="minorBidi"/>
                <w:color w:val="000000"/>
                <w:kern w:val="2"/>
              </w:rPr>
              <w:t>San Jose, CA, USA</w:t>
            </w:r>
          </w:p>
        </w:tc>
      </w:tr>
    </w:tbl>
    <w:p w14:paraId="1171F375">
      <w:pPr>
        <w:spacing w:line="320" w:lineRule="exact"/>
      </w:pPr>
    </w:p>
    <w:p w14:paraId="67B52555">
      <w:pPr>
        <w:spacing w:line="320" w:lineRule="exact"/>
        <w:jc w:val="both"/>
      </w:pPr>
      <w:r>
        <w:rPr>
          <w:b/>
          <w:bCs/>
        </w:rPr>
        <w:t>Note:</w:t>
      </w:r>
      <w:r>
        <w:t xml:space="preserve"> </w:t>
      </w:r>
    </w:p>
    <w:p w14:paraId="417E4BB9">
      <w:pPr>
        <w:spacing w:line="320" w:lineRule="exact"/>
        <w:jc w:val="both"/>
      </w:pPr>
      <w:r>
        <w:t>1. RRID</w:t>
      </w:r>
      <w:r>
        <w:rPr>
          <w:rFonts w:hint="eastAsia" w:ascii="宋体" w:hAnsi="宋体" w:eastAsia="宋体"/>
          <w:lang w:eastAsia="zh-CN"/>
        </w:rPr>
        <w:t>:</w:t>
      </w:r>
      <w:r>
        <w:t xml:space="preserve"> Research Resource Identifier.</w:t>
      </w:r>
    </w:p>
    <w:p w14:paraId="30CAB914">
      <w:pPr>
        <w:spacing w:line="320" w:lineRule="exact"/>
        <w:jc w:val="both"/>
      </w:pPr>
      <w:r>
        <w:t>2. ‘—’ indicates not available or not applicable.</w:t>
      </w:r>
    </w:p>
    <w:p w14:paraId="245B2E85">
      <w:pPr>
        <w:spacing w:line="320" w:lineRule="exact"/>
        <w:jc w:val="both"/>
      </w:pPr>
      <w:r>
        <w:t>3. Software versions are provided in the Catalog/Model column where relevant.</w:t>
      </w:r>
    </w:p>
    <w:p w14:paraId="1C317162">
      <w:pPr>
        <w:spacing w:line="320" w:lineRule="exact"/>
        <w:jc w:val="both"/>
      </w:pPr>
      <w:r>
        <w:t>4. Fiji is an ImageJ-based distribution; version shown above refers to the Fiji/ImageJ build used.</w:t>
      </w:r>
    </w:p>
    <w:p w14:paraId="3FAFDBE2">
      <w:pPr>
        <w:spacing w:after="120" w:line="276" w:lineRule="auto"/>
        <w:jc w:val="both"/>
      </w:pPr>
    </w:p>
    <w:p w14:paraId="58933ABA">
      <w:pPr>
        <w:spacing w:after="120" w:line="276" w:lineRule="auto"/>
        <w:jc w:val="both"/>
        <w:rPr>
          <w:b/>
          <w:bCs/>
        </w:rPr>
      </w:pPr>
      <w:r>
        <w:rPr>
          <w:b/>
          <w:bCs/>
        </w:rPr>
        <w:br w:type="page"/>
      </w:r>
    </w:p>
    <w:p w14:paraId="2340D24E">
      <w:pPr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120" w:line="276" w:lineRule="auto"/>
        <w:jc w:val="both"/>
        <w:rPr>
          <w:b/>
          <w:bCs/>
        </w:rPr>
      </w:pPr>
      <w:r>
        <w:rPr>
          <w:b/>
          <w:bCs/>
        </w:rPr>
        <w:t>Table S2. Crystal data and experimental details for GACC.</w:t>
      </w:r>
    </w:p>
    <w:tbl>
      <w:tblPr>
        <w:tblStyle w:val="8"/>
        <w:tblW w:w="4094" w:type="pct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73"/>
        <w:gridCol w:w="29"/>
        <w:gridCol w:w="3803"/>
      </w:tblGrid>
      <w:tr w14:paraId="0A8963D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500" w:type="pct"/>
            <w:gridSpan w:val="2"/>
            <w:tcBorders>
              <w:top w:val="single" w:color="auto" w:sz="4" w:space="0"/>
              <w:bottom w:val="single" w:color="auto" w:sz="4" w:space="0"/>
            </w:tcBorders>
          </w:tcPr>
          <w:p w14:paraId="26C569C1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Parameter</w:t>
            </w:r>
          </w:p>
        </w:tc>
        <w:tc>
          <w:tcPr>
            <w:tcW w:w="2500" w:type="pct"/>
            <w:tcBorders>
              <w:top w:val="single" w:color="auto" w:sz="4" w:space="0"/>
              <w:bottom w:val="single" w:color="auto" w:sz="4" w:space="0"/>
            </w:tcBorders>
          </w:tcPr>
          <w:p w14:paraId="361624AA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Value</w:t>
            </w:r>
          </w:p>
        </w:tc>
      </w:tr>
      <w:tr w14:paraId="4DFF1F7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  <w:tcBorders>
              <w:top w:val="single" w:color="auto" w:sz="4" w:space="0"/>
            </w:tcBorders>
          </w:tcPr>
          <w:p w14:paraId="53C870B8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Empirical formula </w:t>
            </w:r>
          </w:p>
        </w:tc>
        <w:tc>
          <w:tcPr>
            <w:tcW w:w="2519" w:type="pct"/>
            <w:gridSpan w:val="2"/>
            <w:tcBorders>
              <w:top w:val="single" w:color="auto" w:sz="4" w:space="0"/>
            </w:tcBorders>
          </w:tcPr>
          <w:p w14:paraId="4B992A78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C</w:t>
            </w:r>
            <w:r>
              <w:rPr>
                <w:rFonts w:asciiTheme="minorHAnsi" w:hAnsiTheme="minorHAnsi" w:cstheme="minorBidi"/>
                <w:kern w:val="2"/>
                <w:vertAlign w:val="subscript"/>
              </w:rPr>
              <w:t>5</w:t>
            </w:r>
            <w:r>
              <w:rPr>
                <w:rFonts w:asciiTheme="minorHAnsi" w:hAnsiTheme="minorHAnsi" w:cstheme="minorBidi"/>
                <w:kern w:val="2"/>
              </w:rPr>
              <w:t xml:space="preserve"> H</w:t>
            </w:r>
            <w:r>
              <w:rPr>
                <w:rFonts w:asciiTheme="minorHAnsi" w:hAnsiTheme="minorHAnsi" w:cstheme="minorBidi"/>
                <w:kern w:val="2"/>
                <w:vertAlign w:val="subscript"/>
              </w:rPr>
              <w:t>11</w:t>
            </w:r>
            <w:r>
              <w:rPr>
                <w:rFonts w:asciiTheme="minorHAnsi" w:hAnsiTheme="minorHAnsi" w:cstheme="minorBidi"/>
                <w:kern w:val="2"/>
              </w:rPr>
              <w:t xml:space="preserve"> Co N O</w:t>
            </w:r>
            <w:r>
              <w:rPr>
                <w:rFonts w:asciiTheme="minorHAnsi" w:hAnsiTheme="minorHAnsi" w:cstheme="minorBidi"/>
                <w:kern w:val="2"/>
                <w:vertAlign w:val="subscript"/>
              </w:rPr>
              <w:t>6</w:t>
            </w:r>
          </w:p>
        </w:tc>
      </w:tr>
      <w:tr w14:paraId="0BD9EE7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4F666128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Formula weight </w:t>
            </w:r>
          </w:p>
        </w:tc>
        <w:tc>
          <w:tcPr>
            <w:tcW w:w="2519" w:type="pct"/>
            <w:gridSpan w:val="2"/>
          </w:tcPr>
          <w:p w14:paraId="25AA2854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240.08</w:t>
            </w:r>
          </w:p>
        </w:tc>
      </w:tr>
      <w:tr w14:paraId="1F1DD29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429E1DCD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Crystal system </w:t>
            </w:r>
          </w:p>
        </w:tc>
        <w:tc>
          <w:tcPr>
            <w:tcW w:w="2519" w:type="pct"/>
            <w:gridSpan w:val="2"/>
          </w:tcPr>
          <w:p w14:paraId="46EA21C1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Orthorhombic</w:t>
            </w:r>
          </w:p>
        </w:tc>
      </w:tr>
      <w:tr w14:paraId="027A24B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5625A148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Space group </w:t>
            </w:r>
          </w:p>
        </w:tc>
        <w:tc>
          <w:tcPr>
            <w:tcW w:w="2519" w:type="pct"/>
            <w:gridSpan w:val="2"/>
          </w:tcPr>
          <w:p w14:paraId="7CA93599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P212121</w:t>
            </w:r>
          </w:p>
        </w:tc>
      </w:tr>
      <w:tr w14:paraId="071CB34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22E07819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Unit cell dimensions </w:t>
            </w:r>
          </w:p>
        </w:tc>
        <w:tc>
          <w:tcPr>
            <w:tcW w:w="2519" w:type="pct"/>
            <w:gridSpan w:val="2"/>
          </w:tcPr>
          <w:p w14:paraId="186C2038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a = 7.12700(10) Å</w:t>
            </w:r>
          </w:p>
        </w:tc>
      </w:tr>
      <w:tr w14:paraId="7A3FC65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73156CD9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519" w:type="pct"/>
            <w:gridSpan w:val="2"/>
          </w:tcPr>
          <w:p w14:paraId="17FDAF6E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b = 10.4397(3) Å</w:t>
            </w:r>
          </w:p>
        </w:tc>
      </w:tr>
      <w:tr w14:paraId="3729922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7BA88DA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</w:p>
        </w:tc>
        <w:tc>
          <w:tcPr>
            <w:tcW w:w="2519" w:type="pct"/>
            <w:gridSpan w:val="2"/>
          </w:tcPr>
          <w:p w14:paraId="0C4E694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 = 11.2621(3) Å</w:t>
            </w:r>
          </w:p>
        </w:tc>
      </w:tr>
      <w:tr w14:paraId="3EFD0C2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50D88EF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Volume</w:t>
            </w:r>
          </w:p>
        </w:tc>
        <w:tc>
          <w:tcPr>
            <w:tcW w:w="2519" w:type="pct"/>
            <w:gridSpan w:val="2"/>
          </w:tcPr>
          <w:p w14:paraId="1EF1D82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837.94(3) Å3</w:t>
            </w:r>
          </w:p>
        </w:tc>
      </w:tr>
      <w:tr w14:paraId="335C681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0CC82DC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Z</w:t>
            </w:r>
          </w:p>
        </w:tc>
        <w:tc>
          <w:tcPr>
            <w:tcW w:w="2519" w:type="pct"/>
            <w:gridSpan w:val="2"/>
          </w:tcPr>
          <w:p w14:paraId="7690FD9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</w:t>
            </w:r>
          </w:p>
        </w:tc>
      </w:tr>
      <w:tr w14:paraId="7BDB9F1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7B11E7A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F(000)</w:t>
            </w:r>
          </w:p>
        </w:tc>
        <w:tc>
          <w:tcPr>
            <w:tcW w:w="2519" w:type="pct"/>
            <w:gridSpan w:val="2"/>
          </w:tcPr>
          <w:p w14:paraId="78F220A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492</w:t>
            </w:r>
          </w:p>
        </w:tc>
      </w:tr>
      <w:tr w14:paraId="70EB6AA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3372983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Density (calculated)</w:t>
            </w:r>
          </w:p>
        </w:tc>
        <w:tc>
          <w:tcPr>
            <w:tcW w:w="2519" w:type="pct"/>
            <w:gridSpan w:val="2"/>
          </w:tcPr>
          <w:p w14:paraId="4E46104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1.903 g/cm3</w:t>
            </w:r>
          </w:p>
        </w:tc>
      </w:tr>
      <w:tr w14:paraId="70526E1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12667F7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Wavelength </w:t>
            </w:r>
          </w:p>
        </w:tc>
        <w:tc>
          <w:tcPr>
            <w:tcW w:w="2519" w:type="pct"/>
            <w:gridSpan w:val="2"/>
          </w:tcPr>
          <w:p w14:paraId="01352ED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0.71073 Å</w:t>
            </w:r>
          </w:p>
        </w:tc>
      </w:tr>
      <w:tr w14:paraId="67C81C2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2556DBA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Cell parameters reflections used </w:t>
            </w:r>
          </w:p>
        </w:tc>
        <w:tc>
          <w:tcPr>
            <w:tcW w:w="2519" w:type="pct"/>
            <w:gridSpan w:val="2"/>
          </w:tcPr>
          <w:p w14:paraId="10354C9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6952</w:t>
            </w:r>
          </w:p>
        </w:tc>
      </w:tr>
      <w:tr w14:paraId="2C499BE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02ED52E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Theta range for Cell parameters</w:t>
            </w:r>
          </w:p>
        </w:tc>
        <w:tc>
          <w:tcPr>
            <w:tcW w:w="2519" w:type="pct"/>
            <w:gridSpan w:val="2"/>
          </w:tcPr>
          <w:p w14:paraId="6591FAA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2.86 to 28.31°.</w:t>
            </w:r>
          </w:p>
        </w:tc>
      </w:tr>
      <w:tr w14:paraId="5AA3A75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1EEDF4F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Absorption coefficient</w:t>
            </w:r>
          </w:p>
        </w:tc>
        <w:tc>
          <w:tcPr>
            <w:tcW w:w="2519" w:type="pct"/>
            <w:gridSpan w:val="2"/>
          </w:tcPr>
          <w:p w14:paraId="29DB3C43">
            <w:pPr>
              <w:spacing w:line="320" w:lineRule="exact"/>
              <w:rPr>
                <w:rFonts w:eastAsia="宋体" w:asciiTheme="minorHAnsi" w:hAnsiTheme="minorHAnsi" w:cstheme="minorBidi"/>
                <w:kern w:val="2"/>
                <w:lang w:eastAsia="zh-CN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2.047 </w:t>
            </w:r>
            <w:r>
              <w:rPr>
                <w:rFonts w:hint="eastAsia" w:eastAsia="宋体" w:asciiTheme="minorHAnsi" w:hAnsiTheme="minorHAnsi" w:cstheme="minorBidi"/>
                <w:kern w:val="2"/>
                <w:lang w:eastAsia="zh-CN"/>
              </w:rPr>
              <w:t>/</w:t>
            </w:r>
            <w:r>
              <w:rPr>
                <w:rFonts w:asciiTheme="minorHAnsi" w:hAnsiTheme="minorHAnsi" w:cstheme="minorBidi"/>
                <w:kern w:val="2"/>
              </w:rPr>
              <w:t>mm</w:t>
            </w:r>
          </w:p>
        </w:tc>
      </w:tr>
      <w:tr w14:paraId="55C0A49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  <w:tcBorders>
              <w:bottom w:val="nil"/>
            </w:tcBorders>
          </w:tcPr>
          <w:p w14:paraId="535775A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Temperature </w:t>
            </w:r>
          </w:p>
        </w:tc>
        <w:tc>
          <w:tcPr>
            <w:tcW w:w="2519" w:type="pct"/>
            <w:gridSpan w:val="2"/>
            <w:tcBorders>
              <w:bottom w:val="nil"/>
            </w:tcBorders>
          </w:tcPr>
          <w:p w14:paraId="5D4907E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200(2) K</w:t>
            </w:r>
          </w:p>
        </w:tc>
      </w:tr>
      <w:tr w14:paraId="794A0A8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  <w:tcBorders>
              <w:top w:val="nil"/>
              <w:bottom w:val="nil"/>
            </w:tcBorders>
          </w:tcPr>
          <w:p w14:paraId="5A7660B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Crystal size</w:t>
            </w:r>
          </w:p>
        </w:tc>
        <w:tc>
          <w:tcPr>
            <w:tcW w:w="2519" w:type="pct"/>
            <w:gridSpan w:val="2"/>
            <w:tcBorders>
              <w:top w:val="nil"/>
              <w:bottom w:val="nil"/>
            </w:tcBorders>
          </w:tcPr>
          <w:p w14:paraId="0A6900A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0.370 </w:t>
            </w:r>
            <w:r>
              <w:rPr>
                <w:rFonts w:hint="eastAsia" w:eastAsia="宋体" w:asciiTheme="minorHAnsi" w:hAnsiTheme="minorHAnsi" w:cstheme="minorBidi"/>
                <w:kern w:val="2"/>
                <w:lang w:eastAsia="zh-CN"/>
              </w:rPr>
              <w:t>×</w:t>
            </w:r>
            <w:r>
              <w:rPr>
                <w:rFonts w:asciiTheme="minorHAnsi" w:hAnsiTheme="minorHAnsi" w:cstheme="minorBidi"/>
                <w:kern w:val="2"/>
              </w:rPr>
              <w:t xml:space="preserve"> 0.165 </w:t>
            </w:r>
            <w:r>
              <w:rPr>
                <w:rFonts w:eastAsia="宋体" w:asciiTheme="minorHAnsi" w:hAnsiTheme="minorHAnsi" w:cstheme="minorBidi"/>
                <w:kern w:val="2"/>
                <w:lang w:eastAsia="zh-CN"/>
              </w:rPr>
              <w:t>×</w:t>
            </w:r>
            <w:r>
              <w:rPr>
                <w:rFonts w:asciiTheme="minorHAnsi" w:hAnsiTheme="minorHAnsi" w:cstheme="minorBidi"/>
                <w:kern w:val="2"/>
              </w:rPr>
              <w:t xml:space="preserve"> 0.101 mm</w:t>
            </w:r>
            <w:r>
              <w:rPr>
                <w:rFonts w:asciiTheme="minorHAnsi" w:hAnsiTheme="minorHAnsi" w:cstheme="minorBidi"/>
                <w:kern w:val="2"/>
                <w:vertAlign w:val="superscript"/>
              </w:rPr>
              <w:t>3</w:t>
            </w:r>
          </w:p>
        </w:tc>
      </w:tr>
      <w:tr w14:paraId="70B6F11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  <w:tcBorders>
              <w:top w:val="nil"/>
            </w:tcBorders>
          </w:tcPr>
          <w:p w14:paraId="66D789F5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</w:p>
        </w:tc>
        <w:tc>
          <w:tcPr>
            <w:tcW w:w="2519" w:type="pct"/>
            <w:gridSpan w:val="2"/>
            <w:tcBorders>
              <w:top w:val="nil"/>
            </w:tcBorders>
          </w:tcPr>
          <w:p w14:paraId="75D4686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</w:p>
        </w:tc>
      </w:tr>
      <w:tr w14:paraId="392F0FA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5000" w:type="pct"/>
            <w:gridSpan w:val="3"/>
          </w:tcPr>
          <w:p w14:paraId="2AB9E912">
            <w:pPr>
              <w:spacing w:line="320" w:lineRule="exact"/>
              <w:jc w:val="center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Data collection</w:t>
            </w:r>
          </w:p>
        </w:tc>
      </w:tr>
      <w:tr w14:paraId="63820BA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457AFF4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Diffractometer </w:t>
            </w:r>
          </w:p>
        </w:tc>
        <w:tc>
          <w:tcPr>
            <w:tcW w:w="2519" w:type="pct"/>
            <w:gridSpan w:val="2"/>
          </w:tcPr>
          <w:p w14:paraId="1A9F11F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Bruker D8 Venture</w:t>
            </w:r>
          </w:p>
        </w:tc>
      </w:tr>
      <w:tr w14:paraId="535CAA2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5A11682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Absorption correction</w:t>
            </w:r>
          </w:p>
        </w:tc>
        <w:tc>
          <w:tcPr>
            <w:tcW w:w="2519" w:type="pct"/>
            <w:gridSpan w:val="2"/>
          </w:tcPr>
          <w:p w14:paraId="68D520E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Semi-empirical from equivalents</w:t>
            </w:r>
          </w:p>
        </w:tc>
      </w:tr>
      <w:tr w14:paraId="2F7CDA8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42EB6E9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Max. and min. transmission</w:t>
            </w:r>
          </w:p>
        </w:tc>
        <w:tc>
          <w:tcPr>
            <w:tcW w:w="2519" w:type="pct"/>
            <w:gridSpan w:val="2"/>
          </w:tcPr>
          <w:p w14:paraId="5CFEA13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0.7457 and 0.5926</w:t>
            </w:r>
          </w:p>
        </w:tc>
      </w:tr>
      <w:tr w14:paraId="6D3D24B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51C7152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No. of measured reflections</w:t>
            </w:r>
          </w:p>
        </w:tc>
        <w:tc>
          <w:tcPr>
            <w:tcW w:w="2519" w:type="pct"/>
            <w:gridSpan w:val="2"/>
          </w:tcPr>
          <w:p w14:paraId="5D825D2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8384</w:t>
            </w:r>
          </w:p>
        </w:tc>
      </w:tr>
      <w:tr w14:paraId="1A1D952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614FADC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No. of independent reflections </w:t>
            </w:r>
          </w:p>
        </w:tc>
        <w:tc>
          <w:tcPr>
            <w:tcW w:w="2519" w:type="pct"/>
            <w:gridSpan w:val="2"/>
          </w:tcPr>
          <w:p w14:paraId="48CA75F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2068 [R(int) = 0.0461] </w:t>
            </w:r>
          </w:p>
        </w:tc>
      </w:tr>
      <w:tr w14:paraId="549CDD25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3391BD1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No. of observed [I&gt;2_igma(I)] </w:t>
            </w:r>
          </w:p>
        </w:tc>
        <w:tc>
          <w:tcPr>
            <w:tcW w:w="2519" w:type="pct"/>
            <w:gridSpan w:val="2"/>
          </w:tcPr>
          <w:p w14:paraId="790F221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2040</w:t>
            </w:r>
          </w:p>
        </w:tc>
      </w:tr>
      <w:tr w14:paraId="57DEFE6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4FA71DF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Completeness to theta = 25.242°</w:t>
            </w:r>
          </w:p>
        </w:tc>
        <w:tc>
          <w:tcPr>
            <w:tcW w:w="2519" w:type="pct"/>
            <w:gridSpan w:val="2"/>
          </w:tcPr>
          <w:p w14:paraId="5934C10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99.0 % </w:t>
            </w:r>
          </w:p>
        </w:tc>
      </w:tr>
      <w:tr w14:paraId="4D8F54B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4DD5F57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Theta range for data collection</w:t>
            </w:r>
          </w:p>
        </w:tc>
        <w:tc>
          <w:tcPr>
            <w:tcW w:w="2519" w:type="pct"/>
            <w:gridSpan w:val="2"/>
          </w:tcPr>
          <w:p w14:paraId="24362DF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3.383 to 28.307°</w:t>
            </w:r>
          </w:p>
        </w:tc>
      </w:tr>
      <w:tr w14:paraId="4B9C25E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18A1893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</w:p>
        </w:tc>
        <w:tc>
          <w:tcPr>
            <w:tcW w:w="2519" w:type="pct"/>
            <w:gridSpan w:val="2"/>
          </w:tcPr>
          <w:p w14:paraId="08193F4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</w:p>
        </w:tc>
      </w:tr>
      <w:tr w14:paraId="7367B3E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5000" w:type="pct"/>
            <w:gridSpan w:val="3"/>
          </w:tcPr>
          <w:p w14:paraId="0423FB2E">
            <w:pPr>
              <w:spacing w:line="320" w:lineRule="exact"/>
              <w:jc w:val="center"/>
              <w:rPr>
                <w:rFonts w:asciiTheme="minorHAnsi" w:hAnsiTheme="minorHAnsi" w:cstheme="minorBidi"/>
                <w:b/>
                <w:kern w:val="2"/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Refinement</w:t>
            </w:r>
          </w:p>
        </w:tc>
      </w:tr>
      <w:tr w14:paraId="40402B95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47C7FB5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Final R indices [I&gt;2sigma(I)]</w:t>
            </w:r>
          </w:p>
        </w:tc>
        <w:tc>
          <w:tcPr>
            <w:tcW w:w="2519" w:type="pct"/>
            <w:gridSpan w:val="2"/>
          </w:tcPr>
          <w:p w14:paraId="5E0350D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R1 = 0.0276, wR2 = 0.0758</w:t>
            </w:r>
          </w:p>
        </w:tc>
      </w:tr>
      <w:tr w14:paraId="3FED2F8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7047DAB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R indices (all data)</w:t>
            </w:r>
          </w:p>
        </w:tc>
        <w:tc>
          <w:tcPr>
            <w:tcW w:w="2519" w:type="pct"/>
            <w:gridSpan w:val="2"/>
          </w:tcPr>
          <w:p w14:paraId="0F9E1DE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R1 = 0.0279, wR2 = 0.0759</w:t>
            </w:r>
          </w:p>
        </w:tc>
      </w:tr>
      <w:tr w14:paraId="7FD36DD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4606194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Goodness-of-fit on F2</w:t>
            </w:r>
          </w:p>
        </w:tc>
        <w:tc>
          <w:tcPr>
            <w:tcW w:w="2519" w:type="pct"/>
            <w:gridSpan w:val="2"/>
          </w:tcPr>
          <w:p w14:paraId="73041CD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1.241</w:t>
            </w:r>
          </w:p>
        </w:tc>
      </w:tr>
      <w:tr w14:paraId="3B18627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236213E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No. of reflections</w:t>
            </w:r>
          </w:p>
        </w:tc>
        <w:tc>
          <w:tcPr>
            <w:tcW w:w="2519" w:type="pct"/>
            <w:gridSpan w:val="2"/>
          </w:tcPr>
          <w:p w14:paraId="04A14D1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2068</w:t>
            </w:r>
          </w:p>
        </w:tc>
      </w:tr>
      <w:tr w14:paraId="0B7394F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17C3598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No. of parameters</w:t>
            </w:r>
          </w:p>
        </w:tc>
        <w:tc>
          <w:tcPr>
            <w:tcW w:w="2519" w:type="pct"/>
            <w:gridSpan w:val="2"/>
          </w:tcPr>
          <w:p w14:paraId="3C4DB05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163</w:t>
            </w:r>
          </w:p>
        </w:tc>
      </w:tr>
      <w:tr w14:paraId="17FB701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5C34669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No. of restraints</w:t>
            </w:r>
          </w:p>
        </w:tc>
        <w:tc>
          <w:tcPr>
            <w:tcW w:w="2519" w:type="pct"/>
            <w:gridSpan w:val="2"/>
          </w:tcPr>
          <w:p w14:paraId="6151BE3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</w:t>
            </w:r>
          </w:p>
        </w:tc>
      </w:tr>
      <w:tr w14:paraId="1813BFB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0EC6DF5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Absolute structure parameter</w:t>
            </w:r>
          </w:p>
        </w:tc>
        <w:tc>
          <w:tcPr>
            <w:tcW w:w="2519" w:type="pct"/>
            <w:gridSpan w:val="2"/>
          </w:tcPr>
          <w:p w14:paraId="7E72E04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0.10(3)</w:t>
            </w:r>
          </w:p>
        </w:tc>
      </w:tr>
      <w:tr w14:paraId="04DC9CB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481" w:type="pct"/>
          </w:tcPr>
          <w:p w14:paraId="2E95538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Largest diff. peak and hole</w:t>
            </w:r>
          </w:p>
        </w:tc>
        <w:tc>
          <w:tcPr>
            <w:tcW w:w="2519" w:type="pct"/>
            <w:gridSpan w:val="2"/>
          </w:tcPr>
          <w:p w14:paraId="31B1963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0.359 and -0.347 e.Å-3</w:t>
            </w:r>
          </w:p>
        </w:tc>
      </w:tr>
    </w:tbl>
    <w:p w14:paraId="05A7441B">
      <w:pPr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120" w:line="276" w:lineRule="auto"/>
        <w:jc w:val="both"/>
      </w:pPr>
    </w:p>
    <w:p w14:paraId="2D2300B0">
      <w:pPr>
        <w:pStyle w:val="6"/>
        <w:snapToGrid w:val="0"/>
        <w:spacing w:before="0" w:beforeAutospacing="0" w:after="0" w:afterAutospacing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Note: </w:t>
      </w:r>
      <w:r>
        <w:rPr>
          <w:rStyle w:val="5"/>
          <w:rFonts w:ascii="Times New Roman" w:hAnsi="Times New Roman" w:cs="Times New Roman"/>
          <w:i w:val="0"/>
        </w:rPr>
        <w:t>Values in parentheses are standard uncertainties (s.u.) in the last significant digits.</w:t>
      </w:r>
    </w:p>
    <w:p w14:paraId="32DE1B6F">
      <w:pPr>
        <w:pStyle w:val="6"/>
        <w:snapToGrid w:val="0"/>
        <w:spacing w:before="0" w:beforeAutospacing="0" w:after="0" w:afterAutospacing="0"/>
        <w:rPr>
          <w:rFonts w:ascii="Times New Roman" w:hAnsi="Times New Roman" w:cs="Times New Roman"/>
        </w:rPr>
      </w:pPr>
      <w:r>
        <w:rPr>
          <w:rStyle w:val="5"/>
          <w:rFonts w:ascii="Times New Roman" w:hAnsi="Times New Roman" w:cs="Times New Roman"/>
          <w:i w:val="0"/>
        </w:rPr>
        <w:t xml:space="preserve">R1 = Σ||Fo| </w:t>
      </w:r>
      <w:r>
        <w:rPr>
          <w:rStyle w:val="5"/>
          <w:rFonts w:ascii="Times New Roman" w:hAnsi="Times New Roman" w:eastAsia="MS Gothic" w:cs="Times New Roman"/>
          <w:i w:val="0"/>
        </w:rPr>
        <w:t>−</w:t>
      </w:r>
      <w:r>
        <w:rPr>
          <w:rStyle w:val="5"/>
          <w:rFonts w:ascii="Times New Roman" w:hAnsi="Times New Roman" w:cs="Times New Roman"/>
          <w:i w:val="0"/>
        </w:rPr>
        <w:t xml:space="preserve"> |Fc|| / </w:t>
      </w:r>
      <w:r>
        <w:rPr>
          <w:rStyle w:val="5"/>
          <w:rFonts w:hint="eastAsia" w:ascii="Times New Roman" w:hAnsi="Times New Roman" w:cs="Times New Roman"/>
          <w:i w:val="0"/>
        </w:rPr>
        <w:t>Σ</w:t>
      </w:r>
      <w:r>
        <w:rPr>
          <w:rStyle w:val="5"/>
          <w:rFonts w:ascii="Times New Roman" w:hAnsi="Times New Roman" w:cs="Times New Roman"/>
          <w:i w:val="0"/>
        </w:rPr>
        <w:t>|Fo|; wR2 = [</w:t>
      </w:r>
      <w:r>
        <w:rPr>
          <w:rStyle w:val="5"/>
          <w:rFonts w:hint="eastAsia" w:ascii="Times New Roman" w:hAnsi="Times New Roman" w:cs="Times New Roman"/>
          <w:i w:val="0"/>
        </w:rPr>
        <w:t>Σ</w:t>
      </w:r>
      <w:r>
        <w:rPr>
          <w:rStyle w:val="5"/>
          <w:rFonts w:ascii="Times New Roman" w:hAnsi="Times New Roman" w:cs="Times New Roman"/>
          <w:i w:val="0"/>
        </w:rPr>
        <w:t>w(Fo</w:t>
      </w:r>
      <w:r>
        <w:rPr>
          <w:rStyle w:val="5"/>
          <w:rFonts w:hint="eastAsia" w:ascii="Times New Roman" w:hAnsi="Times New Roman" w:cs="Times New Roman"/>
          <w:i w:val="0"/>
        </w:rPr>
        <w:t>²</w:t>
      </w:r>
      <w:r>
        <w:rPr>
          <w:rStyle w:val="5"/>
          <w:rFonts w:ascii="Times New Roman" w:hAnsi="Times New Roman" w:cs="Times New Roman"/>
          <w:i w:val="0"/>
        </w:rPr>
        <w:t xml:space="preserve"> </w:t>
      </w:r>
      <w:r>
        <w:rPr>
          <w:rStyle w:val="5"/>
          <w:rFonts w:ascii="Times New Roman" w:hAnsi="Times New Roman" w:eastAsia="MS Gothic" w:cs="Times New Roman"/>
          <w:i w:val="0"/>
        </w:rPr>
        <w:t>−</w:t>
      </w:r>
      <w:r>
        <w:rPr>
          <w:rStyle w:val="5"/>
          <w:rFonts w:ascii="Times New Roman" w:hAnsi="Times New Roman" w:cs="Times New Roman"/>
          <w:i w:val="0"/>
        </w:rPr>
        <w:t xml:space="preserve"> Fc</w:t>
      </w:r>
      <w:r>
        <w:rPr>
          <w:rStyle w:val="5"/>
          <w:rFonts w:hint="eastAsia" w:ascii="Times New Roman" w:hAnsi="Times New Roman" w:cs="Times New Roman"/>
          <w:i w:val="0"/>
        </w:rPr>
        <w:t>²</w:t>
      </w:r>
      <w:r>
        <w:rPr>
          <w:rStyle w:val="5"/>
          <w:rFonts w:ascii="Times New Roman" w:hAnsi="Times New Roman" w:cs="Times New Roman"/>
          <w:i w:val="0"/>
        </w:rPr>
        <w:t>)</w:t>
      </w:r>
      <w:r>
        <w:rPr>
          <w:rStyle w:val="5"/>
          <w:rFonts w:hint="eastAsia" w:ascii="Times New Roman" w:hAnsi="Times New Roman" w:cs="Times New Roman"/>
          <w:i w:val="0"/>
        </w:rPr>
        <w:t>²</w:t>
      </w:r>
      <w:r>
        <w:rPr>
          <w:rStyle w:val="5"/>
          <w:rFonts w:ascii="Times New Roman" w:hAnsi="Times New Roman" w:cs="Times New Roman"/>
          <w:i w:val="0"/>
        </w:rPr>
        <w:t xml:space="preserve"> / </w:t>
      </w:r>
      <w:r>
        <w:rPr>
          <w:rStyle w:val="5"/>
          <w:rFonts w:hint="eastAsia" w:ascii="Times New Roman" w:hAnsi="Times New Roman" w:cs="Times New Roman"/>
          <w:i w:val="0"/>
        </w:rPr>
        <w:t>Σ</w:t>
      </w:r>
      <w:r>
        <w:rPr>
          <w:rStyle w:val="5"/>
          <w:rFonts w:ascii="Times New Roman" w:hAnsi="Times New Roman" w:cs="Times New Roman"/>
          <w:i w:val="0"/>
        </w:rPr>
        <w:t>w(Fo</w:t>
      </w:r>
      <w:r>
        <w:rPr>
          <w:rStyle w:val="5"/>
          <w:rFonts w:hint="eastAsia" w:ascii="Times New Roman" w:hAnsi="Times New Roman" w:cs="Times New Roman"/>
          <w:i w:val="0"/>
        </w:rPr>
        <w:t>²</w:t>
      </w:r>
      <w:r>
        <w:rPr>
          <w:rStyle w:val="5"/>
          <w:rFonts w:ascii="Times New Roman" w:hAnsi="Times New Roman" w:cs="Times New Roman"/>
          <w:i w:val="0"/>
        </w:rPr>
        <w:t>)</w:t>
      </w:r>
      <w:r>
        <w:rPr>
          <w:rStyle w:val="5"/>
          <w:rFonts w:hint="eastAsia" w:ascii="Times New Roman" w:hAnsi="Times New Roman" w:cs="Times New Roman"/>
          <w:i w:val="0"/>
        </w:rPr>
        <w:t>²</w:t>
      </w:r>
      <w:r>
        <w:rPr>
          <w:rStyle w:val="5"/>
          <w:rFonts w:ascii="Times New Roman" w:hAnsi="Times New Roman" w:cs="Times New Roman"/>
          <w:i w:val="0"/>
        </w:rPr>
        <w:t>]</w:t>
      </w:r>
      <w:r>
        <w:rPr>
          <w:rStyle w:val="5"/>
          <w:rFonts w:hint="eastAsia" w:ascii="Times New Roman" w:hAnsi="Times New Roman" w:cs="Times New Roman"/>
          <w:i w:val="0"/>
        </w:rPr>
        <w:t>¹</w:t>
      </w:r>
      <w:r>
        <w:rPr>
          <w:rStyle w:val="5"/>
          <w:rFonts w:ascii="Gadugi" w:hAnsi="Gadugi" w:cs="Gadugi"/>
          <w:i w:val="0"/>
        </w:rPr>
        <w:t>ᐟ</w:t>
      </w:r>
      <w:r>
        <w:rPr>
          <w:rStyle w:val="5"/>
          <w:rFonts w:ascii="Times New Roman" w:hAnsi="Times New Roman" w:cs="Times New Roman"/>
          <w:i w:val="0"/>
        </w:rPr>
        <w:t>².</w:t>
      </w:r>
    </w:p>
    <w:p w14:paraId="76CD0364">
      <w:pPr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120" w:line="276" w:lineRule="auto"/>
        <w:jc w:val="both"/>
        <w:rPr>
          <w:lang w:val="en-US"/>
        </w:rPr>
      </w:pPr>
    </w:p>
    <w:p w14:paraId="308AABDC">
      <w:pPr>
        <w:tabs>
          <w:tab w:val="center" w:pos="2880"/>
          <w:tab w:val="center" w:pos="4320"/>
          <w:tab w:val="center" w:pos="5760"/>
          <w:tab w:val="center" w:pos="7200"/>
          <w:tab w:val="left" w:pos="11900"/>
        </w:tabs>
        <w:autoSpaceDE w:val="0"/>
        <w:autoSpaceDN w:val="0"/>
        <w:adjustRightInd w:val="0"/>
        <w:spacing w:after="120" w:line="276" w:lineRule="auto"/>
        <w:jc w:val="both"/>
        <w:rPr>
          <w:b/>
          <w:bCs/>
        </w:rPr>
      </w:pPr>
      <w:r>
        <w:rPr>
          <w:b/>
          <w:bCs/>
        </w:rPr>
        <w:t xml:space="preserve">Table S3. Atomic coordinates ( </w:t>
      </w:r>
      <w:r>
        <w:rPr>
          <w:b/>
        </w:rPr>
        <w:t>×</w:t>
      </w:r>
      <w:r>
        <w:rPr>
          <w:b/>
          <w:bCs/>
        </w:rPr>
        <w:t xml:space="preserve"> 10</w:t>
      </w:r>
      <w:r>
        <w:rPr>
          <w:b/>
          <w:bCs/>
          <w:vertAlign w:val="superscript"/>
        </w:rPr>
        <w:t>4</w:t>
      </w:r>
      <w:r>
        <w:rPr>
          <w:b/>
          <w:bCs/>
        </w:rPr>
        <w:t>) and equivalent isotropic displacement parameters (Å</w:t>
      </w:r>
      <w:r>
        <w:rPr>
          <w:b/>
          <w:bCs/>
          <w:vertAlign w:val="superscript"/>
        </w:rPr>
        <w:t xml:space="preserve">2 </w:t>
      </w:r>
      <w:r>
        <w:rPr>
          <w:b/>
        </w:rPr>
        <w:t>×</w:t>
      </w:r>
      <w:r>
        <w:rPr>
          <w:b/>
          <w:bCs/>
        </w:rPr>
        <w:t xml:space="preserve"> 10</w:t>
      </w:r>
      <w:r>
        <w:rPr>
          <w:b/>
          <w:bCs/>
          <w:vertAlign w:val="superscript"/>
        </w:rPr>
        <w:t>-3</w:t>
      </w:r>
      <w:r>
        <w:rPr>
          <w:b/>
          <w:bCs/>
        </w:rPr>
        <w:t>) for GACC.</w:t>
      </w:r>
    </w:p>
    <w:tbl>
      <w:tblPr>
        <w:tblStyle w:val="8"/>
        <w:tblW w:w="3069" w:type="pct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1089"/>
        <w:gridCol w:w="1089"/>
        <w:gridCol w:w="1090"/>
        <w:gridCol w:w="865"/>
      </w:tblGrid>
      <w:tr w14:paraId="1B2AC0D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  <w:tcBorders>
              <w:top w:val="single" w:color="auto" w:sz="4" w:space="0"/>
              <w:bottom w:val="single" w:color="auto" w:sz="4" w:space="0"/>
            </w:tcBorders>
          </w:tcPr>
          <w:p w14:paraId="502D739B">
            <w:pPr>
              <w:spacing w:line="320" w:lineRule="exact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bCs/>
                <w:kern w:val="2"/>
              </w:rPr>
              <w:t>A</w:t>
            </w:r>
            <w:r>
              <w:rPr>
                <w:rFonts w:asciiTheme="minorHAnsi" w:hAnsiTheme="minorHAnsi" w:cstheme="minorBidi"/>
                <w:b/>
                <w:kern w:val="2"/>
              </w:rPr>
              <w:t>tom</w:t>
            </w:r>
            <w:r>
              <w:rPr>
                <w:rFonts w:asciiTheme="minorHAnsi" w:hAnsiTheme="minorHAnsi" w:cstheme="minorBidi"/>
                <w:b/>
                <w:bCs/>
                <w:kern w:val="2"/>
              </w:rPr>
              <w:t xml:space="preserve"> label</w:t>
            </w:r>
          </w:p>
        </w:tc>
        <w:tc>
          <w:tcPr>
            <w:tcW w:w="955" w:type="pct"/>
            <w:tcBorders>
              <w:top w:val="single" w:color="auto" w:sz="4" w:space="0"/>
              <w:bottom w:val="single" w:color="auto" w:sz="4" w:space="0"/>
            </w:tcBorders>
          </w:tcPr>
          <w:p w14:paraId="7AB8E556">
            <w:pPr>
              <w:spacing w:line="320" w:lineRule="exact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 xml:space="preserve">x </w:t>
            </w:r>
          </w:p>
        </w:tc>
        <w:tc>
          <w:tcPr>
            <w:tcW w:w="955" w:type="pct"/>
            <w:tcBorders>
              <w:top w:val="single" w:color="auto" w:sz="4" w:space="0"/>
              <w:bottom w:val="single" w:color="auto" w:sz="4" w:space="0"/>
            </w:tcBorders>
          </w:tcPr>
          <w:p w14:paraId="224300E4">
            <w:pPr>
              <w:spacing w:line="320" w:lineRule="exact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 xml:space="preserve">y </w:t>
            </w:r>
          </w:p>
        </w:tc>
        <w:tc>
          <w:tcPr>
            <w:tcW w:w="956" w:type="pct"/>
            <w:tcBorders>
              <w:top w:val="single" w:color="auto" w:sz="4" w:space="0"/>
              <w:bottom w:val="single" w:color="auto" w:sz="4" w:space="0"/>
            </w:tcBorders>
          </w:tcPr>
          <w:p w14:paraId="7F85ECFC">
            <w:pPr>
              <w:spacing w:line="320" w:lineRule="exact"/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 xml:space="preserve">z </w:t>
            </w:r>
          </w:p>
        </w:tc>
        <w:tc>
          <w:tcPr>
            <w:tcW w:w="758" w:type="pct"/>
            <w:tcBorders>
              <w:top w:val="single" w:color="auto" w:sz="4" w:space="0"/>
              <w:bottom w:val="single" w:color="auto" w:sz="4" w:space="0"/>
            </w:tcBorders>
          </w:tcPr>
          <w:p w14:paraId="4FE18EA9">
            <w:pPr>
              <w:tabs>
                <w:tab w:val="center" w:pos="2880"/>
                <w:tab w:val="center" w:pos="4320"/>
                <w:tab w:val="center" w:pos="5760"/>
                <w:tab w:val="center" w:pos="7200"/>
                <w:tab w:val="left" w:pos="11900"/>
              </w:tabs>
              <w:autoSpaceDE w:val="0"/>
              <w:autoSpaceDN w:val="0"/>
              <w:adjustRightInd w:val="0"/>
              <w:spacing w:after="120" w:line="320" w:lineRule="exact"/>
              <w:rPr>
                <w:rFonts w:asciiTheme="minorHAnsi" w:hAnsiTheme="minorHAnsi" w:cstheme="minorBidi"/>
                <w:b/>
                <w:kern w:val="2"/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U(eq)</w:t>
            </w:r>
          </w:p>
        </w:tc>
      </w:tr>
      <w:tr w14:paraId="6D34D42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  <w:tcBorders>
              <w:top w:val="single" w:color="auto" w:sz="4" w:space="0"/>
            </w:tcBorders>
          </w:tcPr>
          <w:p w14:paraId="5234AA9B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Co(1)</w:t>
            </w:r>
          </w:p>
        </w:tc>
        <w:tc>
          <w:tcPr>
            <w:tcW w:w="955" w:type="pct"/>
            <w:tcBorders>
              <w:top w:val="single" w:color="auto" w:sz="4" w:space="0"/>
            </w:tcBorders>
          </w:tcPr>
          <w:p w14:paraId="4981E67B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3930(1)</w:t>
            </w:r>
          </w:p>
        </w:tc>
        <w:tc>
          <w:tcPr>
            <w:tcW w:w="955" w:type="pct"/>
            <w:tcBorders>
              <w:top w:val="single" w:color="auto" w:sz="4" w:space="0"/>
            </w:tcBorders>
          </w:tcPr>
          <w:p w14:paraId="1773E549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5640(1)</w:t>
            </w:r>
          </w:p>
        </w:tc>
        <w:tc>
          <w:tcPr>
            <w:tcW w:w="956" w:type="pct"/>
            <w:tcBorders>
              <w:top w:val="single" w:color="auto" w:sz="4" w:space="0"/>
            </w:tcBorders>
          </w:tcPr>
          <w:p w14:paraId="542FEAE0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4582(1)</w:t>
            </w:r>
          </w:p>
        </w:tc>
        <w:tc>
          <w:tcPr>
            <w:tcW w:w="758" w:type="pct"/>
            <w:tcBorders>
              <w:top w:val="single" w:color="auto" w:sz="4" w:space="0"/>
            </w:tcBorders>
          </w:tcPr>
          <w:p w14:paraId="4D52668B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15(1)</w:t>
            </w:r>
          </w:p>
        </w:tc>
      </w:tr>
      <w:tr w14:paraId="7373FDC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1EBC17CA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O(1)</w:t>
            </w:r>
          </w:p>
        </w:tc>
        <w:tc>
          <w:tcPr>
            <w:tcW w:w="955" w:type="pct"/>
          </w:tcPr>
          <w:p w14:paraId="30E973A1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5276(4)</w:t>
            </w:r>
          </w:p>
        </w:tc>
        <w:tc>
          <w:tcPr>
            <w:tcW w:w="955" w:type="pct"/>
          </w:tcPr>
          <w:p w14:paraId="0705B9C3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7367(3)</w:t>
            </w:r>
          </w:p>
        </w:tc>
        <w:tc>
          <w:tcPr>
            <w:tcW w:w="956" w:type="pct"/>
          </w:tcPr>
          <w:p w14:paraId="01B43241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4818(2)</w:t>
            </w:r>
          </w:p>
        </w:tc>
        <w:tc>
          <w:tcPr>
            <w:tcW w:w="758" w:type="pct"/>
          </w:tcPr>
          <w:p w14:paraId="78F894DE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17(1)</w:t>
            </w:r>
          </w:p>
        </w:tc>
      </w:tr>
      <w:tr w14:paraId="3BDF025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43DB0F03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O(2W)</w:t>
            </w:r>
          </w:p>
        </w:tc>
        <w:tc>
          <w:tcPr>
            <w:tcW w:w="955" w:type="pct"/>
          </w:tcPr>
          <w:p w14:paraId="45DBB297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9607(4)</w:t>
            </w:r>
          </w:p>
        </w:tc>
        <w:tc>
          <w:tcPr>
            <w:tcW w:w="955" w:type="pct"/>
          </w:tcPr>
          <w:p w14:paraId="185F3628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3517(3)</w:t>
            </w:r>
          </w:p>
        </w:tc>
        <w:tc>
          <w:tcPr>
            <w:tcW w:w="956" w:type="pct"/>
          </w:tcPr>
          <w:p w14:paraId="17AD5435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5736(2)</w:t>
            </w:r>
          </w:p>
        </w:tc>
        <w:tc>
          <w:tcPr>
            <w:tcW w:w="758" w:type="pct"/>
          </w:tcPr>
          <w:p w14:paraId="6F842727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20(1)</w:t>
            </w:r>
          </w:p>
        </w:tc>
      </w:tr>
      <w:tr w14:paraId="273B449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5BFF106E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O(3)</w:t>
            </w:r>
          </w:p>
        </w:tc>
        <w:tc>
          <w:tcPr>
            <w:tcW w:w="955" w:type="pct"/>
          </w:tcPr>
          <w:p w14:paraId="632626EC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8131(4)</w:t>
            </w:r>
          </w:p>
        </w:tc>
        <w:tc>
          <w:tcPr>
            <w:tcW w:w="955" w:type="pct"/>
          </w:tcPr>
          <w:p w14:paraId="49B01934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5346(3)</w:t>
            </w:r>
          </w:p>
        </w:tc>
        <w:tc>
          <w:tcPr>
            <w:tcW w:w="956" w:type="pct"/>
          </w:tcPr>
          <w:p w14:paraId="03C3C832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9354(2)</w:t>
            </w:r>
          </w:p>
        </w:tc>
        <w:tc>
          <w:tcPr>
            <w:tcW w:w="758" w:type="pct"/>
          </w:tcPr>
          <w:p w14:paraId="08E3D3A6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21(1)</w:t>
            </w:r>
          </w:p>
        </w:tc>
      </w:tr>
      <w:tr w14:paraId="05E49A0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27C36B63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O(2)</w:t>
            </w:r>
          </w:p>
        </w:tc>
        <w:tc>
          <w:tcPr>
            <w:tcW w:w="955" w:type="pct"/>
          </w:tcPr>
          <w:p w14:paraId="0EFB8B96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6388(4)</w:t>
            </w:r>
          </w:p>
        </w:tc>
        <w:tc>
          <w:tcPr>
            <w:tcW w:w="955" w:type="pct"/>
          </w:tcPr>
          <w:p w14:paraId="6326AC11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8743(3)</w:t>
            </w:r>
          </w:p>
        </w:tc>
        <w:tc>
          <w:tcPr>
            <w:tcW w:w="956" w:type="pct"/>
          </w:tcPr>
          <w:p w14:paraId="5DA3F951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6153(2)</w:t>
            </w:r>
          </w:p>
        </w:tc>
        <w:tc>
          <w:tcPr>
            <w:tcW w:w="758" w:type="pct"/>
          </w:tcPr>
          <w:p w14:paraId="76A07CE7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18(1)</w:t>
            </w:r>
          </w:p>
        </w:tc>
      </w:tr>
      <w:tr w14:paraId="410E741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2DF534B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O(4)</w:t>
            </w:r>
          </w:p>
        </w:tc>
        <w:tc>
          <w:tcPr>
            <w:tcW w:w="955" w:type="pct"/>
          </w:tcPr>
          <w:p w14:paraId="32F513B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9914(4)</w:t>
            </w:r>
          </w:p>
        </w:tc>
        <w:tc>
          <w:tcPr>
            <w:tcW w:w="955" w:type="pct"/>
          </w:tcPr>
          <w:p w14:paraId="7F026A9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4655(3)</w:t>
            </w:r>
          </w:p>
        </w:tc>
        <w:tc>
          <w:tcPr>
            <w:tcW w:w="956" w:type="pct"/>
          </w:tcPr>
          <w:p w14:paraId="1AC0CAA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7899(2)</w:t>
            </w:r>
          </w:p>
        </w:tc>
        <w:tc>
          <w:tcPr>
            <w:tcW w:w="758" w:type="pct"/>
          </w:tcPr>
          <w:p w14:paraId="712C06D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21(1)</w:t>
            </w:r>
          </w:p>
        </w:tc>
      </w:tr>
      <w:tr w14:paraId="57AF80B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628778A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O(1W)</w:t>
            </w:r>
          </w:p>
        </w:tc>
        <w:tc>
          <w:tcPr>
            <w:tcW w:w="955" w:type="pct"/>
          </w:tcPr>
          <w:p w14:paraId="022BAB2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3050(4)</w:t>
            </w:r>
          </w:p>
        </w:tc>
        <w:tc>
          <w:tcPr>
            <w:tcW w:w="955" w:type="pct"/>
          </w:tcPr>
          <w:p w14:paraId="6050E76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3807(3)</w:t>
            </w:r>
          </w:p>
        </w:tc>
        <w:tc>
          <w:tcPr>
            <w:tcW w:w="956" w:type="pct"/>
          </w:tcPr>
          <w:p w14:paraId="1AC95EA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4780(3)</w:t>
            </w:r>
          </w:p>
        </w:tc>
        <w:tc>
          <w:tcPr>
            <w:tcW w:w="758" w:type="pct"/>
          </w:tcPr>
          <w:p w14:paraId="3A40815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25(1)</w:t>
            </w:r>
          </w:p>
        </w:tc>
      </w:tr>
      <w:tr w14:paraId="7BE97C3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02E99B3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N(1)</w:t>
            </w:r>
          </w:p>
        </w:tc>
        <w:tc>
          <w:tcPr>
            <w:tcW w:w="955" w:type="pct"/>
          </w:tcPr>
          <w:p w14:paraId="56F533D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3129(4)</w:t>
            </w:r>
          </w:p>
        </w:tc>
        <w:tc>
          <w:tcPr>
            <w:tcW w:w="955" w:type="pct"/>
          </w:tcPr>
          <w:p w14:paraId="17D1F62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6103(3)</w:t>
            </w:r>
          </w:p>
        </w:tc>
        <w:tc>
          <w:tcPr>
            <w:tcW w:w="956" w:type="pct"/>
          </w:tcPr>
          <w:p w14:paraId="6CDC1D9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6359(3)</w:t>
            </w:r>
          </w:p>
        </w:tc>
        <w:tc>
          <w:tcPr>
            <w:tcW w:w="758" w:type="pct"/>
          </w:tcPr>
          <w:p w14:paraId="5368F0C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15(1)</w:t>
            </w:r>
          </w:p>
        </w:tc>
      </w:tr>
      <w:tr w14:paraId="63B01EF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474F7B8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C(2)</w:t>
            </w:r>
          </w:p>
        </w:tc>
        <w:tc>
          <w:tcPr>
            <w:tcW w:w="955" w:type="pct"/>
          </w:tcPr>
          <w:p w14:paraId="4F4409A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5397(5)</w:t>
            </w:r>
          </w:p>
        </w:tc>
        <w:tc>
          <w:tcPr>
            <w:tcW w:w="955" w:type="pct"/>
          </w:tcPr>
          <w:p w14:paraId="0033D47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7810(3)</w:t>
            </w:r>
          </w:p>
        </w:tc>
        <w:tc>
          <w:tcPr>
            <w:tcW w:w="956" w:type="pct"/>
          </w:tcPr>
          <w:p w14:paraId="5F6AAFE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5849(3)</w:t>
            </w:r>
          </w:p>
        </w:tc>
        <w:tc>
          <w:tcPr>
            <w:tcW w:w="758" w:type="pct"/>
          </w:tcPr>
          <w:p w14:paraId="1AEBD0A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14(1)</w:t>
            </w:r>
          </w:p>
        </w:tc>
      </w:tr>
      <w:tr w14:paraId="3A1D4D1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76A1899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C(5)</w:t>
            </w:r>
          </w:p>
        </w:tc>
        <w:tc>
          <w:tcPr>
            <w:tcW w:w="955" w:type="pct"/>
          </w:tcPr>
          <w:p w14:paraId="2E28D3E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8429(5)</w:t>
            </w:r>
          </w:p>
        </w:tc>
        <w:tc>
          <w:tcPr>
            <w:tcW w:w="955" w:type="pct"/>
          </w:tcPr>
          <w:p w14:paraId="6F56219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5229(4)</w:t>
            </w:r>
          </w:p>
        </w:tc>
        <w:tc>
          <w:tcPr>
            <w:tcW w:w="956" w:type="pct"/>
          </w:tcPr>
          <w:p w14:paraId="5654053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8265(3)</w:t>
            </w:r>
          </w:p>
        </w:tc>
        <w:tc>
          <w:tcPr>
            <w:tcW w:w="758" w:type="pct"/>
          </w:tcPr>
          <w:p w14:paraId="7059A50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17(1)</w:t>
            </w:r>
          </w:p>
        </w:tc>
      </w:tr>
      <w:tr w14:paraId="388F96F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23C5638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C(1)</w:t>
            </w:r>
          </w:p>
        </w:tc>
        <w:tc>
          <w:tcPr>
            <w:tcW w:w="955" w:type="pct"/>
          </w:tcPr>
          <w:p w14:paraId="66880EE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4294(5)</w:t>
            </w:r>
          </w:p>
        </w:tc>
        <w:tc>
          <w:tcPr>
            <w:tcW w:w="955" w:type="pct"/>
          </w:tcPr>
          <w:p w14:paraId="0CAFA99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7144(4)</w:t>
            </w:r>
          </w:p>
        </w:tc>
        <w:tc>
          <w:tcPr>
            <w:tcW w:w="956" w:type="pct"/>
          </w:tcPr>
          <w:p w14:paraId="4A0A46F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6850(3)</w:t>
            </w:r>
          </w:p>
        </w:tc>
        <w:tc>
          <w:tcPr>
            <w:tcW w:w="758" w:type="pct"/>
          </w:tcPr>
          <w:p w14:paraId="07508F2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13(1)</w:t>
            </w:r>
          </w:p>
        </w:tc>
      </w:tr>
      <w:tr w14:paraId="11B8D30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4D39E8F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C(3)</w:t>
            </w:r>
          </w:p>
        </w:tc>
        <w:tc>
          <w:tcPr>
            <w:tcW w:w="955" w:type="pct"/>
          </w:tcPr>
          <w:p w14:paraId="41ABD41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5642(5)</w:t>
            </w:r>
          </w:p>
        </w:tc>
        <w:tc>
          <w:tcPr>
            <w:tcW w:w="955" w:type="pct"/>
          </w:tcPr>
          <w:p w14:paraId="77F3D68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6666(4)</w:t>
            </w:r>
          </w:p>
        </w:tc>
        <w:tc>
          <w:tcPr>
            <w:tcW w:w="956" w:type="pct"/>
          </w:tcPr>
          <w:p w14:paraId="607931D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7803(3)</w:t>
            </w:r>
          </w:p>
        </w:tc>
        <w:tc>
          <w:tcPr>
            <w:tcW w:w="758" w:type="pct"/>
          </w:tcPr>
          <w:p w14:paraId="247AAFD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16(1)</w:t>
            </w:r>
          </w:p>
        </w:tc>
      </w:tr>
      <w:tr w14:paraId="6DA59A7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375" w:type="pct"/>
          </w:tcPr>
          <w:p w14:paraId="257362D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C(4)</w:t>
            </w:r>
          </w:p>
        </w:tc>
        <w:tc>
          <w:tcPr>
            <w:tcW w:w="955" w:type="pct"/>
          </w:tcPr>
          <w:p w14:paraId="56A4CEF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7117(5)</w:t>
            </w:r>
          </w:p>
        </w:tc>
        <w:tc>
          <w:tcPr>
            <w:tcW w:w="955" w:type="pct"/>
          </w:tcPr>
          <w:p w14:paraId="0BA4BE4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5756(4)</w:t>
            </w:r>
          </w:p>
        </w:tc>
        <w:tc>
          <w:tcPr>
            <w:tcW w:w="956" w:type="pct"/>
          </w:tcPr>
          <w:p w14:paraId="4A24C73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7325(3)</w:t>
            </w:r>
          </w:p>
        </w:tc>
        <w:tc>
          <w:tcPr>
            <w:tcW w:w="758" w:type="pct"/>
          </w:tcPr>
          <w:p w14:paraId="7FFB7AD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20(1)</w:t>
            </w:r>
          </w:p>
        </w:tc>
      </w:tr>
    </w:tbl>
    <w:p w14:paraId="258F639C">
      <w:pPr>
        <w:pStyle w:val="6"/>
        <w:spacing w:before="0" w:beforeAutospacing="0" w:after="0" w:afterAutospacing="0" w:line="320" w:lineRule="exact"/>
        <w:rPr>
          <w:rFonts w:ascii="Times New Roman" w:hAnsi="Times New Roman" w:cs="Times New Roman"/>
        </w:rPr>
      </w:pPr>
      <w:r>
        <w:rPr>
          <w:rStyle w:val="7"/>
          <w:rFonts w:ascii="Times New Roman" w:hAnsi="Times New Roman" w:cs="Times New Roman"/>
        </w:rPr>
        <w:t>Notes:</w:t>
      </w:r>
    </w:p>
    <w:p w14:paraId="08ED1976">
      <w:pPr>
        <w:pStyle w:val="6"/>
        <w:numPr>
          <w:ilvl w:val="0"/>
          <w:numId w:val="1"/>
        </w:numPr>
        <w:spacing w:before="0" w:beforeAutospacing="0" w:after="0" w:afterAutospacing="0" w:line="32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Atomic coordinates are given in units of ×10⁴.</w:t>
      </w:r>
    </w:p>
    <w:p w14:paraId="0AF689C7">
      <w:pPr>
        <w:pStyle w:val="6"/>
        <w:numPr>
          <w:ilvl w:val="0"/>
          <w:numId w:val="1"/>
        </w:numPr>
        <w:spacing w:before="0" w:beforeAutospacing="0" w:after="0" w:afterAutospacing="0" w:line="32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U(eq) denotes the equivalent isotropic displacement parameter, defined as one third of the trace of the orthogonalized U</w:t>
      </w:r>
      <w:r>
        <w:rPr>
          <w:rFonts w:ascii="Times New Roman" w:hAnsi="Times New Roman" w:cs="Times New Roman"/>
          <w:vertAlign w:val="subscript"/>
        </w:rPr>
        <w:t>ij</w:t>
      </w:r>
      <w:r>
        <w:rPr>
          <w:rFonts w:ascii="Times New Roman" w:hAnsi="Times New Roman" w:cs="Times New Roman"/>
        </w:rPr>
        <w:t xml:space="preserve"> tensor, in units of Å² × 10</w:t>
      </w:r>
      <w:r>
        <w:rPr>
          <w:rFonts w:ascii="Times New Roman" w:hAnsi="Times New Roman" w:eastAsia="MS Gothic" w:cs="Times New Roman"/>
        </w:rPr>
        <w:t>⁻</w:t>
      </w:r>
      <w:r>
        <w:rPr>
          <w:rFonts w:hint="eastAsia" w:ascii="Times New Roman" w:hAnsi="Times New Roman" w:cs="Times New Roman"/>
        </w:rPr>
        <w:t>³</w:t>
      </w:r>
      <w:r>
        <w:rPr>
          <w:rFonts w:ascii="Times New Roman" w:hAnsi="Times New Roman" w:cs="Times New Roman"/>
        </w:rPr>
        <w:t>.</w:t>
      </w:r>
    </w:p>
    <w:p w14:paraId="2F105CD4">
      <w:pPr>
        <w:pStyle w:val="6"/>
        <w:numPr>
          <w:ilvl w:val="0"/>
          <w:numId w:val="1"/>
        </w:numPr>
        <w:spacing w:before="0" w:beforeAutospacing="0" w:after="0" w:afterAutospacing="0" w:line="32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Values in parentheses are estimated standard deviations (e.s.d.’s) in the last significant digits.</w:t>
      </w:r>
    </w:p>
    <w:p w14:paraId="094D02AC">
      <w:pPr>
        <w:tabs>
          <w:tab w:val="center" w:pos="2880"/>
          <w:tab w:val="center" w:pos="4320"/>
          <w:tab w:val="center" w:pos="5760"/>
          <w:tab w:val="center" w:pos="7200"/>
          <w:tab w:val="left" w:pos="11900"/>
        </w:tabs>
        <w:autoSpaceDE w:val="0"/>
        <w:autoSpaceDN w:val="0"/>
        <w:adjustRightInd w:val="0"/>
        <w:spacing w:after="120" w:line="276" w:lineRule="auto"/>
        <w:jc w:val="both"/>
        <w:rPr>
          <w:b/>
          <w:bCs/>
          <w:lang w:val="en-US"/>
        </w:rPr>
      </w:pPr>
    </w:p>
    <w:p w14:paraId="02B86EC0">
      <w:pPr>
        <w:tabs>
          <w:tab w:val="center" w:pos="2880"/>
          <w:tab w:val="center" w:pos="4320"/>
          <w:tab w:val="center" w:pos="5760"/>
          <w:tab w:val="center" w:pos="7200"/>
          <w:tab w:val="left" w:pos="11900"/>
        </w:tabs>
        <w:autoSpaceDE w:val="0"/>
        <w:autoSpaceDN w:val="0"/>
        <w:adjustRightInd w:val="0"/>
        <w:spacing w:after="120" w:line="276" w:lineRule="auto"/>
        <w:jc w:val="both"/>
      </w:pPr>
    </w:p>
    <w:p w14:paraId="5947689B">
      <w:pPr>
        <w:tabs>
          <w:tab w:val="center" w:pos="2880"/>
          <w:tab w:val="center" w:pos="4320"/>
          <w:tab w:val="center" w:pos="5760"/>
          <w:tab w:val="center" w:pos="7200"/>
          <w:tab w:val="left" w:pos="11900"/>
        </w:tabs>
        <w:autoSpaceDE w:val="0"/>
        <w:autoSpaceDN w:val="0"/>
        <w:adjustRightInd w:val="0"/>
        <w:spacing w:after="120" w:line="276" w:lineRule="auto"/>
        <w:jc w:val="both"/>
      </w:pPr>
      <w:r>
        <w:br w:type="page"/>
      </w:r>
    </w:p>
    <w:p w14:paraId="41B9223C">
      <w:pPr>
        <w:tabs>
          <w:tab w:val="decimal" w:pos="2880"/>
          <w:tab w:val="left" w:pos="11900"/>
        </w:tabs>
        <w:autoSpaceDE w:val="0"/>
        <w:autoSpaceDN w:val="0"/>
        <w:adjustRightInd w:val="0"/>
        <w:spacing w:line="320" w:lineRule="exact"/>
        <w:jc w:val="both"/>
        <w:rPr>
          <w:b/>
          <w:bCs/>
        </w:rPr>
      </w:pPr>
      <w:r>
        <w:rPr>
          <w:b/>
          <w:bCs/>
        </w:rPr>
        <w:t>Table S4. Selected bond lengths [Å] and bond angles [°] for GACC.</w:t>
      </w:r>
    </w:p>
    <w:tbl>
      <w:tblPr>
        <w:tblStyle w:val="8"/>
        <w:tblW w:w="2260" w:type="pct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5"/>
        <w:gridCol w:w="1413"/>
      </w:tblGrid>
      <w:tr w14:paraId="79D2804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  <w:tcBorders>
              <w:top w:val="single" w:color="auto" w:sz="4" w:space="0"/>
              <w:bottom w:val="single" w:color="auto" w:sz="4" w:space="0"/>
            </w:tcBorders>
          </w:tcPr>
          <w:p w14:paraId="76632C2A">
            <w:pPr>
              <w:spacing w:line="320" w:lineRule="exact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Bond / Angle</w:t>
            </w:r>
          </w:p>
        </w:tc>
        <w:tc>
          <w:tcPr>
            <w:tcW w:w="1683" w:type="pct"/>
            <w:tcBorders>
              <w:top w:val="single" w:color="auto" w:sz="4" w:space="0"/>
              <w:bottom w:val="single" w:color="auto" w:sz="4" w:space="0"/>
            </w:tcBorders>
          </w:tcPr>
          <w:p w14:paraId="55A23554">
            <w:pPr>
              <w:spacing w:line="320" w:lineRule="exact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Value</w:t>
            </w:r>
          </w:p>
        </w:tc>
      </w:tr>
      <w:tr w14:paraId="11A9DDD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  <w:tcBorders>
              <w:top w:val="single" w:color="auto" w:sz="4" w:space="0"/>
            </w:tcBorders>
          </w:tcPr>
          <w:p w14:paraId="1B90BCDA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Co(1)-O(1W) </w:t>
            </w:r>
          </w:p>
        </w:tc>
        <w:tc>
          <w:tcPr>
            <w:tcW w:w="1683" w:type="pct"/>
            <w:tcBorders>
              <w:top w:val="single" w:color="auto" w:sz="4" w:space="0"/>
            </w:tcBorders>
          </w:tcPr>
          <w:p w14:paraId="1AA9B790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2.026(3)</w:t>
            </w:r>
          </w:p>
        </w:tc>
      </w:tr>
      <w:tr w14:paraId="3C8099C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CAF47A9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Co(1)-O(1) </w:t>
            </w:r>
          </w:p>
        </w:tc>
        <w:tc>
          <w:tcPr>
            <w:tcW w:w="1683" w:type="pct"/>
          </w:tcPr>
          <w:p w14:paraId="2B5CE2BB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2.060(3)</w:t>
            </w:r>
          </w:p>
        </w:tc>
      </w:tr>
      <w:tr w14:paraId="6EAB296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2C983166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Co(1)-O(4)#1 </w:t>
            </w:r>
          </w:p>
        </w:tc>
        <w:tc>
          <w:tcPr>
            <w:tcW w:w="1683" w:type="pct"/>
          </w:tcPr>
          <w:p w14:paraId="65ABE22E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2.090(3)</w:t>
            </w:r>
          </w:p>
        </w:tc>
      </w:tr>
      <w:tr w14:paraId="0A460B9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760C922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Co(1)-O(2)#2 </w:t>
            </w:r>
          </w:p>
        </w:tc>
        <w:tc>
          <w:tcPr>
            <w:tcW w:w="1683" w:type="pct"/>
          </w:tcPr>
          <w:p w14:paraId="1711007C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2.094(3)</w:t>
            </w:r>
          </w:p>
        </w:tc>
      </w:tr>
      <w:tr w14:paraId="69CED96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C388424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Co(1)-N(1) </w:t>
            </w:r>
          </w:p>
        </w:tc>
        <w:tc>
          <w:tcPr>
            <w:tcW w:w="1683" w:type="pct"/>
          </w:tcPr>
          <w:p w14:paraId="5F322774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2.137(3)</w:t>
            </w:r>
          </w:p>
        </w:tc>
      </w:tr>
      <w:tr w14:paraId="0F2503C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F763A1A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Co(1)-O(3)#1 </w:t>
            </w:r>
          </w:p>
        </w:tc>
        <w:tc>
          <w:tcPr>
            <w:tcW w:w="1683" w:type="pct"/>
          </w:tcPr>
          <w:p w14:paraId="359FC572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2.348(3)</w:t>
            </w:r>
          </w:p>
        </w:tc>
      </w:tr>
      <w:tr w14:paraId="1985E6F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1A0DC60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O(1)-C(2) </w:t>
            </w:r>
          </w:p>
        </w:tc>
        <w:tc>
          <w:tcPr>
            <w:tcW w:w="1683" w:type="pct"/>
          </w:tcPr>
          <w:p w14:paraId="1D72B5E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1.253(5)</w:t>
            </w:r>
          </w:p>
        </w:tc>
      </w:tr>
      <w:tr w14:paraId="70CF4FF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40F9EBB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O(3)-C(5) </w:t>
            </w:r>
          </w:p>
        </w:tc>
        <w:tc>
          <w:tcPr>
            <w:tcW w:w="1683" w:type="pct"/>
          </w:tcPr>
          <w:p w14:paraId="4ED5AE5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1.250(5)</w:t>
            </w:r>
          </w:p>
        </w:tc>
      </w:tr>
      <w:tr w14:paraId="2A744B0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5C3BE6E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O(2)-C(2) </w:t>
            </w:r>
          </w:p>
        </w:tc>
        <w:tc>
          <w:tcPr>
            <w:tcW w:w="1683" w:type="pct"/>
          </w:tcPr>
          <w:p w14:paraId="01156DC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1.251(4)</w:t>
            </w:r>
          </w:p>
        </w:tc>
      </w:tr>
      <w:tr w14:paraId="56DD20E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4A6EEF8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O(4)-C(5) </w:t>
            </w:r>
          </w:p>
        </w:tc>
        <w:tc>
          <w:tcPr>
            <w:tcW w:w="1683" w:type="pct"/>
          </w:tcPr>
          <w:p w14:paraId="1CE72F4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1.285(4)</w:t>
            </w:r>
          </w:p>
        </w:tc>
      </w:tr>
      <w:tr w14:paraId="031CFBD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7C4565C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N(1)-C(1) </w:t>
            </w:r>
          </w:p>
        </w:tc>
        <w:tc>
          <w:tcPr>
            <w:tcW w:w="1683" w:type="pct"/>
          </w:tcPr>
          <w:p w14:paraId="0D5ED59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1.475(5)</w:t>
            </w:r>
          </w:p>
        </w:tc>
      </w:tr>
      <w:tr w14:paraId="684A59F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09F63BB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C(2)-C(1) </w:t>
            </w:r>
          </w:p>
        </w:tc>
        <w:tc>
          <w:tcPr>
            <w:tcW w:w="1683" w:type="pct"/>
          </w:tcPr>
          <w:p w14:paraId="465D1EA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1.540(5)</w:t>
            </w:r>
          </w:p>
        </w:tc>
      </w:tr>
      <w:tr w14:paraId="60E2F3F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076B4C7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C(5)-C(4) </w:t>
            </w:r>
          </w:p>
        </w:tc>
        <w:tc>
          <w:tcPr>
            <w:tcW w:w="1683" w:type="pct"/>
          </w:tcPr>
          <w:p w14:paraId="3A60B63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1.516(5)</w:t>
            </w:r>
          </w:p>
        </w:tc>
      </w:tr>
      <w:tr w14:paraId="4E6A030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7E7A744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C(1)-C(3) </w:t>
            </w:r>
          </w:p>
        </w:tc>
        <w:tc>
          <w:tcPr>
            <w:tcW w:w="1683" w:type="pct"/>
          </w:tcPr>
          <w:p w14:paraId="3ACC65C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1.525(5)</w:t>
            </w:r>
          </w:p>
        </w:tc>
      </w:tr>
      <w:tr w14:paraId="68CEC85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10023E3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C(3)-C(4) </w:t>
            </w:r>
          </w:p>
        </w:tc>
        <w:tc>
          <w:tcPr>
            <w:tcW w:w="1683" w:type="pct"/>
          </w:tcPr>
          <w:p w14:paraId="4118A06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1.516(5)</w:t>
            </w:r>
          </w:p>
        </w:tc>
      </w:tr>
      <w:tr w14:paraId="2988674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57206B3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O(1W)-Co(1)-O(1)</w:t>
            </w:r>
          </w:p>
        </w:tc>
        <w:tc>
          <w:tcPr>
            <w:tcW w:w="1683" w:type="pct"/>
          </w:tcPr>
          <w:p w14:paraId="11BD62E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163.11(12)</w:t>
            </w:r>
          </w:p>
        </w:tc>
      </w:tr>
      <w:tr w14:paraId="1D92C58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61BC9BE5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O(1W)-Co(1)-O(4)#1</w:t>
            </w:r>
          </w:p>
        </w:tc>
        <w:tc>
          <w:tcPr>
            <w:tcW w:w="1683" w:type="pct"/>
          </w:tcPr>
          <w:p w14:paraId="1BB583E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94.75(12)</w:t>
            </w:r>
          </w:p>
        </w:tc>
      </w:tr>
      <w:tr w14:paraId="108D876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38533F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O(1)-Co(1)-O(4)#1</w:t>
            </w:r>
          </w:p>
        </w:tc>
        <w:tc>
          <w:tcPr>
            <w:tcW w:w="1683" w:type="pct"/>
          </w:tcPr>
          <w:p w14:paraId="18264E1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93.57(11)</w:t>
            </w:r>
          </w:p>
        </w:tc>
      </w:tr>
      <w:tr w14:paraId="472A4F8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1B5370A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O(1W)-Co(1)-O(2)#2</w:t>
            </w:r>
          </w:p>
        </w:tc>
        <w:tc>
          <w:tcPr>
            <w:tcW w:w="1683" w:type="pct"/>
          </w:tcPr>
          <w:p w14:paraId="6B16077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93.80(12)</w:t>
            </w:r>
          </w:p>
        </w:tc>
      </w:tr>
      <w:tr w14:paraId="5BDE48D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598609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O(1)-Co(1)-O(2)#2</w:t>
            </w:r>
          </w:p>
        </w:tc>
        <w:tc>
          <w:tcPr>
            <w:tcW w:w="1683" w:type="pct"/>
          </w:tcPr>
          <w:p w14:paraId="31BDDD4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100.63(11)</w:t>
            </w:r>
          </w:p>
        </w:tc>
      </w:tr>
      <w:tr w14:paraId="2E70D4D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5AB9A87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O(4)#1-Co(1)-O(2)#2</w:t>
            </w:r>
          </w:p>
        </w:tc>
        <w:tc>
          <w:tcPr>
            <w:tcW w:w="1683" w:type="pct"/>
          </w:tcPr>
          <w:p w14:paraId="1F80E22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91.60(10)</w:t>
            </w:r>
          </w:p>
        </w:tc>
      </w:tr>
      <w:tr w14:paraId="3C1921D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2095BF9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O(1W)-Co(1)-N(1)</w:t>
            </w:r>
          </w:p>
        </w:tc>
        <w:tc>
          <w:tcPr>
            <w:tcW w:w="1683" w:type="pct"/>
          </w:tcPr>
          <w:p w14:paraId="2BE2EFE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91.61(12)</w:t>
            </w:r>
          </w:p>
        </w:tc>
      </w:tr>
      <w:tr w14:paraId="1B67E46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4A0ADD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O(1)-Co(1)-N(1)</w:t>
            </w:r>
          </w:p>
        </w:tc>
        <w:tc>
          <w:tcPr>
            <w:tcW w:w="1683" w:type="pct"/>
          </w:tcPr>
          <w:p w14:paraId="133961C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78.78(11)</w:t>
            </w:r>
          </w:p>
        </w:tc>
      </w:tr>
      <w:tr w14:paraId="1FF5A8F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F0017B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O(4)#1-Co(1)-N(1)</w:t>
            </w:r>
          </w:p>
        </w:tc>
        <w:tc>
          <w:tcPr>
            <w:tcW w:w="1683" w:type="pct"/>
          </w:tcPr>
          <w:p w14:paraId="019A853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171.25(12)</w:t>
            </w:r>
          </w:p>
        </w:tc>
      </w:tr>
      <w:tr w14:paraId="0D76069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75D7C16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O(2)#2-Co(1)-N(1)</w:t>
            </w:r>
          </w:p>
        </w:tc>
        <w:tc>
          <w:tcPr>
            <w:tcW w:w="1683" w:type="pct"/>
          </w:tcPr>
          <w:p w14:paraId="7124023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93.97(11)</w:t>
            </w:r>
          </w:p>
        </w:tc>
      </w:tr>
      <w:tr w14:paraId="681A41E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6D9F5D5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O(1W)-Co(1)-O(3)#1</w:t>
            </w:r>
          </w:p>
        </w:tc>
        <w:tc>
          <w:tcPr>
            <w:tcW w:w="1683" w:type="pct"/>
          </w:tcPr>
          <w:p w14:paraId="15CCAD1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82.78(11)</w:t>
            </w:r>
          </w:p>
        </w:tc>
      </w:tr>
      <w:tr w14:paraId="746DB98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0EFBA8E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O(1)-Co(1)-O(3)#1</w:t>
            </w:r>
          </w:p>
        </w:tc>
        <w:tc>
          <w:tcPr>
            <w:tcW w:w="1683" w:type="pct"/>
          </w:tcPr>
          <w:p w14:paraId="678BACB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88.99(11)</w:t>
            </w:r>
          </w:p>
        </w:tc>
      </w:tr>
      <w:tr w14:paraId="5BDA4F5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074449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O(4)#1-Co(1)-O(3)#1</w:t>
            </w:r>
          </w:p>
        </w:tc>
        <w:tc>
          <w:tcPr>
            <w:tcW w:w="1683" w:type="pct"/>
          </w:tcPr>
          <w:p w14:paraId="7778441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58.96(10)</w:t>
            </w:r>
          </w:p>
        </w:tc>
      </w:tr>
      <w:tr w14:paraId="4B2CA78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6122ED5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O(2)#2-Co(1)-O(3)#1</w:t>
            </w:r>
          </w:p>
        </w:tc>
        <w:tc>
          <w:tcPr>
            <w:tcW w:w="1683" w:type="pct"/>
          </w:tcPr>
          <w:p w14:paraId="13F8CF1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149.73(10)</w:t>
            </w:r>
          </w:p>
        </w:tc>
      </w:tr>
      <w:tr w14:paraId="73B8200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0B24A70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N(1)-Co(1)-O(3)#1</w:t>
            </w:r>
          </w:p>
        </w:tc>
        <w:tc>
          <w:tcPr>
            <w:tcW w:w="1683" w:type="pct"/>
          </w:tcPr>
          <w:p w14:paraId="1828E3C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116.13(11)</w:t>
            </w:r>
          </w:p>
        </w:tc>
      </w:tr>
      <w:tr w14:paraId="6C8F3EC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451B78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C(2)-O(1)-Co(1)</w:t>
            </w:r>
          </w:p>
        </w:tc>
        <w:tc>
          <w:tcPr>
            <w:tcW w:w="1683" w:type="pct"/>
          </w:tcPr>
          <w:p w14:paraId="3DFB4B9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118.4(2)</w:t>
            </w:r>
          </w:p>
        </w:tc>
      </w:tr>
      <w:tr w14:paraId="02E8DF4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4E69876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C(5)-O(3)-Co(1)#3</w:t>
            </w:r>
          </w:p>
        </w:tc>
        <w:tc>
          <w:tcPr>
            <w:tcW w:w="1683" w:type="pct"/>
          </w:tcPr>
          <w:p w14:paraId="417D671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85.0(2)</w:t>
            </w:r>
          </w:p>
        </w:tc>
      </w:tr>
      <w:tr w14:paraId="6E89930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ACAA5A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C(2)-O(2)-Co(1)#4</w:t>
            </w:r>
          </w:p>
        </w:tc>
        <w:tc>
          <w:tcPr>
            <w:tcW w:w="1683" w:type="pct"/>
          </w:tcPr>
          <w:p w14:paraId="0B4198A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128.3(2)</w:t>
            </w:r>
          </w:p>
        </w:tc>
      </w:tr>
      <w:tr w14:paraId="3B442CE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2EDB8B3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C(5)-O(4)-Co(1)#3</w:t>
            </w:r>
          </w:p>
        </w:tc>
        <w:tc>
          <w:tcPr>
            <w:tcW w:w="1683" w:type="pct"/>
          </w:tcPr>
          <w:p w14:paraId="377915C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95.9(2)</w:t>
            </w:r>
          </w:p>
        </w:tc>
      </w:tr>
      <w:tr w14:paraId="378DE86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E07113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C(1)-N(1)-Co(1)</w:t>
            </w:r>
          </w:p>
        </w:tc>
        <w:tc>
          <w:tcPr>
            <w:tcW w:w="1683" w:type="pct"/>
          </w:tcPr>
          <w:p w14:paraId="302C88E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111.5(2)</w:t>
            </w:r>
          </w:p>
        </w:tc>
      </w:tr>
      <w:tr w14:paraId="0085B69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5A199E5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O(2)-C(2)-O(1)</w:t>
            </w:r>
          </w:p>
        </w:tc>
        <w:tc>
          <w:tcPr>
            <w:tcW w:w="1683" w:type="pct"/>
          </w:tcPr>
          <w:p w14:paraId="23DD6C05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125.5(3)</w:t>
            </w:r>
          </w:p>
        </w:tc>
      </w:tr>
      <w:tr w14:paraId="0877AF3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24B9756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O(2)-C(2)-C(1)</w:t>
            </w:r>
          </w:p>
        </w:tc>
        <w:tc>
          <w:tcPr>
            <w:tcW w:w="1683" w:type="pct"/>
          </w:tcPr>
          <w:p w14:paraId="79D8AD2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116.1(3)</w:t>
            </w:r>
          </w:p>
        </w:tc>
      </w:tr>
      <w:tr w14:paraId="2FCD9B8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728A6EF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O(1)-C(2)-C(1)</w:t>
            </w:r>
          </w:p>
        </w:tc>
        <w:tc>
          <w:tcPr>
            <w:tcW w:w="1683" w:type="pct"/>
          </w:tcPr>
          <w:p w14:paraId="43D0796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118.4(3)</w:t>
            </w:r>
          </w:p>
        </w:tc>
      </w:tr>
      <w:tr w14:paraId="5286D135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52C58A8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O(3)-C(5)-O(4)</w:t>
            </w:r>
          </w:p>
        </w:tc>
        <w:tc>
          <w:tcPr>
            <w:tcW w:w="1683" w:type="pct"/>
          </w:tcPr>
          <w:p w14:paraId="7F614AF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120.0(3)</w:t>
            </w:r>
          </w:p>
        </w:tc>
      </w:tr>
      <w:tr w14:paraId="28B897D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1914BD7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O(3)-C(5)-C(4)</w:t>
            </w:r>
          </w:p>
        </w:tc>
        <w:tc>
          <w:tcPr>
            <w:tcW w:w="1683" w:type="pct"/>
          </w:tcPr>
          <w:p w14:paraId="4BB6391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123.0(3)</w:t>
            </w:r>
          </w:p>
        </w:tc>
      </w:tr>
      <w:tr w14:paraId="61CED47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4CA622A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O(4)-C(5)-C(4)</w:t>
            </w:r>
          </w:p>
        </w:tc>
        <w:tc>
          <w:tcPr>
            <w:tcW w:w="1683" w:type="pct"/>
          </w:tcPr>
          <w:p w14:paraId="1C8CD4D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117.0(3)</w:t>
            </w:r>
          </w:p>
        </w:tc>
      </w:tr>
      <w:tr w14:paraId="71DF6CF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56BA8DB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N(1)-C(1)-C(3)</w:t>
            </w:r>
          </w:p>
        </w:tc>
        <w:tc>
          <w:tcPr>
            <w:tcW w:w="1683" w:type="pct"/>
          </w:tcPr>
          <w:p w14:paraId="4DDB51D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112.2(3)</w:t>
            </w:r>
          </w:p>
        </w:tc>
      </w:tr>
      <w:tr w14:paraId="4BB419E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0CA8556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N(1)-C(1)-C(2)</w:t>
            </w:r>
          </w:p>
        </w:tc>
        <w:tc>
          <w:tcPr>
            <w:tcW w:w="1683" w:type="pct"/>
          </w:tcPr>
          <w:p w14:paraId="30E13B7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110.2(3)</w:t>
            </w:r>
          </w:p>
        </w:tc>
      </w:tr>
      <w:tr w14:paraId="2DE9DB7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5752978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C(3)-C(1)-C(2)</w:t>
            </w:r>
          </w:p>
        </w:tc>
        <w:tc>
          <w:tcPr>
            <w:tcW w:w="1683" w:type="pct"/>
          </w:tcPr>
          <w:p w14:paraId="168CAD8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110.0(3)</w:t>
            </w:r>
          </w:p>
        </w:tc>
      </w:tr>
      <w:tr w14:paraId="7B885F35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7F94A89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C(4)-C(3)-C(1)</w:t>
            </w:r>
          </w:p>
        </w:tc>
        <w:tc>
          <w:tcPr>
            <w:tcW w:w="1683" w:type="pct"/>
          </w:tcPr>
          <w:p w14:paraId="05146C3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113.1(3)</w:t>
            </w:r>
          </w:p>
        </w:tc>
      </w:tr>
      <w:tr w14:paraId="24BE4D4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39B95D4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C(5)-C(4)-C(3)</w:t>
            </w:r>
          </w:p>
        </w:tc>
        <w:tc>
          <w:tcPr>
            <w:tcW w:w="1683" w:type="pct"/>
          </w:tcPr>
          <w:p w14:paraId="173D464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114.0(3)</w:t>
            </w:r>
          </w:p>
        </w:tc>
      </w:tr>
      <w:tr w14:paraId="24D49D1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3317" w:type="pct"/>
          </w:tcPr>
          <w:p w14:paraId="05EB9DF9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O(4)-C(5)-C(4)</w:t>
            </w:r>
          </w:p>
        </w:tc>
        <w:tc>
          <w:tcPr>
            <w:tcW w:w="1683" w:type="pct"/>
          </w:tcPr>
          <w:p w14:paraId="3B180DC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117.0(3)</w:t>
            </w:r>
          </w:p>
        </w:tc>
      </w:tr>
    </w:tbl>
    <w:p w14:paraId="3EC43AF6">
      <w:pPr>
        <w:spacing w:after="120" w:line="276" w:lineRule="auto"/>
      </w:pPr>
      <w:r>
        <w:rPr>
          <w:rStyle w:val="7"/>
        </w:rPr>
        <w:t>Notes:</w:t>
      </w:r>
      <w:r>
        <w:br w:type="textWrapping"/>
      </w:r>
      <w:r>
        <w:t>Bond lengths are given in ångströms (Å) and bond angles in degrees (°).</w:t>
      </w:r>
      <w:r>
        <w:br w:type="textWrapping"/>
      </w:r>
      <w:r>
        <w:t>Values in parentheses are estimated standard deviations (e.s.d.’s) in the last significant digits.</w:t>
      </w:r>
      <w:r>
        <w:br w:type="textWrapping"/>
      </w:r>
      <w:r>
        <w:t>Symmetry transformations used to generate equivalent atoms are listed above.</w:t>
      </w:r>
      <w:r>
        <w:br w:type="page"/>
      </w:r>
    </w:p>
    <w:p w14:paraId="4AD8806D">
      <w:pPr>
        <w:tabs>
          <w:tab w:val="center" w:pos="1200"/>
          <w:tab w:val="center" w:pos="2400"/>
          <w:tab w:val="center" w:pos="3600"/>
          <w:tab w:val="center" w:pos="4800"/>
          <w:tab w:val="center" w:pos="6000"/>
          <w:tab w:val="center" w:pos="7200"/>
          <w:tab w:val="left" w:pos="8400"/>
        </w:tabs>
        <w:autoSpaceDE w:val="0"/>
        <w:autoSpaceDN w:val="0"/>
        <w:adjustRightInd w:val="0"/>
        <w:spacing w:after="120" w:line="276" w:lineRule="auto"/>
        <w:jc w:val="both"/>
        <w:rPr>
          <w:rFonts w:eastAsia="PMingLiU" w:asciiTheme="minorHAnsi" w:hAnsiTheme="minorHAnsi" w:cstheme="minorBidi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bCs/>
        </w:rPr>
        <w:t>Table S5. Anisotropic displacement parameters (Å</w:t>
      </w:r>
      <w:r>
        <w:rPr>
          <w:b/>
          <w:bCs/>
          <w:vertAlign w:val="superscript"/>
        </w:rPr>
        <w:t>2</w:t>
      </w:r>
      <w:r>
        <w:rPr>
          <w:b/>
        </w:rPr>
        <w:t>×</w:t>
      </w:r>
      <w:r>
        <w:rPr>
          <w:b/>
          <w:bCs/>
        </w:rPr>
        <w:t xml:space="preserve"> 10</w:t>
      </w:r>
      <w:r>
        <w:rPr>
          <w:b/>
          <w:bCs/>
          <w:vertAlign w:val="superscript"/>
        </w:rPr>
        <w:t>-</w:t>
      </w:r>
      <w:r>
        <w:t>³</w:t>
      </w:r>
      <w:r>
        <w:rPr>
          <w:b/>
          <w:bCs/>
        </w:rPr>
        <w:t xml:space="preserve">) for GACC. </w:t>
      </w:r>
    </w:p>
    <w:tbl>
      <w:tblPr>
        <w:tblStyle w:val="8"/>
        <w:tblW w:w="5000" w:type="pct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86"/>
        <w:gridCol w:w="1362"/>
        <w:gridCol w:w="1226"/>
        <w:gridCol w:w="1226"/>
        <w:gridCol w:w="1089"/>
        <w:gridCol w:w="970"/>
        <w:gridCol w:w="1029"/>
      </w:tblGrid>
      <w:tr w14:paraId="6E14EC7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  <w:tcBorders>
              <w:top w:val="single" w:color="auto" w:sz="4" w:space="0"/>
              <w:bottom w:val="single" w:color="auto" w:sz="4" w:space="0"/>
            </w:tcBorders>
          </w:tcPr>
          <w:p w14:paraId="58B62A8B">
            <w:pPr>
              <w:spacing w:line="320" w:lineRule="exact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b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  <w:t>Atom label</w:t>
            </w:r>
          </w:p>
        </w:tc>
        <w:tc>
          <w:tcPr>
            <w:tcW w:w="733" w:type="pct"/>
            <w:tcBorders>
              <w:top w:val="single" w:color="auto" w:sz="4" w:space="0"/>
              <w:bottom w:val="single" w:color="auto" w:sz="4" w:space="0"/>
            </w:tcBorders>
          </w:tcPr>
          <w:p w14:paraId="5F8AF249">
            <w:pPr>
              <w:spacing w:line="320" w:lineRule="exact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U11</w:t>
            </w:r>
          </w:p>
        </w:tc>
        <w:tc>
          <w:tcPr>
            <w:tcW w:w="660" w:type="pct"/>
            <w:tcBorders>
              <w:top w:val="single" w:color="auto" w:sz="4" w:space="0"/>
              <w:bottom w:val="single" w:color="auto" w:sz="4" w:space="0"/>
            </w:tcBorders>
          </w:tcPr>
          <w:p w14:paraId="707DB88D">
            <w:pPr>
              <w:spacing w:line="320" w:lineRule="exact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 xml:space="preserve">U22 </w:t>
            </w:r>
          </w:p>
        </w:tc>
        <w:tc>
          <w:tcPr>
            <w:tcW w:w="660" w:type="pct"/>
            <w:tcBorders>
              <w:top w:val="single" w:color="auto" w:sz="4" w:space="0"/>
              <w:bottom w:val="single" w:color="auto" w:sz="4" w:space="0"/>
            </w:tcBorders>
          </w:tcPr>
          <w:p w14:paraId="221DF7DB">
            <w:pPr>
              <w:spacing w:line="320" w:lineRule="exact"/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U33</w:t>
            </w:r>
          </w:p>
        </w:tc>
        <w:tc>
          <w:tcPr>
            <w:tcW w:w="586" w:type="pct"/>
            <w:tcBorders>
              <w:top w:val="single" w:color="auto" w:sz="4" w:space="0"/>
              <w:bottom w:val="single" w:color="auto" w:sz="4" w:space="0"/>
            </w:tcBorders>
          </w:tcPr>
          <w:p w14:paraId="72BA3F22">
            <w:pPr>
              <w:tabs>
                <w:tab w:val="center" w:pos="2880"/>
                <w:tab w:val="center" w:pos="4320"/>
                <w:tab w:val="center" w:pos="5760"/>
                <w:tab w:val="center" w:pos="7200"/>
                <w:tab w:val="left" w:pos="11900"/>
              </w:tabs>
              <w:autoSpaceDE w:val="0"/>
              <w:autoSpaceDN w:val="0"/>
              <w:adjustRightInd w:val="0"/>
              <w:spacing w:after="120" w:line="320" w:lineRule="exact"/>
              <w:rPr>
                <w:rFonts w:asciiTheme="minorHAnsi" w:hAnsiTheme="minorHAnsi" w:cstheme="minorBidi"/>
                <w:b/>
                <w:kern w:val="2"/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U23</w:t>
            </w:r>
          </w:p>
        </w:tc>
        <w:tc>
          <w:tcPr>
            <w:tcW w:w="522" w:type="pct"/>
            <w:tcBorders>
              <w:top w:val="single" w:color="auto" w:sz="4" w:space="0"/>
              <w:bottom w:val="single" w:color="auto" w:sz="4" w:space="0"/>
            </w:tcBorders>
          </w:tcPr>
          <w:p w14:paraId="3A8D7C1C">
            <w:pPr>
              <w:tabs>
                <w:tab w:val="center" w:pos="2880"/>
                <w:tab w:val="center" w:pos="4320"/>
                <w:tab w:val="center" w:pos="5760"/>
                <w:tab w:val="center" w:pos="7200"/>
                <w:tab w:val="left" w:pos="11900"/>
              </w:tabs>
              <w:autoSpaceDE w:val="0"/>
              <w:autoSpaceDN w:val="0"/>
              <w:adjustRightInd w:val="0"/>
              <w:spacing w:after="120" w:line="320" w:lineRule="exact"/>
              <w:rPr>
                <w:rFonts w:asciiTheme="minorHAnsi" w:hAnsiTheme="minorHAnsi" w:cstheme="minorBidi"/>
                <w:b/>
                <w:kern w:val="2"/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U13</w:t>
            </w:r>
          </w:p>
        </w:tc>
        <w:tc>
          <w:tcPr>
            <w:tcW w:w="554" w:type="pct"/>
            <w:tcBorders>
              <w:top w:val="single" w:color="auto" w:sz="4" w:space="0"/>
              <w:bottom w:val="single" w:color="auto" w:sz="4" w:space="0"/>
            </w:tcBorders>
          </w:tcPr>
          <w:p w14:paraId="4559048C">
            <w:pPr>
              <w:tabs>
                <w:tab w:val="center" w:pos="2880"/>
                <w:tab w:val="center" w:pos="4320"/>
                <w:tab w:val="center" w:pos="5760"/>
                <w:tab w:val="center" w:pos="7200"/>
                <w:tab w:val="left" w:pos="11900"/>
              </w:tabs>
              <w:autoSpaceDE w:val="0"/>
              <w:autoSpaceDN w:val="0"/>
              <w:adjustRightInd w:val="0"/>
              <w:spacing w:after="120" w:line="320" w:lineRule="exact"/>
              <w:rPr>
                <w:rFonts w:asciiTheme="minorHAnsi" w:hAnsiTheme="minorHAnsi" w:cstheme="minorBidi"/>
                <w:b/>
                <w:kern w:val="2"/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U12</w:t>
            </w:r>
          </w:p>
        </w:tc>
      </w:tr>
      <w:tr w14:paraId="452B774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  <w:tcBorders>
              <w:top w:val="single" w:color="auto" w:sz="4" w:space="0"/>
            </w:tcBorders>
          </w:tcPr>
          <w:p w14:paraId="33C18267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Co(1)</w:t>
            </w:r>
          </w:p>
        </w:tc>
        <w:tc>
          <w:tcPr>
            <w:tcW w:w="733" w:type="pct"/>
            <w:tcBorders>
              <w:top w:val="single" w:color="auto" w:sz="4" w:space="0"/>
            </w:tcBorders>
          </w:tcPr>
          <w:p w14:paraId="21B48129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14(1) </w:t>
            </w:r>
          </w:p>
        </w:tc>
        <w:tc>
          <w:tcPr>
            <w:tcW w:w="660" w:type="pct"/>
            <w:tcBorders>
              <w:top w:val="single" w:color="auto" w:sz="4" w:space="0"/>
            </w:tcBorders>
          </w:tcPr>
          <w:p w14:paraId="24CBD046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16(1)</w:t>
            </w:r>
          </w:p>
        </w:tc>
        <w:tc>
          <w:tcPr>
            <w:tcW w:w="660" w:type="pct"/>
            <w:tcBorders>
              <w:top w:val="single" w:color="auto" w:sz="4" w:space="0"/>
            </w:tcBorders>
          </w:tcPr>
          <w:p w14:paraId="3A01C0C2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14(1) </w:t>
            </w:r>
          </w:p>
        </w:tc>
        <w:tc>
          <w:tcPr>
            <w:tcW w:w="586" w:type="pct"/>
            <w:tcBorders>
              <w:top w:val="single" w:color="auto" w:sz="4" w:space="0"/>
            </w:tcBorders>
          </w:tcPr>
          <w:p w14:paraId="704C9636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0(1)</w:t>
            </w:r>
          </w:p>
        </w:tc>
        <w:tc>
          <w:tcPr>
            <w:tcW w:w="522" w:type="pct"/>
            <w:tcBorders>
              <w:top w:val="single" w:color="auto" w:sz="4" w:space="0"/>
            </w:tcBorders>
          </w:tcPr>
          <w:p w14:paraId="6921E2D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1(1) </w:t>
            </w:r>
          </w:p>
        </w:tc>
        <w:tc>
          <w:tcPr>
            <w:tcW w:w="554" w:type="pct"/>
            <w:tcBorders>
              <w:top w:val="single" w:color="auto" w:sz="4" w:space="0"/>
            </w:tcBorders>
          </w:tcPr>
          <w:p w14:paraId="23BBE17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0(1)</w:t>
            </w:r>
          </w:p>
        </w:tc>
      </w:tr>
      <w:tr w14:paraId="1283B78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20" w:hRule="atLeast"/>
          <w:jc w:val="center"/>
        </w:trPr>
        <w:tc>
          <w:tcPr>
            <w:tcW w:w="1285" w:type="pct"/>
          </w:tcPr>
          <w:p w14:paraId="2F8A9FCD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O(1)</w:t>
            </w:r>
          </w:p>
        </w:tc>
        <w:tc>
          <w:tcPr>
            <w:tcW w:w="733" w:type="pct"/>
          </w:tcPr>
          <w:p w14:paraId="7421553C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20(1) </w:t>
            </w:r>
          </w:p>
        </w:tc>
        <w:tc>
          <w:tcPr>
            <w:tcW w:w="660" w:type="pct"/>
          </w:tcPr>
          <w:p w14:paraId="3DCFCFDD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17(1)</w:t>
            </w:r>
          </w:p>
        </w:tc>
        <w:tc>
          <w:tcPr>
            <w:tcW w:w="660" w:type="pct"/>
          </w:tcPr>
          <w:p w14:paraId="68662EDE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15(1) </w:t>
            </w:r>
          </w:p>
        </w:tc>
        <w:tc>
          <w:tcPr>
            <w:tcW w:w="586" w:type="pct"/>
          </w:tcPr>
          <w:p w14:paraId="3320F5D5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1(1)</w:t>
            </w:r>
          </w:p>
        </w:tc>
        <w:tc>
          <w:tcPr>
            <w:tcW w:w="522" w:type="pct"/>
          </w:tcPr>
          <w:p w14:paraId="58C1522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2(1) </w:t>
            </w:r>
          </w:p>
        </w:tc>
        <w:tc>
          <w:tcPr>
            <w:tcW w:w="554" w:type="pct"/>
          </w:tcPr>
          <w:p w14:paraId="0CC2D7B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-6(1)</w:t>
            </w:r>
          </w:p>
        </w:tc>
      </w:tr>
      <w:tr w14:paraId="6AF3C57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6224BD5D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O(2W)</w:t>
            </w:r>
          </w:p>
        </w:tc>
        <w:tc>
          <w:tcPr>
            <w:tcW w:w="733" w:type="pct"/>
          </w:tcPr>
          <w:p w14:paraId="36817446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21(1) </w:t>
            </w:r>
          </w:p>
        </w:tc>
        <w:tc>
          <w:tcPr>
            <w:tcW w:w="660" w:type="pct"/>
          </w:tcPr>
          <w:p w14:paraId="1F5672F4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21(1)</w:t>
            </w:r>
          </w:p>
        </w:tc>
        <w:tc>
          <w:tcPr>
            <w:tcW w:w="660" w:type="pct"/>
          </w:tcPr>
          <w:p w14:paraId="5284C618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18(1) </w:t>
            </w:r>
          </w:p>
        </w:tc>
        <w:tc>
          <w:tcPr>
            <w:tcW w:w="586" w:type="pct"/>
          </w:tcPr>
          <w:p w14:paraId="4AB05D30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-4(1)</w:t>
            </w:r>
          </w:p>
        </w:tc>
        <w:tc>
          <w:tcPr>
            <w:tcW w:w="522" w:type="pct"/>
          </w:tcPr>
          <w:p w14:paraId="2BCB1B2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-1(1) </w:t>
            </w:r>
          </w:p>
        </w:tc>
        <w:tc>
          <w:tcPr>
            <w:tcW w:w="554" w:type="pct"/>
          </w:tcPr>
          <w:p w14:paraId="5EB42FC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2(1)</w:t>
            </w:r>
          </w:p>
        </w:tc>
      </w:tr>
      <w:tr w14:paraId="64F2D49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24EA5313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O(3)</w:t>
            </w:r>
          </w:p>
        </w:tc>
        <w:tc>
          <w:tcPr>
            <w:tcW w:w="733" w:type="pct"/>
          </w:tcPr>
          <w:p w14:paraId="4C81BD45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22(1) </w:t>
            </w:r>
          </w:p>
        </w:tc>
        <w:tc>
          <w:tcPr>
            <w:tcW w:w="660" w:type="pct"/>
          </w:tcPr>
          <w:p w14:paraId="2846D0D7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28(2)</w:t>
            </w:r>
          </w:p>
        </w:tc>
        <w:tc>
          <w:tcPr>
            <w:tcW w:w="660" w:type="pct"/>
          </w:tcPr>
          <w:p w14:paraId="3FC69A9A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15(1) </w:t>
            </w:r>
          </w:p>
        </w:tc>
        <w:tc>
          <w:tcPr>
            <w:tcW w:w="586" w:type="pct"/>
          </w:tcPr>
          <w:p w14:paraId="4125DF43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1(1)</w:t>
            </w:r>
          </w:p>
        </w:tc>
        <w:tc>
          <w:tcPr>
            <w:tcW w:w="522" w:type="pct"/>
          </w:tcPr>
          <w:p w14:paraId="5945534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-2(1) </w:t>
            </w:r>
          </w:p>
        </w:tc>
        <w:tc>
          <w:tcPr>
            <w:tcW w:w="554" w:type="pct"/>
          </w:tcPr>
          <w:p w14:paraId="21040C1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6(1)</w:t>
            </w:r>
          </w:p>
        </w:tc>
      </w:tr>
      <w:tr w14:paraId="6A2CD56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52D2C174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O(2)</w:t>
            </w:r>
          </w:p>
        </w:tc>
        <w:tc>
          <w:tcPr>
            <w:tcW w:w="733" w:type="pct"/>
          </w:tcPr>
          <w:p w14:paraId="7A54711A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18(1) </w:t>
            </w:r>
          </w:p>
        </w:tc>
        <w:tc>
          <w:tcPr>
            <w:tcW w:w="660" w:type="pct"/>
          </w:tcPr>
          <w:p w14:paraId="1483FD37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18(1)</w:t>
            </w:r>
          </w:p>
        </w:tc>
        <w:tc>
          <w:tcPr>
            <w:tcW w:w="660" w:type="pct"/>
          </w:tcPr>
          <w:p w14:paraId="2695E9BE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20(1) </w:t>
            </w:r>
          </w:p>
        </w:tc>
        <w:tc>
          <w:tcPr>
            <w:tcW w:w="586" w:type="pct"/>
          </w:tcPr>
          <w:p w14:paraId="6034F1CB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-2(1)</w:t>
            </w:r>
          </w:p>
        </w:tc>
        <w:tc>
          <w:tcPr>
            <w:tcW w:w="522" w:type="pct"/>
          </w:tcPr>
          <w:p w14:paraId="11554BC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2(1) </w:t>
            </w:r>
          </w:p>
        </w:tc>
        <w:tc>
          <w:tcPr>
            <w:tcW w:w="554" w:type="pct"/>
          </w:tcPr>
          <w:p w14:paraId="338E8EA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-6(1)</w:t>
            </w:r>
          </w:p>
        </w:tc>
      </w:tr>
      <w:tr w14:paraId="2A4FFEC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5504D140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O(4)</w:t>
            </w:r>
          </w:p>
        </w:tc>
        <w:tc>
          <w:tcPr>
            <w:tcW w:w="733" w:type="pct"/>
          </w:tcPr>
          <w:p w14:paraId="34DC5A7E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19(1) </w:t>
            </w:r>
          </w:p>
        </w:tc>
        <w:tc>
          <w:tcPr>
            <w:tcW w:w="660" w:type="pct"/>
          </w:tcPr>
          <w:p w14:paraId="0488703D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30(2)</w:t>
            </w:r>
          </w:p>
        </w:tc>
        <w:tc>
          <w:tcPr>
            <w:tcW w:w="660" w:type="pct"/>
          </w:tcPr>
          <w:p w14:paraId="01468D2F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15(1) </w:t>
            </w:r>
          </w:p>
        </w:tc>
        <w:tc>
          <w:tcPr>
            <w:tcW w:w="586" w:type="pct"/>
          </w:tcPr>
          <w:p w14:paraId="0AA30052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-1(1)</w:t>
            </w:r>
          </w:p>
        </w:tc>
        <w:tc>
          <w:tcPr>
            <w:tcW w:w="522" w:type="pct"/>
          </w:tcPr>
          <w:p w14:paraId="7469A6D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-4(1) </w:t>
            </w:r>
          </w:p>
        </w:tc>
        <w:tc>
          <w:tcPr>
            <w:tcW w:w="554" w:type="pct"/>
          </w:tcPr>
          <w:p w14:paraId="5CF8BE9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12(1)</w:t>
            </w:r>
          </w:p>
        </w:tc>
      </w:tr>
      <w:tr w14:paraId="58572D1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59ED744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O(1W)</w:t>
            </w:r>
          </w:p>
        </w:tc>
        <w:tc>
          <w:tcPr>
            <w:tcW w:w="733" w:type="pct"/>
          </w:tcPr>
          <w:p w14:paraId="05931D3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20(1) </w:t>
            </w:r>
          </w:p>
        </w:tc>
        <w:tc>
          <w:tcPr>
            <w:tcW w:w="660" w:type="pct"/>
          </w:tcPr>
          <w:p w14:paraId="77D5103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19(1)</w:t>
            </w:r>
          </w:p>
        </w:tc>
        <w:tc>
          <w:tcPr>
            <w:tcW w:w="660" w:type="pct"/>
          </w:tcPr>
          <w:p w14:paraId="43DCC9A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38(2) </w:t>
            </w:r>
          </w:p>
        </w:tc>
        <w:tc>
          <w:tcPr>
            <w:tcW w:w="586" w:type="pct"/>
          </w:tcPr>
          <w:p w14:paraId="0830EF4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4(1)</w:t>
            </w:r>
          </w:p>
        </w:tc>
        <w:tc>
          <w:tcPr>
            <w:tcW w:w="522" w:type="pct"/>
          </w:tcPr>
          <w:p w14:paraId="1BE2CC5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7(1) </w:t>
            </w:r>
          </w:p>
        </w:tc>
        <w:tc>
          <w:tcPr>
            <w:tcW w:w="554" w:type="pct"/>
          </w:tcPr>
          <w:p w14:paraId="352992F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2(1)</w:t>
            </w:r>
          </w:p>
        </w:tc>
      </w:tr>
      <w:tr w14:paraId="4DBBEF1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23697FB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N(1)</w:t>
            </w:r>
          </w:p>
        </w:tc>
        <w:tc>
          <w:tcPr>
            <w:tcW w:w="733" w:type="pct"/>
          </w:tcPr>
          <w:p w14:paraId="2156018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13(1) </w:t>
            </w:r>
          </w:p>
        </w:tc>
        <w:tc>
          <w:tcPr>
            <w:tcW w:w="660" w:type="pct"/>
          </w:tcPr>
          <w:p w14:paraId="7B8459C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18(1)</w:t>
            </w:r>
          </w:p>
        </w:tc>
        <w:tc>
          <w:tcPr>
            <w:tcW w:w="660" w:type="pct"/>
          </w:tcPr>
          <w:p w14:paraId="1F75E03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15(1) </w:t>
            </w:r>
          </w:p>
        </w:tc>
        <w:tc>
          <w:tcPr>
            <w:tcW w:w="586" w:type="pct"/>
          </w:tcPr>
          <w:p w14:paraId="0826A60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2(1)</w:t>
            </w:r>
          </w:p>
        </w:tc>
        <w:tc>
          <w:tcPr>
            <w:tcW w:w="522" w:type="pct"/>
          </w:tcPr>
          <w:p w14:paraId="6BB3A36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1(1) </w:t>
            </w:r>
          </w:p>
        </w:tc>
        <w:tc>
          <w:tcPr>
            <w:tcW w:w="554" w:type="pct"/>
          </w:tcPr>
          <w:p w14:paraId="3C7F001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-3(1)</w:t>
            </w:r>
          </w:p>
        </w:tc>
      </w:tr>
      <w:tr w14:paraId="42B376F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3DCF7CE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C(2)</w:t>
            </w:r>
          </w:p>
        </w:tc>
        <w:tc>
          <w:tcPr>
            <w:tcW w:w="733" w:type="pct"/>
          </w:tcPr>
          <w:p w14:paraId="5BF76AF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9(1) </w:t>
            </w:r>
          </w:p>
        </w:tc>
        <w:tc>
          <w:tcPr>
            <w:tcW w:w="660" w:type="pct"/>
          </w:tcPr>
          <w:p w14:paraId="3DCF05F5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13(2)</w:t>
            </w:r>
          </w:p>
        </w:tc>
        <w:tc>
          <w:tcPr>
            <w:tcW w:w="660" w:type="pct"/>
          </w:tcPr>
          <w:p w14:paraId="4A24506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18(2) </w:t>
            </w:r>
          </w:p>
        </w:tc>
        <w:tc>
          <w:tcPr>
            <w:tcW w:w="586" w:type="pct"/>
          </w:tcPr>
          <w:p w14:paraId="6E2CAB45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4(1)</w:t>
            </w:r>
          </w:p>
        </w:tc>
        <w:tc>
          <w:tcPr>
            <w:tcW w:w="522" w:type="pct"/>
          </w:tcPr>
          <w:p w14:paraId="150294A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0(1) </w:t>
            </w:r>
          </w:p>
        </w:tc>
        <w:tc>
          <w:tcPr>
            <w:tcW w:w="554" w:type="pct"/>
          </w:tcPr>
          <w:p w14:paraId="3DF97B8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1(1)</w:t>
            </w:r>
          </w:p>
        </w:tc>
      </w:tr>
      <w:tr w14:paraId="479E06C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79E6E59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C(5)</w:t>
            </w:r>
          </w:p>
        </w:tc>
        <w:tc>
          <w:tcPr>
            <w:tcW w:w="733" w:type="pct"/>
          </w:tcPr>
          <w:p w14:paraId="2A02131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16(2) </w:t>
            </w:r>
          </w:p>
        </w:tc>
        <w:tc>
          <w:tcPr>
            <w:tcW w:w="660" w:type="pct"/>
          </w:tcPr>
          <w:p w14:paraId="2CA244E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18(2)</w:t>
            </w:r>
          </w:p>
        </w:tc>
        <w:tc>
          <w:tcPr>
            <w:tcW w:w="660" w:type="pct"/>
          </w:tcPr>
          <w:p w14:paraId="683AF217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16(2) </w:t>
            </w:r>
          </w:p>
        </w:tc>
        <w:tc>
          <w:tcPr>
            <w:tcW w:w="586" w:type="pct"/>
          </w:tcPr>
          <w:p w14:paraId="38664CD3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1(1)</w:t>
            </w:r>
          </w:p>
        </w:tc>
        <w:tc>
          <w:tcPr>
            <w:tcW w:w="522" w:type="pct"/>
          </w:tcPr>
          <w:p w14:paraId="5F09F88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-2(1) </w:t>
            </w:r>
          </w:p>
        </w:tc>
        <w:tc>
          <w:tcPr>
            <w:tcW w:w="554" w:type="pct"/>
          </w:tcPr>
          <w:p w14:paraId="6BECC9C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2(1)</w:t>
            </w:r>
          </w:p>
        </w:tc>
      </w:tr>
      <w:tr w14:paraId="2C8A0C4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1476EF1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C(1)</w:t>
            </w:r>
          </w:p>
        </w:tc>
        <w:tc>
          <w:tcPr>
            <w:tcW w:w="733" w:type="pct"/>
          </w:tcPr>
          <w:p w14:paraId="31BFF7D0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12(2) </w:t>
            </w:r>
          </w:p>
        </w:tc>
        <w:tc>
          <w:tcPr>
            <w:tcW w:w="660" w:type="pct"/>
          </w:tcPr>
          <w:p w14:paraId="2C92BCF5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16(2)</w:t>
            </w:r>
          </w:p>
        </w:tc>
        <w:tc>
          <w:tcPr>
            <w:tcW w:w="660" w:type="pct"/>
          </w:tcPr>
          <w:p w14:paraId="1467C70B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12(2) </w:t>
            </w:r>
          </w:p>
        </w:tc>
        <w:tc>
          <w:tcPr>
            <w:tcW w:w="586" w:type="pct"/>
          </w:tcPr>
          <w:p w14:paraId="6C4BA1C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1(1)</w:t>
            </w:r>
          </w:p>
        </w:tc>
        <w:tc>
          <w:tcPr>
            <w:tcW w:w="522" w:type="pct"/>
          </w:tcPr>
          <w:p w14:paraId="5E5F3694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0(1) </w:t>
            </w:r>
          </w:p>
        </w:tc>
        <w:tc>
          <w:tcPr>
            <w:tcW w:w="554" w:type="pct"/>
          </w:tcPr>
          <w:p w14:paraId="700B2D5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1(1)</w:t>
            </w:r>
          </w:p>
        </w:tc>
      </w:tr>
      <w:tr w14:paraId="667BE9B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7EC0D0A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C(3)</w:t>
            </w:r>
          </w:p>
        </w:tc>
        <w:tc>
          <w:tcPr>
            <w:tcW w:w="733" w:type="pct"/>
          </w:tcPr>
          <w:p w14:paraId="4610B88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16(2) </w:t>
            </w:r>
          </w:p>
        </w:tc>
        <w:tc>
          <w:tcPr>
            <w:tcW w:w="660" w:type="pct"/>
          </w:tcPr>
          <w:p w14:paraId="0A851A66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20(2)</w:t>
            </w:r>
          </w:p>
        </w:tc>
        <w:tc>
          <w:tcPr>
            <w:tcW w:w="660" w:type="pct"/>
          </w:tcPr>
          <w:p w14:paraId="2F52635E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12(2) </w:t>
            </w:r>
          </w:p>
        </w:tc>
        <w:tc>
          <w:tcPr>
            <w:tcW w:w="586" w:type="pct"/>
          </w:tcPr>
          <w:p w14:paraId="06BADC5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0(1)</w:t>
            </w:r>
          </w:p>
        </w:tc>
        <w:tc>
          <w:tcPr>
            <w:tcW w:w="522" w:type="pct"/>
          </w:tcPr>
          <w:p w14:paraId="49A41BF2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-1(1) </w:t>
            </w:r>
          </w:p>
        </w:tc>
        <w:tc>
          <w:tcPr>
            <w:tcW w:w="554" w:type="pct"/>
          </w:tcPr>
          <w:p w14:paraId="37D0F60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3(1)</w:t>
            </w:r>
          </w:p>
        </w:tc>
      </w:tr>
      <w:tr w14:paraId="4842D49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85" w:type="pct"/>
          </w:tcPr>
          <w:p w14:paraId="73643D2A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C(4)</w:t>
            </w:r>
          </w:p>
        </w:tc>
        <w:tc>
          <w:tcPr>
            <w:tcW w:w="733" w:type="pct"/>
          </w:tcPr>
          <w:p w14:paraId="678B58CF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20(2) </w:t>
            </w:r>
          </w:p>
        </w:tc>
        <w:tc>
          <w:tcPr>
            <w:tcW w:w="660" w:type="pct"/>
          </w:tcPr>
          <w:p w14:paraId="67DAF46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26(2)</w:t>
            </w:r>
          </w:p>
        </w:tc>
        <w:tc>
          <w:tcPr>
            <w:tcW w:w="660" w:type="pct"/>
          </w:tcPr>
          <w:p w14:paraId="55DF399C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14(2) </w:t>
            </w:r>
          </w:p>
        </w:tc>
        <w:tc>
          <w:tcPr>
            <w:tcW w:w="586" w:type="pct"/>
          </w:tcPr>
          <w:p w14:paraId="6FB1EADD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2(2)</w:t>
            </w:r>
          </w:p>
        </w:tc>
        <w:tc>
          <w:tcPr>
            <w:tcW w:w="522" w:type="pct"/>
          </w:tcPr>
          <w:p w14:paraId="178C0E48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 xml:space="preserve">-2(1) </w:t>
            </w:r>
          </w:p>
        </w:tc>
        <w:tc>
          <w:tcPr>
            <w:tcW w:w="554" w:type="pct"/>
          </w:tcPr>
          <w:p w14:paraId="730CAC81">
            <w:pPr>
              <w:spacing w:line="320" w:lineRule="exact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9(2)</w:t>
            </w:r>
          </w:p>
        </w:tc>
      </w:tr>
    </w:tbl>
    <w:p w14:paraId="0307AE4B">
      <w:pPr>
        <w:tabs>
          <w:tab w:val="center" w:pos="1200"/>
          <w:tab w:val="center" w:pos="2400"/>
          <w:tab w:val="center" w:pos="3600"/>
          <w:tab w:val="center" w:pos="4800"/>
          <w:tab w:val="center" w:pos="6000"/>
          <w:tab w:val="center" w:pos="7200"/>
          <w:tab w:val="left" w:pos="8400"/>
        </w:tabs>
        <w:autoSpaceDE w:val="0"/>
        <w:autoSpaceDN w:val="0"/>
        <w:adjustRightInd w:val="0"/>
        <w:spacing w:line="320" w:lineRule="exact"/>
        <w:jc w:val="both"/>
        <w:rPr>
          <w:rStyle w:val="7"/>
        </w:rPr>
      </w:pPr>
      <w:r>
        <w:rPr>
          <w:rStyle w:val="7"/>
        </w:rPr>
        <w:t>Notes:</w:t>
      </w:r>
    </w:p>
    <w:p w14:paraId="4DAD101D">
      <w:pPr>
        <w:pStyle w:val="6"/>
        <w:numPr>
          <w:ilvl w:val="0"/>
          <w:numId w:val="2"/>
        </w:numPr>
        <w:spacing w:before="0" w:beforeAutospacing="0" w:after="0" w:afterAutospacing="0" w:line="320" w:lineRule="exact"/>
        <w:rPr>
          <w:rFonts w:ascii="Times New Roman" w:hAnsi="Times New Roman" w:cs="Times New Roman"/>
        </w:rPr>
      </w:pPr>
      <w:r>
        <w:rPr>
          <w:rStyle w:val="5"/>
          <w:rFonts w:ascii="Times New Roman" w:hAnsi="Times New Roman" w:cs="Times New Roman"/>
          <w:i w:val="0"/>
        </w:rPr>
        <w:t>Anisotropic displacement parameters Uij are given in units of Å² × 10</w:t>
      </w:r>
      <w:r>
        <w:rPr>
          <w:rStyle w:val="5"/>
          <w:rFonts w:ascii="Times New Roman" w:hAnsi="Times New Roman" w:cs="Times New Roman"/>
          <w:i w:val="0"/>
          <w:vertAlign w:val="superscript"/>
        </w:rPr>
        <w:t>-</w:t>
      </w:r>
      <w:r>
        <w:rPr>
          <w:rStyle w:val="5"/>
          <w:rFonts w:ascii="Times New Roman" w:hAnsi="Times New Roman" w:cs="Times New Roman"/>
          <w:i w:val="0"/>
        </w:rPr>
        <w:t>³.</w:t>
      </w:r>
    </w:p>
    <w:p w14:paraId="2068FFB5">
      <w:pPr>
        <w:pStyle w:val="6"/>
        <w:numPr>
          <w:ilvl w:val="0"/>
          <w:numId w:val="2"/>
        </w:numPr>
        <w:spacing w:before="0" w:beforeAutospacing="0" w:after="0" w:afterAutospacing="0" w:line="320" w:lineRule="exact"/>
        <w:rPr>
          <w:rFonts w:ascii="Times New Roman" w:hAnsi="Times New Roman" w:cs="Times New Roman"/>
        </w:rPr>
      </w:pPr>
      <w:r>
        <w:rPr>
          <w:rStyle w:val="5"/>
          <w:rFonts w:ascii="Times New Roman" w:hAnsi="Times New Roman" w:cs="Times New Roman"/>
          <w:i w:val="0"/>
        </w:rPr>
        <w:t xml:space="preserve">The anisotropic displacement factor exponent takes the form: </w:t>
      </w:r>
      <w:r>
        <w:rPr>
          <w:rStyle w:val="5"/>
          <w:rFonts w:ascii="Times New Roman" w:hAnsi="Times New Roman" w:eastAsia="MS Gothic" w:cs="Times New Roman"/>
          <w:i w:val="0"/>
        </w:rPr>
        <w:t>−</w:t>
      </w:r>
      <w:r>
        <w:rPr>
          <w:rStyle w:val="5"/>
          <w:rFonts w:ascii="Times New Roman" w:hAnsi="Times New Roman" w:cs="Times New Roman"/>
          <w:i w:val="0"/>
        </w:rPr>
        <w:t>2</w:t>
      </w:r>
      <w:r>
        <w:rPr>
          <w:rStyle w:val="5"/>
          <w:rFonts w:hint="eastAsia" w:ascii="Times New Roman" w:hAnsi="Times New Roman" w:cs="Times New Roman"/>
          <w:i w:val="0"/>
        </w:rPr>
        <w:t>π²</w:t>
      </w:r>
      <w:r>
        <w:rPr>
          <w:rStyle w:val="5"/>
          <w:rFonts w:ascii="Times New Roman" w:hAnsi="Times New Roman" w:cs="Times New Roman"/>
          <w:i w:val="0"/>
        </w:rPr>
        <w:t>[h</w:t>
      </w:r>
      <w:r>
        <w:rPr>
          <w:rStyle w:val="5"/>
          <w:rFonts w:hint="eastAsia" w:ascii="Times New Roman" w:hAnsi="Times New Roman" w:cs="Times New Roman"/>
          <w:i w:val="0"/>
        </w:rPr>
        <w:t>²</w:t>
      </w:r>
      <w:r>
        <w:rPr>
          <w:rStyle w:val="5"/>
          <w:rFonts w:ascii="Times New Roman" w:hAnsi="Times New Roman" w:cs="Times New Roman"/>
          <w:i w:val="0"/>
        </w:rPr>
        <w:t>a</w:t>
      </w:r>
      <w:r>
        <w:rPr>
          <w:rFonts w:ascii="Times New Roman" w:hAnsi="Times New Roman" w:cs="Times New Roman"/>
        </w:rPr>
        <w:t>²U11 + k²b</w:t>
      </w:r>
      <w:r>
        <w:rPr>
          <w:rStyle w:val="5"/>
          <w:rFonts w:ascii="Times New Roman" w:hAnsi="Times New Roman" w:cs="Times New Roman"/>
          <w:i w:val="0"/>
        </w:rPr>
        <w:t>²U22 + l²c</w:t>
      </w:r>
      <w:r>
        <w:rPr>
          <w:rFonts w:ascii="Times New Roman" w:hAnsi="Times New Roman" w:cs="Times New Roman"/>
        </w:rPr>
        <w:t>²U33 + 2hk a</w:t>
      </w:r>
      <w:r>
        <w:rPr>
          <w:rStyle w:val="5"/>
          <w:rFonts w:ascii="Times New Roman" w:hAnsi="Times New Roman" w:cs="Times New Roman"/>
          <w:i w:val="0"/>
        </w:rPr>
        <w:t>b</w:t>
      </w:r>
      <w:r>
        <w:rPr>
          <w:rFonts w:ascii="Times New Roman" w:hAnsi="Times New Roman" w:cs="Times New Roman"/>
        </w:rPr>
        <w:t>U12 + 2hl a</w:t>
      </w:r>
      <w:r>
        <w:rPr>
          <w:rStyle w:val="5"/>
          <w:rFonts w:ascii="Times New Roman" w:hAnsi="Times New Roman" w:cs="Times New Roman"/>
          <w:i w:val="0"/>
        </w:rPr>
        <w:t>c</w:t>
      </w:r>
      <w:r>
        <w:rPr>
          <w:rFonts w:ascii="Times New Roman" w:hAnsi="Times New Roman" w:cs="Times New Roman"/>
        </w:rPr>
        <w:t>U13 + 2kl b</w:t>
      </w:r>
      <w:r>
        <w:rPr>
          <w:rStyle w:val="5"/>
          <w:rFonts w:ascii="Times New Roman" w:hAnsi="Times New Roman" w:cs="Times New Roman"/>
          <w:i w:val="0"/>
        </w:rPr>
        <w:t>c</w:t>
      </w:r>
      <w:r>
        <w:rPr>
          <w:rFonts w:ascii="Times New Roman" w:hAnsi="Times New Roman" w:cs="Times New Roman"/>
        </w:rPr>
        <w:t>U23].*</w:t>
      </w:r>
    </w:p>
    <w:p w14:paraId="2B7E6510">
      <w:pPr>
        <w:pStyle w:val="6"/>
        <w:numPr>
          <w:ilvl w:val="0"/>
          <w:numId w:val="2"/>
        </w:numPr>
        <w:spacing w:before="0" w:beforeAutospacing="0" w:after="0" w:afterAutospacing="0" w:line="320" w:lineRule="exact"/>
        <w:rPr>
          <w:rFonts w:ascii="Times New Roman" w:hAnsi="Times New Roman" w:cs="Times New Roman"/>
        </w:rPr>
      </w:pPr>
      <w:r>
        <w:rPr>
          <w:rStyle w:val="5"/>
          <w:rFonts w:ascii="Times New Roman" w:hAnsi="Times New Roman" w:cs="Times New Roman"/>
          <w:i w:val="0"/>
        </w:rPr>
        <w:t>Values in parentheses are estimated standard deviations (e.s.d.’s) in the last significant digits</w:t>
      </w:r>
      <w:r>
        <w:rPr>
          <w:rStyle w:val="5"/>
          <w:i w:val="0"/>
        </w:rPr>
        <w:t>.</w:t>
      </w:r>
    </w:p>
    <w:p w14:paraId="159501C1">
      <w:pPr>
        <w:tabs>
          <w:tab w:val="center" w:pos="1200"/>
          <w:tab w:val="center" w:pos="2400"/>
          <w:tab w:val="center" w:pos="3600"/>
          <w:tab w:val="center" w:pos="4800"/>
          <w:tab w:val="center" w:pos="6000"/>
          <w:tab w:val="center" w:pos="7200"/>
          <w:tab w:val="left" w:pos="8400"/>
        </w:tabs>
        <w:autoSpaceDE w:val="0"/>
        <w:autoSpaceDN w:val="0"/>
        <w:adjustRightInd w:val="0"/>
        <w:spacing w:after="120" w:line="276" w:lineRule="auto"/>
        <w:jc w:val="both"/>
        <w:rPr>
          <w:b/>
          <w:bCs/>
          <w:lang w:val="en-US"/>
        </w:rPr>
      </w:pPr>
    </w:p>
    <w:p w14:paraId="11F8B92F">
      <w:pPr>
        <w:spacing w:after="120" w:line="276" w:lineRule="auto"/>
        <w:jc w:val="both"/>
      </w:pPr>
      <w:r>
        <w:br w:type="page"/>
      </w:r>
    </w:p>
    <w:p w14:paraId="6ACE1A8B">
      <w:pPr>
        <w:tabs>
          <w:tab w:val="center" w:pos="2880"/>
          <w:tab w:val="center" w:pos="4320"/>
          <w:tab w:val="center" w:pos="5760"/>
          <w:tab w:val="center" w:pos="7200"/>
          <w:tab w:val="left" w:pos="11900"/>
        </w:tabs>
        <w:autoSpaceDE w:val="0"/>
        <w:autoSpaceDN w:val="0"/>
        <w:adjustRightInd w:val="0"/>
        <w:spacing w:after="120" w:line="276" w:lineRule="auto"/>
        <w:jc w:val="both"/>
        <w:rPr>
          <w:b/>
          <w:bCs/>
        </w:rPr>
      </w:pPr>
      <w:r>
        <w:rPr>
          <w:b/>
          <w:bCs/>
        </w:rPr>
        <w:t xml:space="preserve">Table S6. Hydrogen coordinates ( </w:t>
      </w:r>
      <w:r>
        <w:rPr>
          <w:b/>
        </w:rPr>
        <w:t>×</w:t>
      </w:r>
      <w:r>
        <w:rPr>
          <w:b/>
          <w:bCs/>
        </w:rPr>
        <w:t xml:space="preserve"> 10</w:t>
      </w:r>
      <w:r>
        <w:rPr>
          <w:b/>
          <w:bCs/>
          <w:vertAlign w:val="superscript"/>
        </w:rPr>
        <w:t>4</w:t>
      </w:r>
      <w:r>
        <w:rPr>
          <w:b/>
          <w:bCs/>
        </w:rPr>
        <w:t>) and isotropic displacement parameters (Å</w:t>
      </w:r>
      <w:r>
        <w:rPr>
          <w:b/>
          <w:bCs/>
          <w:vertAlign w:val="superscript"/>
        </w:rPr>
        <w:t>2</w:t>
      </w:r>
      <w:r>
        <w:rPr>
          <w:b/>
        </w:rPr>
        <w:t>×</w:t>
      </w:r>
      <w:r>
        <w:rPr>
          <w:b/>
          <w:bCs/>
        </w:rPr>
        <w:t xml:space="preserve"> 10</w:t>
      </w:r>
      <w:r>
        <w:rPr>
          <w:b/>
          <w:bCs/>
          <w:vertAlign w:val="superscript"/>
        </w:rPr>
        <w:t>-</w:t>
      </w:r>
      <w:r>
        <w:t>³</w:t>
      </w:r>
      <w:r>
        <w:rPr>
          <w:b/>
          <w:bCs/>
        </w:rPr>
        <w:t>) for GACC.</w:t>
      </w:r>
    </w:p>
    <w:p w14:paraId="64C67E39">
      <w:pPr>
        <w:tabs>
          <w:tab w:val="center" w:pos="2880"/>
          <w:tab w:val="center" w:pos="4320"/>
          <w:tab w:val="center" w:pos="5760"/>
          <w:tab w:val="center" w:pos="7200"/>
          <w:tab w:val="left" w:pos="11900"/>
        </w:tabs>
        <w:autoSpaceDE w:val="0"/>
        <w:autoSpaceDN w:val="0"/>
        <w:adjustRightInd w:val="0"/>
        <w:spacing w:after="120" w:line="276" w:lineRule="auto"/>
        <w:jc w:val="both"/>
        <w:rPr>
          <w:b/>
          <w:bCs/>
        </w:rPr>
      </w:pPr>
    </w:p>
    <w:tbl>
      <w:tblPr>
        <w:tblStyle w:val="8"/>
        <w:tblW w:w="4288" w:type="pct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4"/>
        <w:gridCol w:w="1513"/>
        <w:gridCol w:w="1499"/>
        <w:gridCol w:w="1499"/>
        <w:gridCol w:w="1480"/>
      </w:tblGrid>
      <w:tr w14:paraId="24F2643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  <w:tcBorders>
              <w:top w:val="single" w:color="auto" w:sz="4" w:space="0"/>
              <w:bottom w:val="single" w:color="auto" w:sz="4" w:space="0"/>
            </w:tcBorders>
          </w:tcPr>
          <w:p w14:paraId="2DE52BF9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bCs/>
                <w:kern w:val="2"/>
              </w:rPr>
              <w:t>Hydrogen label</w:t>
            </w:r>
          </w:p>
        </w:tc>
        <w:tc>
          <w:tcPr>
            <w:tcW w:w="950" w:type="pct"/>
            <w:tcBorders>
              <w:top w:val="single" w:color="auto" w:sz="4" w:space="0"/>
              <w:bottom w:val="single" w:color="auto" w:sz="4" w:space="0"/>
            </w:tcBorders>
          </w:tcPr>
          <w:p w14:paraId="4BD4AC13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 xml:space="preserve">x </w:t>
            </w:r>
          </w:p>
        </w:tc>
        <w:tc>
          <w:tcPr>
            <w:tcW w:w="941" w:type="pct"/>
            <w:tcBorders>
              <w:top w:val="single" w:color="auto" w:sz="4" w:space="0"/>
              <w:bottom w:val="single" w:color="auto" w:sz="4" w:space="0"/>
            </w:tcBorders>
          </w:tcPr>
          <w:p w14:paraId="38DA2CB8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 xml:space="preserve">y </w:t>
            </w:r>
          </w:p>
        </w:tc>
        <w:tc>
          <w:tcPr>
            <w:tcW w:w="941" w:type="pct"/>
            <w:tcBorders>
              <w:top w:val="single" w:color="auto" w:sz="4" w:space="0"/>
              <w:bottom w:val="single" w:color="auto" w:sz="4" w:space="0"/>
            </w:tcBorders>
          </w:tcPr>
          <w:p w14:paraId="621DF743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 xml:space="preserve">z </w:t>
            </w:r>
          </w:p>
        </w:tc>
        <w:tc>
          <w:tcPr>
            <w:tcW w:w="930" w:type="pct"/>
            <w:tcBorders>
              <w:top w:val="single" w:color="auto" w:sz="4" w:space="0"/>
              <w:bottom w:val="single" w:color="auto" w:sz="4" w:space="0"/>
            </w:tcBorders>
          </w:tcPr>
          <w:p w14:paraId="6E5BBC50">
            <w:pPr>
              <w:tabs>
                <w:tab w:val="center" w:pos="2880"/>
                <w:tab w:val="center" w:pos="4320"/>
                <w:tab w:val="center" w:pos="5760"/>
                <w:tab w:val="center" w:pos="7200"/>
                <w:tab w:val="left" w:pos="11900"/>
              </w:tabs>
              <w:autoSpaceDE w:val="0"/>
              <w:autoSpaceDN w:val="0"/>
              <w:adjustRightInd w:val="0"/>
              <w:spacing w:after="120" w:line="320" w:lineRule="exact"/>
              <w:jc w:val="center"/>
              <w:rPr>
                <w:rFonts w:asciiTheme="minorHAnsi" w:hAnsiTheme="minorHAnsi" w:cstheme="minorBidi"/>
                <w:b/>
                <w:kern w:val="2"/>
              </w:rPr>
            </w:pPr>
            <w:r>
              <w:rPr>
                <w:rFonts w:asciiTheme="minorHAnsi" w:hAnsiTheme="minorHAnsi" w:cstheme="minorBidi"/>
                <w:b/>
                <w:kern w:val="2"/>
              </w:rPr>
              <w:t>U(eq)</w:t>
            </w:r>
          </w:p>
        </w:tc>
      </w:tr>
      <w:tr w14:paraId="1A07CB8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  <w:tcBorders>
              <w:top w:val="single" w:color="auto" w:sz="4" w:space="0"/>
            </w:tcBorders>
            <w:vAlign w:val="center"/>
          </w:tcPr>
          <w:p w14:paraId="01FA5B02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H(1)</w:t>
            </w:r>
          </w:p>
        </w:tc>
        <w:tc>
          <w:tcPr>
            <w:tcW w:w="950" w:type="pct"/>
            <w:tcBorders>
              <w:top w:val="single" w:color="auto" w:sz="4" w:space="0"/>
            </w:tcBorders>
            <w:vAlign w:val="center"/>
          </w:tcPr>
          <w:p w14:paraId="7C821FD5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3010(70)</w:t>
            </w:r>
          </w:p>
        </w:tc>
        <w:tc>
          <w:tcPr>
            <w:tcW w:w="941" w:type="pct"/>
            <w:tcBorders>
              <w:top w:val="single" w:color="auto" w:sz="4" w:space="0"/>
            </w:tcBorders>
            <w:vAlign w:val="center"/>
          </w:tcPr>
          <w:p w14:paraId="270C32DB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5500(60)</w:t>
            </w:r>
          </w:p>
        </w:tc>
        <w:tc>
          <w:tcPr>
            <w:tcW w:w="941" w:type="pct"/>
            <w:tcBorders>
              <w:top w:val="single" w:color="auto" w:sz="4" w:space="0"/>
            </w:tcBorders>
          </w:tcPr>
          <w:p w14:paraId="4E09AC3F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6970(50)</w:t>
            </w:r>
          </w:p>
        </w:tc>
        <w:tc>
          <w:tcPr>
            <w:tcW w:w="930" w:type="pct"/>
            <w:tcBorders>
              <w:top w:val="single" w:color="auto" w:sz="4" w:space="0"/>
            </w:tcBorders>
          </w:tcPr>
          <w:p w14:paraId="4A1603B2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26(13)</w:t>
            </w:r>
          </w:p>
        </w:tc>
      </w:tr>
      <w:tr w14:paraId="0C66844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  <w:vAlign w:val="center"/>
          </w:tcPr>
          <w:p w14:paraId="38170CCC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H(2)</w:t>
            </w:r>
          </w:p>
        </w:tc>
        <w:tc>
          <w:tcPr>
            <w:tcW w:w="950" w:type="pct"/>
            <w:vAlign w:val="center"/>
          </w:tcPr>
          <w:p w14:paraId="6752CE64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1960(70)</w:t>
            </w:r>
          </w:p>
        </w:tc>
        <w:tc>
          <w:tcPr>
            <w:tcW w:w="941" w:type="pct"/>
            <w:vAlign w:val="center"/>
          </w:tcPr>
          <w:p w14:paraId="6EC4BBD3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6320(50)</w:t>
            </w:r>
          </w:p>
        </w:tc>
        <w:tc>
          <w:tcPr>
            <w:tcW w:w="941" w:type="pct"/>
          </w:tcPr>
          <w:p w14:paraId="01AE9E45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6310(40)</w:t>
            </w:r>
          </w:p>
        </w:tc>
        <w:tc>
          <w:tcPr>
            <w:tcW w:w="930" w:type="pct"/>
          </w:tcPr>
          <w:p w14:paraId="01D32D87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15(11)</w:t>
            </w:r>
          </w:p>
        </w:tc>
      </w:tr>
      <w:tr w14:paraId="66E1DC7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</w:tcPr>
          <w:p w14:paraId="53ECECDC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H(3)</w:t>
            </w:r>
          </w:p>
        </w:tc>
        <w:tc>
          <w:tcPr>
            <w:tcW w:w="950" w:type="pct"/>
          </w:tcPr>
          <w:p w14:paraId="43478AB0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3460(70)</w:t>
            </w:r>
          </w:p>
        </w:tc>
        <w:tc>
          <w:tcPr>
            <w:tcW w:w="941" w:type="pct"/>
          </w:tcPr>
          <w:p w14:paraId="2AA068D1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7700(50)</w:t>
            </w:r>
          </w:p>
        </w:tc>
        <w:tc>
          <w:tcPr>
            <w:tcW w:w="941" w:type="pct"/>
          </w:tcPr>
          <w:p w14:paraId="7A6950F0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7110(50)</w:t>
            </w:r>
          </w:p>
        </w:tc>
        <w:tc>
          <w:tcPr>
            <w:tcW w:w="930" w:type="pct"/>
          </w:tcPr>
          <w:p w14:paraId="41EE7C73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21(12)</w:t>
            </w:r>
          </w:p>
        </w:tc>
      </w:tr>
      <w:tr w14:paraId="34FAA0F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</w:tcPr>
          <w:p w14:paraId="01D38019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H(4)</w:t>
            </w:r>
          </w:p>
        </w:tc>
        <w:tc>
          <w:tcPr>
            <w:tcW w:w="950" w:type="pct"/>
          </w:tcPr>
          <w:p w14:paraId="29E601C5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5080(80)</w:t>
            </w:r>
          </w:p>
        </w:tc>
        <w:tc>
          <w:tcPr>
            <w:tcW w:w="941" w:type="pct"/>
          </w:tcPr>
          <w:p w14:paraId="77DEAF5E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6220(60)</w:t>
            </w:r>
          </w:p>
        </w:tc>
        <w:tc>
          <w:tcPr>
            <w:tcW w:w="941" w:type="pct"/>
          </w:tcPr>
          <w:p w14:paraId="4C4CA4B7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8380(50)</w:t>
            </w:r>
          </w:p>
        </w:tc>
        <w:tc>
          <w:tcPr>
            <w:tcW w:w="930" w:type="pct"/>
          </w:tcPr>
          <w:p w14:paraId="467FB61F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27(13)</w:t>
            </w:r>
          </w:p>
        </w:tc>
      </w:tr>
      <w:tr w14:paraId="2049DE0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</w:tcPr>
          <w:p w14:paraId="0DFDC1EE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H(5)</w:t>
            </w:r>
          </w:p>
        </w:tc>
        <w:tc>
          <w:tcPr>
            <w:tcW w:w="950" w:type="pct"/>
          </w:tcPr>
          <w:p w14:paraId="5B0582A7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6260(70)</w:t>
            </w:r>
          </w:p>
        </w:tc>
        <w:tc>
          <w:tcPr>
            <w:tcW w:w="941" w:type="pct"/>
          </w:tcPr>
          <w:p w14:paraId="7D722D89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7390(40)</w:t>
            </w:r>
          </w:p>
        </w:tc>
        <w:tc>
          <w:tcPr>
            <w:tcW w:w="941" w:type="pct"/>
          </w:tcPr>
          <w:p w14:paraId="4B70B832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8270(40)</w:t>
            </w:r>
          </w:p>
        </w:tc>
        <w:tc>
          <w:tcPr>
            <w:tcW w:w="930" w:type="pct"/>
          </w:tcPr>
          <w:p w14:paraId="772EBD03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17(11)</w:t>
            </w:r>
          </w:p>
        </w:tc>
      </w:tr>
      <w:tr w14:paraId="2748599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</w:tcPr>
          <w:p w14:paraId="4CD8672C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H(6)</w:t>
            </w:r>
          </w:p>
        </w:tc>
        <w:tc>
          <w:tcPr>
            <w:tcW w:w="950" w:type="pct"/>
          </w:tcPr>
          <w:p w14:paraId="24FAE3A5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6510(60)</w:t>
            </w:r>
          </w:p>
        </w:tc>
        <w:tc>
          <w:tcPr>
            <w:tcW w:w="941" w:type="pct"/>
          </w:tcPr>
          <w:p w14:paraId="47FBF08E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5010(50)</w:t>
            </w:r>
          </w:p>
        </w:tc>
        <w:tc>
          <w:tcPr>
            <w:tcW w:w="941" w:type="pct"/>
          </w:tcPr>
          <w:p w14:paraId="314C8E60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6890(40)</w:t>
            </w:r>
          </w:p>
        </w:tc>
        <w:tc>
          <w:tcPr>
            <w:tcW w:w="930" w:type="pct"/>
          </w:tcPr>
          <w:p w14:paraId="02E4220E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Theme="minorHAnsi" w:hAnsiTheme="minorHAnsi" w:cstheme="minorBidi"/>
                <w:kern w:val="2"/>
              </w:rPr>
              <w:t>13(11)</w:t>
            </w:r>
          </w:p>
        </w:tc>
      </w:tr>
      <w:tr w14:paraId="0F57641B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</w:tcPr>
          <w:p w14:paraId="096EA07F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H(7)</w:t>
            </w:r>
          </w:p>
        </w:tc>
        <w:tc>
          <w:tcPr>
            <w:tcW w:w="950" w:type="pct"/>
          </w:tcPr>
          <w:p w14:paraId="740FE56D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7800(80)</w:t>
            </w:r>
          </w:p>
        </w:tc>
        <w:tc>
          <w:tcPr>
            <w:tcW w:w="941" w:type="pct"/>
          </w:tcPr>
          <w:p w14:paraId="20E176C4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6110(60)</w:t>
            </w:r>
          </w:p>
        </w:tc>
        <w:tc>
          <w:tcPr>
            <w:tcW w:w="941" w:type="pct"/>
          </w:tcPr>
          <w:p w14:paraId="049613E6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6690(50)</w:t>
            </w:r>
          </w:p>
        </w:tc>
        <w:tc>
          <w:tcPr>
            <w:tcW w:w="930" w:type="pct"/>
          </w:tcPr>
          <w:p w14:paraId="0C86181A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35(15)</w:t>
            </w:r>
          </w:p>
        </w:tc>
      </w:tr>
      <w:tr w14:paraId="5B39C8E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</w:tcPr>
          <w:p w14:paraId="4C75D6D5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H(1W)</w:t>
            </w:r>
          </w:p>
        </w:tc>
        <w:tc>
          <w:tcPr>
            <w:tcW w:w="950" w:type="pct"/>
          </w:tcPr>
          <w:p w14:paraId="5FBF9115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1880(50)</w:t>
            </w:r>
          </w:p>
        </w:tc>
        <w:tc>
          <w:tcPr>
            <w:tcW w:w="941" w:type="pct"/>
          </w:tcPr>
          <w:p w14:paraId="532DAC18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3590(60)</w:t>
            </w:r>
          </w:p>
        </w:tc>
        <w:tc>
          <w:tcPr>
            <w:tcW w:w="941" w:type="pct"/>
          </w:tcPr>
          <w:p w14:paraId="1A2FE9EA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5110(50)</w:t>
            </w:r>
          </w:p>
        </w:tc>
        <w:tc>
          <w:tcPr>
            <w:tcW w:w="930" w:type="pct"/>
          </w:tcPr>
          <w:p w14:paraId="3B2D7DA4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36(15)</w:t>
            </w:r>
          </w:p>
        </w:tc>
      </w:tr>
      <w:tr w14:paraId="48FBA47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</w:tcPr>
          <w:p w14:paraId="31AFCCE5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H(2W)</w:t>
            </w:r>
          </w:p>
        </w:tc>
        <w:tc>
          <w:tcPr>
            <w:tcW w:w="950" w:type="pct"/>
          </w:tcPr>
          <w:p w14:paraId="40543306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3800(110)</w:t>
            </w:r>
          </w:p>
        </w:tc>
        <w:tc>
          <w:tcPr>
            <w:tcW w:w="941" w:type="pct"/>
          </w:tcPr>
          <w:p w14:paraId="7936521B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3090(60)</w:t>
            </w:r>
          </w:p>
        </w:tc>
        <w:tc>
          <w:tcPr>
            <w:tcW w:w="941" w:type="pct"/>
          </w:tcPr>
          <w:p w14:paraId="33F8C959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4510(80)</w:t>
            </w:r>
          </w:p>
        </w:tc>
        <w:tc>
          <w:tcPr>
            <w:tcW w:w="930" w:type="pct"/>
          </w:tcPr>
          <w:p w14:paraId="6A5138C4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100(30)</w:t>
            </w:r>
          </w:p>
        </w:tc>
      </w:tr>
      <w:tr w14:paraId="2E5CD00F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</w:tcPr>
          <w:p w14:paraId="56F28A53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H(3W)</w:t>
            </w:r>
          </w:p>
        </w:tc>
        <w:tc>
          <w:tcPr>
            <w:tcW w:w="950" w:type="pct"/>
          </w:tcPr>
          <w:p w14:paraId="31B16B65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8760(70)</w:t>
            </w:r>
          </w:p>
        </w:tc>
        <w:tc>
          <w:tcPr>
            <w:tcW w:w="941" w:type="pct"/>
          </w:tcPr>
          <w:p w14:paraId="7E71C1FA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3960(60)</w:t>
            </w:r>
          </w:p>
        </w:tc>
        <w:tc>
          <w:tcPr>
            <w:tcW w:w="941" w:type="pct"/>
          </w:tcPr>
          <w:p w14:paraId="6D2B8E2D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5210(50)</w:t>
            </w:r>
          </w:p>
        </w:tc>
        <w:tc>
          <w:tcPr>
            <w:tcW w:w="930" w:type="pct"/>
          </w:tcPr>
          <w:p w14:paraId="3AFA4604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47(17)</w:t>
            </w:r>
          </w:p>
        </w:tc>
      </w:tr>
      <w:tr w14:paraId="62A0B53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239" w:type="pct"/>
          </w:tcPr>
          <w:p w14:paraId="6544550B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H(4W)</w:t>
            </w:r>
          </w:p>
        </w:tc>
        <w:tc>
          <w:tcPr>
            <w:tcW w:w="950" w:type="pct"/>
          </w:tcPr>
          <w:p w14:paraId="097F7140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9550(110)</w:t>
            </w:r>
          </w:p>
        </w:tc>
        <w:tc>
          <w:tcPr>
            <w:tcW w:w="941" w:type="pct"/>
          </w:tcPr>
          <w:p w14:paraId="79284717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3900(70)</w:t>
            </w:r>
          </w:p>
        </w:tc>
        <w:tc>
          <w:tcPr>
            <w:tcW w:w="941" w:type="pct"/>
          </w:tcPr>
          <w:p w14:paraId="193C28F5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6530(40)</w:t>
            </w:r>
          </w:p>
        </w:tc>
        <w:tc>
          <w:tcPr>
            <w:tcW w:w="930" w:type="pct"/>
          </w:tcPr>
          <w:p w14:paraId="33FBEC30">
            <w:pPr>
              <w:spacing w:line="320" w:lineRule="exact"/>
              <w:jc w:val="both"/>
              <w:rPr>
                <w:rFonts w:asciiTheme="minorHAnsi" w:hAnsiTheme="minorHAnsi" w:cstheme="minorBidi"/>
                <w:kern w:val="2"/>
              </w:rPr>
            </w:pPr>
            <w:r>
              <w:rPr>
                <w:rFonts w:asciiTheme="minorHAnsi" w:hAnsiTheme="minorHAnsi" w:cstheme="minorBidi"/>
                <w:kern w:val="2"/>
              </w:rPr>
              <w:t>70(20)</w:t>
            </w:r>
          </w:p>
        </w:tc>
      </w:tr>
    </w:tbl>
    <w:p w14:paraId="7F36108E">
      <w:pPr>
        <w:spacing w:line="320" w:lineRule="exact"/>
      </w:pPr>
      <w:r>
        <w:rPr>
          <w:rStyle w:val="7"/>
        </w:rPr>
        <w:t>Notes:</w:t>
      </w:r>
      <w:r>
        <w:br w:type="textWrapping"/>
      </w:r>
      <w:r>
        <w:t>1. Hydrogen coordinates are given in units of ×10⁴.</w:t>
      </w:r>
    </w:p>
    <w:p w14:paraId="62250DE6">
      <w:pPr>
        <w:spacing w:line="320" w:lineRule="exact"/>
      </w:pPr>
      <w:r>
        <w:t>2. U(eq) denotes the equivalent isotropic displacement parameter, defined as one third of the trace of the orthogonalized U</w:t>
      </w:r>
      <w:r>
        <w:rPr>
          <w:vertAlign w:val="subscript"/>
        </w:rPr>
        <w:t>ij</w:t>
      </w:r>
      <w:r>
        <w:t xml:space="preserve"> tensor, in units of Å² × 10</w:t>
      </w:r>
      <w:r>
        <w:rPr>
          <w:vertAlign w:val="superscript"/>
        </w:rPr>
        <w:t>-</w:t>
      </w:r>
      <w:r>
        <w:t>³.</w:t>
      </w:r>
    </w:p>
    <w:p w14:paraId="369A458E">
      <w:pPr>
        <w:spacing w:line="320" w:lineRule="exact"/>
      </w:pPr>
      <w:r>
        <w:t>3. Values in parentheses are estimated standard deviations (e.s.d.’s) in the last significant digits.</w:t>
      </w:r>
      <w:r>
        <w:br w:type="page"/>
      </w:r>
    </w:p>
    <w:p w14:paraId="45E1F820">
      <w:pPr>
        <w:spacing w:after="120" w:line="276" w:lineRule="auto"/>
        <w:jc w:val="both"/>
        <w:rPr>
          <w:b/>
          <w:bCs/>
        </w:rPr>
      </w:pPr>
      <w:r>
        <w:rPr>
          <w:b/>
          <w:bCs/>
        </w:rPr>
        <w:t>Table S7. IC₅₀ Values of GACC in Various Human Cancer Cell Lines Demonstrating Broad-Spectrum Anticancer Activity</w:t>
      </w:r>
    </w:p>
    <w:tbl>
      <w:tblPr>
        <w:tblStyle w:val="8"/>
        <w:tblW w:w="3511" w:type="pct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06"/>
        <w:gridCol w:w="1561"/>
        <w:gridCol w:w="1555"/>
      </w:tblGrid>
      <w:tr w14:paraId="04B05FF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61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091E783C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Cancer</w:t>
            </w:r>
          </w:p>
        </w:tc>
        <w:tc>
          <w:tcPr>
            <w:tcW w:w="1197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0F74CA4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Cell Line</w:t>
            </w:r>
          </w:p>
        </w:tc>
        <w:tc>
          <w:tcPr>
            <w:tcW w:w="1192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5A442E48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IC</w:t>
            </w:r>
            <w:r>
              <w:rPr>
                <w:rFonts w:eastAsia="PMingLiU" w:asciiTheme="minorHAnsi" w:hAnsiTheme="minorHAnsi" w:cstheme="minorBidi"/>
                <w:b/>
                <w:bCs/>
                <w:color w:val="000000" w:themeColor="text1"/>
                <w:kern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50</w:t>
            </w:r>
          </w:p>
        </w:tc>
      </w:tr>
      <w:tr w14:paraId="22298E4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611" w:type="pct"/>
            <w:tcBorders>
              <w:top w:val="single" w:color="auto" w:sz="4" w:space="0"/>
            </w:tcBorders>
            <w:vAlign w:val="center"/>
          </w:tcPr>
          <w:p w14:paraId="7D5F52F6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Human Glioblastoma</w:t>
            </w:r>
          </w:p>
        </w:tc>
        <w:tc>
          <w:tcPr>
            <w:tcW w:w="1197" w:type="pct"/>
            <w:tcBorders>
              <w:top w:val="single" w:color="auto" w:sz="4" w:space="0"/>
            </w:tcBorders>
            <w:vAlign w:val="center"/>
          </w:tcPr>
          <w:p w14:paraId="4CFE9057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U87</w:t>
            </w:r>
          </w:p>
        </w:tc>
        <w:tc>
          <w:tcPr>
            <w:tcW w:w="1192" w:type="pct"/>
            <w:tcBorders>
              <w:top w:val="single" w:color="auto" w:sz="4" w:space="0"/>
            </w:tcBorders>
            <w:vAlign w:val="center"/>
          </w:tcPr>
          <w:p w14:paraId="5CF445E0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  <w:t>42 µM</w:t>
            </w:r>
          </w:p>
        </w:tc>
      </w:tr>
      <w:tr w14:paraId="3CF7988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611" w:type="pct"/>
            <w:vAlign w:val="center"/>
          </w:tcPr>
          <w:p w14:paraId="2F43DC7C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Lung Cancer</w:t>
            </w:r>
          </w:p>
        </w:tc>
        <w:tc>
          <w:tcPr>
            <w:tcW w:w="1197" w:type="pct"/>
            <w:vAlign w:val="center"/>
          </w:tcPr>
          <w:p w14:paraId="596E5EB5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H226</w:t>
            </w:r>
          </w:p>
        </w:tc>
        <w:tc>
          <w:tcPr>
            <w:tcW w:w="1192" w:type="pct"/>
            <w:vAlign w:val="center"/>
          </w:tcPr>
          <w:p w14:paraId="7A34218A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  <w:t>44.5 µM</w:t>
            </w:r>
          </w:p>
        </w:tc>
      </w:tr>
      <w:tr w14:paraId="3283ABE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611" w:type="pct"/>
            <w:vAlign w:val="center"/>
          </w:tcPr>
          <w:p w14:paraId="01A35461">
            <w:pPr>
              <w:spacing w:line="320" w:lineRule="exact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Chronic Myelogenous Leukemia</w:t>
            </w:r>
          </w:p>
        </w:tc>
        <w:tc>
          <w:tcPr>
            <w:tcW w:w="1197" w:type="pct"/>
            <w:vAlign w:val="center"/>
          </w:tcPr>
          <w:p w14:paraId="71E8BED7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K562</w:t>
            </w:r>
          </w:p>
        </w:tc>
        <w:tc>
          <w:tcPr>
            <w:tcW w:w="1192" w:type="pct"/>
            <w:vAlign w:val="center"/>
          </w:tcPr>
          <w:p w14:paraId="08EE2164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  <w:t>54.5 µM</w:t>
            </w:r>
          </w:p>
        </w:tc>
      </w:tr>
      <w:tr w14:paraId="59913AD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611" w:type="pct"/>
            <w:vAlign w:val="center"/>
          </w:tcPr>
          <w:p w14:paraId="0066AE10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Cervical Cancer</w:t>
            </w:r>
          </w:p>
        </w:tc>
        <w:tc>
          <w:tcPr>
            <w:tcW w:w="1197" w:type="pct"/>
            <w:vAlign w:val="center"/>
          </w:tcPr>
          <w:p w14:paraId="7E3059ED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HeLa</w:t>
            </w:r>
          </w:p>
        </w:tc>
        <w:tc>
          <w:tcPr>
            <w:tcW w:w="1192" w:type="pct"/>
            <w:vAlign w:val="center"/>
          </w:tcPr>
          <w:p w14:paraId="1FF6C932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  <w:t>73.7 µM</w:t>
            </w:r>
          </w:p>
        </w:tc>
      </w:tr>
      <w:tr w14:paraId="268D034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611" w:type="pct"/>
            <w:vAlign w:val="center"/>
          </w:tcPr>
          <w:p w14:paraId="338AFC02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Hypopharyngeal Carcinoma</w:t>
            </w:r>
          </w:p>
        </w:tc>
        <w:tc>
          <w:tcPr>
            <w:tcW w:w="1197" w:type="pct"/>
            <w:vAlign w:val="center"/>
          </w:tcPr>
          <w:p w14:paraId="75F2B183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FaDu</w:t>
            </w:r>
          </w:p>
        </w:tc>
        <w:tc>
          <w:tcPr>
            <w:tcW w:w="1192" w:type="pct"/>
            <w:vAlign w:val="center"/>
          </w:tcPr>
          <w:p w14:paraId="7A90F828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  <w:t>74.6 µM</w:t>
            </w:r>
          </w:p>
        </w:tc>
      </w:tr>
      <w:tr w14:paraId="7B1B167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2611" w:type="pct"/>
            <w:vAlign w:val="center"/>
          </w:tcPr>
          <w:p w14:paraId="0AC29DAC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Human Malignant Melanoma</w:t>
            </w:r>
          </w:p>
        </w:tc>
        <w:tc>
          <w:tcPr>
            <w:tcW w:w="1197" w:type="pct"/>
            <w:vAlign w:val="center"/>
          </w:tcPr>
          <w:p w14:paraId="672786C8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24"/>
                <w14:textFill>
                  <w14:solidFill>
                    <w14:schemeClr w14:val="tx1"/>
                  </w14:solidFill>
                </w14:textFill>
              </w:rPr>
              <w:t>A375</w:t>
            </w:r>
          </w:p>
        </w:tc>
        <w:tc>
          <w:tcPr>
            <w:tcW w:w="1192" w:type="pct"/>
            <w:vAlign w:val="center"/>
          </w:tcPr>
          <w:p w14:paraId="726A8271">
            <w:pPr>
              <w:spacing w:line="320" w:lineRule="exact"/>
              <w:jc w:val="both"/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PMingLiU" w:asciiTheme="minorHAnsi" w:hAnsiTheme="minorHAnsi" w:cstheme="minorBidi"/>
                <w:color w:val="000000" w:themeColor="text1"/>
                <w:kern w:val="0"/>
                <w14:textFill>
                  <w14:solidFill>
                    <w14:schemeClr w14:val="tx1"/>
                  </w14:solidFill>
                </w14:textFill>
              </w:rPr>
              <w:t>102 µM</w:t>
            </w:r>
          </w:p>
        </w:tc>
      </w:tr>
    </w:tbl>
    <w:p w14:paraId="1E8D2022">
      <w:pPr>
        <w:spacing w:line="320" w:lineRule="exact"/>
        <w:jc w:val="both"/>
        <w:rPr>
          <w:rFonts w:eastAsia="宋体"/>
          <w:lang w:eastAsia="zh-CN"/>
        </w:rPr>
      </w:pPr>
      <w:r>
        <w:rPr>
          <w:rFonts w:eastAsia="宋体"/>
          <w:b/>
          <w:lang w:eastAsia="zh-CN"/>
        </w:rPr>
        <w:t>Note:</w:t>
      </w:r>
      <w:r>
        <w:rPr>
          <w:rFonts w:hint="eastAsia" w:eastAsia="宋体"/>
          <w:lang w:eastAsia="zh-CN"/>
        </w:rPr>
        <w:t xml:space="preserve"> IC</w:t>
      </w:r>
      <w:r>
        <w:rPr>
          <w:rFonts w:eastAsia="宋体"/>
          <w:vertAlign w:val="subscript"/>
          <w:lang w:eastAsia="zh-CN"/>
        </w:rPr>
        <w:t>50</w:t>
      </w:r>
      <w:r>
        <w:rPr>
          <w:rFonts w:hint="eastAsia" w:eastAsia="宋体"/>
          <w:lang w:eastAsia="zh-CN"/>
        </w:rPr>
        <w:t xml:space="preserve">, </w:t>
      </w:r>
      <w:r>
        <w:rPr>
          <w:rFonts w:eastAsia="宋体"/>
          <w:lang w:eastAsia="zh-CN"/>
        </w:rPr>
        <w:t>half-maximal inhibitory concentration.</w:t>
      </w:r>
    </w:p>
    <w:p w14:paraId="67B32A5D">
      <w:r>
        <w:br w:type="page"/>
      </w:r>
    </w:p>
    <w:p w14:paraId="651F8E0F">
      <w:pPr>
        <w:spacing w:line="320" w:lineRule="exact"/>
        <w:jc w:val="both"/>
        <w:outlineLvl w:val="1"/>
        <w:rPr>
          <w:rFonts w:eastAsia="PMingLiU"/>
          <w:b/>
          <w:bCs/>
          <w:lang w:val="en-US"/>
        </w:rPr>
      </w:pPr>
      <w:r>
        <w:rPr>
          <w:rFonts w:eastAsia="PMingLiU"/>
          <w:b/>
          <w:bCs/>
          <w:lang w:val="en-US"/>
        </w:rPr>
        <w:t>Table S8. Exploratory antibacterial and antifungal activity of GACC against selected WHO-priority pathogens (SGS Taiwan).</w:t>
      </w:r>
      <w:r>
        <w:rPr>
          <w:rFonts w:eastAsia="宋体"/>
          <w:b/>
          <w:bCs/>
          <w:lang w:val="en-US" w:eastAsia="zh-CN"/>
        </w:rPr>
        <w:t xml:space="preserve"> </w:t>
      </w:r>
    </w:p>
    <w:tbl>
      <w:tblPr>
        <w:tblStyle w:val="8"/>
        <w:tblW w:w="0" w:type="auto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5"/>
        <w:gridCol w:w="1826"/>
        <w:gridCol w:w="1169"/>
        <w:gridCol w:w="2001"/>
        <w:gridCol w:w="2057"/>
      </w:tblGrid>
      <w:tr w14:paraId="0C6F593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0699CEC3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  <w:t>Organism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559DC53D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  <w:t>Original inoculum (CFU/mL)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20A48A0E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  <w:t>Contact time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63510D35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  <w:t>Counts at contact time (CFU/mL)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3774871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b/>
                <w:bCs/>
                <w:kern w:val="2"/>
                <w:lang w:val="en-US"/>
              </w:rPr>
              <w:t>Antimicrobial activity R (%)</w:t>
            </w:r>
          </w:p>
        </w:tc>
      </w:tr>
      <w:tr w14:paraId="67FBDA5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</w:tcBorders>
            <w:vAlign w:val="center"/>
          </w:tcPr>
          <w:p w14:paraId="26BE8759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i/>
                <w:iCs/>
                <w:kern w:val="2"/>
                <w:lang w:val="en-US"/>
              </w:rPr>
              <w:t>Staphylococcus aureus</w:t>
            </w: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 xml:space="preserve"> (MRSA)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</w:tcBorders>
            <w:vAlign w:val="center"/>
          </w:tcPr>
          <w:p w14:paraId="765B182D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8.5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tcBorders>
              <w:top w:val="single" w:color="auto" w:sz="4" w:space="0"/>
            </w:tcBorders>
            <w:vAlign w:val="center"/>
          </w:tcPr>
          <w:p w14:paraId="1FBB750E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 h</w:t>
            </w:r>
          </w:p>
        </w:tc>
        <w:tc>
          <w:tcPr>
            <w:tcW w:w="0" w:type="auto"/>
            <w:tcBorders>
              <w:top w:val="single" w:color="auto" w:sz="4" w:space="0"/>
            </w:tcBorders>
            <w:vAlign w:val="center"/>
          </w:tcPr>
          <w:p w14:paraId="7586538E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7.7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tcBorders>
              <w:top w:val="single" w:color="auto" w:sz="4" w:space="0"/>
            </w:tcBorders>
            <w:vAlign w:val="center"/>
          </w:tcPr>
          <w:p w14:paraId="3D4054A4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9.4</w:t>
            </w:r>
          </w:p>
        </w:tc>
      </w:tr>
      <w:tr w14:paraId="23345C2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43F40F60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04FEB291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3A150C3D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24 h</w:t>
            </w:r>
          </w:p>
        </w:tc>
        <w:tc>
          <w:tcPr>
            <w:tcW w:w="0" w:type="auto"/>
            <w:vAlign w:val="center"/>
          </w:tcPr>
          <w:p w14:paraId="5483566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1.8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4D9689E1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97.9</w:t>
            </w:r>
          </w:p>
        </w:tc>
      </w:tr>
      <w:tr w14:paraId="7DB81BE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2ABEF3DE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7A9E66FC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29E1BB7F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48 h</w:t>
            </w:r>
          </w:p>
        </w:tc>
        <w:tc>
          <w:tcPr>
            <w:tcW w:w="0" w:type="auto"/>
            <w:vAlign w:val="center"/>
          </w:tcPr>
          <w:p w14:paraId="53E2CAFB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9.0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3E91E2D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99.9</w:t>
            </w:r>
          </w:p>
        </w:tc>
      </w:tr>
      <w:tr w14:paraId="5FE831C5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vAlign w:val="center"/>
          </w:tcPr>
          <w:p w14:paraId="1B139044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i/>
                <w:iCs/>
                <w:kern w:val="2"/>
                <w:lang w:val="en-US"/>
              </w:rPr>
              <w:t>Candida albicans</w:t>
            </w:r>
          </w:p>
        </w:tc>
        <w:tc>
          <w:tcPr>
            <w:tcW w:w="0" w:type="auto"/>
            <w:vMerge w:val="restart"/>
            <w:vAlign w:val="center"/>
          </w:tcPr>
          <w:p w14:paraId="5892334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1.3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7BC61BEE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 h</w:t>
            </w:r>
          </w:p>
        </w:tc>
        <w:tc>
          <w:tcPr>
            <w:tcW w:w="0" w:type="auto"/>
            <w:vAlign w:val="center"/>
          </w:tcPr>
          <w:p w14:paraId="7A2A844D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1.3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4C226E24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&lt;1</w:t>
            </w:r>
          </w:p>
        </w:tc>
      </w:tr>
      <w:tr w14:paraId="452E9CB5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69CA3279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0CFF38FB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3639B3AD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24 h</w:t>
            </w:r>
          </w:p>
        </w:tc>
        <w:tc>
          <w:tcPr>
            <w:tcW w:w="0" w:type="auto"/>
            <w:vAlign w:val="center"/>
          </w:tcPr>
          <w:p w14:paraId="5EAEBA0E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4.4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70248C7D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66.2</w:t>
            </w:r>
          </w:p>
        </w:tc>
      </w:tr>
      <w:tr w14:paraId="2309B3F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283EAAFD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07328095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377B9159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48 h</w:t>
            </w:r>
          </w:p>
        </w:tc>
        <w:tc>
          <w:tcPr>
            <w:tcW w:w="0" w:type="auto"/>
            <w:vAlign w:val="center"/>
          </w:tcPr>
          <w:p w14:paraId="1A83C62C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9.5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4C563A5C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92.7</w:t>
            </w:r>
          </w:p>
        </w:tc>
      </w:tr>
      <w:tr w14:paraId="5E8028E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vAlign w:val="center"/>
          </w:tcPr>
          <w:p w14:paraId="464ABF36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i/>
                <w:iCs/>
                <w:kern w:val="2"/>
                <w:lang w:val="en-US"/>
              </w:rPr>
              <w:t>Candida auris</w:t>
            </w:r>
          </w:p>
        </w:tc>
        <w:tc>
          <w:tcPr>
            <w:tcW w:w="0" w:type="auto"/>
            <w:vMerge w:val="restart"/>
            <w:vAlign w:val="center"/>
          </w:tcPr>
          <w:p w14:paraId="3C964D5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6.6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6D21CA76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 h</w:t>
            </w:r>
          </w:p>
        </w:tc>
        <w:tc>
          <w:tcPr>
            <w:tcW w:w="0" w:type="auto"/>
            <w:vAlign w:val="center"/>
          </w:tcPr>
          <w:p w14:paraId="4460F220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4.2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563586C5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36.4</w:t>
            </w:r>
          </w:p>
        </w:tc>
      </w:tr>
      <w:tr w14:paraId="3B00502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75AE10FD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31CEA968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6045B90C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24 h</w:t>
            </w:r>
          </w:p>
        </w:tc>
        <w:tc>
          <w:tcPr>
            <w:tcW w:w="0" w:type="auto"/>
            <w:vAlign w:val="center"/>
          </w:tcPr>
          <w:p w14:paraId="6DD8D906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2.6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330AA8F3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60.6</w:t>
            </w:r>
          </w:p>
        </w:tc>
      </w:tr>
      <w:tr w14:paraId="16A95F85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1610259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047ECC8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0F791324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48 h</w:t>
            </w:r>
          </w:p>
        </w:tc>
        <w:tc>
          <w:tcPr>
            <w:tcW w:w="0" w:type="auto"/>
            <w:vAlign w:val="center"/>
          </w:tcPr>
          <w:p w14:paraId="32DFF31E">
            <w:pPr>
              <w:spacing w:line="320" w:lineRule="exact"/>
              <w:jc w:val="center"/>
              <w:rPr>
                <w:rFonts w:eastAsia="宋体" w:asciiTheme="minorHAnsi" w:hAnsiTheme="minorHAnsi" w:cstheme="minorBidi"/>
                <w:kern w:val="2"/>
                <w:lang w:val="en-US" w:eastAsia="zh-CN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7.8 × 10</w:t>
            </w:r>
            <w:r>
              <w:rPr>
                <w:rFonts w:hint="eastAsia" w:eastAsia="宋体" w:asciiTheme="minorHAnsi" w:hAnsiTheme="minorHAnsi" w:cstheme="minorBidi"/>
                <w:kern w:val="2"/>
                <w:vertAlign w:val="superscript"/>
                <w:lang w:val="en-US" w:eastAsia="zh-CN"/>
              </w:rPr>
              <w:t>4</w:t>
            </w:r>
          </w:p>
        </w:tc>
        <w:tc>
          <w:tcPr>
            <w:tcW w:w="0" w:type="auto"/>
            <w:vAlign w:val="center"/>
          </w:tcPr>
          <w:p w14:paraId="547E91BA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88.2</w:t>
            </w:r>
          </w:p>
        </w:tc>
      </w:tr>
      <w:tr w14:paraId="2DF79A7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vAlign w:val="center"/>
          </w:tcPr>
          <w:p w14:paraId="7AC227B6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i/>
                <w:iCs/>
                <w:kern w:val="2"/>
                <w:lang w:val="en-US"/>
              </w:rPr>
              <w:t>Pseudomonas aeruginosa</w:t>
            </w:r>
          </w:p>
        </w:tc>
        <w:tc>
          <w:tcPr>
            <w:tcW w:w="0" w:type="auto"/>
            <w:vMerge w:val="restart"/>
            <w:vAlign w:val="center"/>
          </w:tcPr>
          <w:p w14:paraId="057A6C61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3.6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449C7112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 h</w:t>
            </w:r>
          </w:p>
        </w:tc>
        <w:tc>
          <w:tcPr>
            <w:tcW w:w="0" w:type="auto"/>
            <w:vAlign w:val="center"/>
          </w:tcPr>
          <w:p w14:paraId="40AAA358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1.3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6D493EB5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99.6</w:t>
            </w:r>
          </w:p>
        </w:tc>
      </w:tr>
      <w:tr w14:paraId="43CE653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0EEEAD9E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758731B4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5E8AC624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24 h</w:t>
            </w:r>
          </w:p>
        </w:tc>
        <w:tc>
          <w:tcPr>
            <w:tcW w:w="0" w:type="auto"/>
            <w:vAlign w:val="center"/>
          </w:tcPr>
          <w:p w14:paraId="0CE047BF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&lt;1</w:t>
            </w:r>
          </w:p>
        </w:tc>
        <w:tc>
          <w:tcPr>
            <w:tcW w:w="0" w:type="auto"/>
            <w:vAlign w:val="center"/>
          </w:tcPr>
          <w:p w14:paraId="132D16BF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&gt;99.9</w:t>
            </w:r>
          </w:p>
        </w:tc>
      </w:tr>
      <w:tr w14:paraId="5189A7D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600EDCC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3538B5A8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5B9DAF11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48 h</w:t>
            </w:r>
          </w:p>
        </w:tc>
        <w:tc>
          <w:tcPr>
            <w:tcW w:w="0" w:type="auto"/>
            <w:vAlign w:val="center"/>
          </w:tcPr>
          <w:p w14:paraId="4B52127D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&lt;1</w:t>
            </w:r>
          </w:p>
        </w:tc>
        <w:tc>
          <w:tcPr>
            <w:tcW w:w="0" w:type="auto"/>
            <w:vAlign w:val="center"/>
          </w:tcPr>
          <w:p w14:paraId="269C3428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&gt;99.9</w:t>
            </w:r>
          </w:p>
        </w:tc>
      </w:tr>
      <w:tr w14:paraId="6078F33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vAlign w:val="center"/>
          </w:tcPr>
          <w:p w14:paraId="28F8BD9F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i/>
                <w:iCs/>
                <w:kern w:val="2"/>
                <w:lang w:val="en-US"/>
              </w:rPr>
              <w:t>Klebsiella pneumoniae</w:t>
            </w:r>
          </w:p>
        </w:tc>
        <w:tc>
          <w:tcPr>
            <w:tcW w:w="0" w:type="auto"/>
            <w:vMerge w:val="restart"/>
            <w:vAlign w:val="center"/>
          </w:tcPr>
          <w:p w14:paraId="698F406B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4.4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37A749E6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 h</w:t>
            </w:r>
          </w:p>
        </w:tc>
        <w:tc>
          <w:tcPr>
            <w:tcW w:w="0" w:type="auto"/>
            <w:vAlign w:val="center"/>
          </w:tcPr>
          <w:p w14:paraId="27CACE2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3.1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2A53809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29.5</w:t>
            </w:r>
          </w:p>
        </w:tc>
      </w:tr>
      <w:tr w14:paraId="65B5F40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1B16DD45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57336F90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6B4BDCCC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24 h</w:t>
            </w:r>
          </w:p>
        </w:tc>
        <w:tc>
          <w:tcPr>
            <w:tcW w:w="0" w:type="auto"/>
            <w:vAlign w:val="center"/>
          </w:tcPr>
          <w:p w14:paraId="5862771E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8.5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5480A139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80.7</w:t>
            </w:r>
          </w:p>
        </w:tc>
      </w:tr>
      <w:tr w14:paraId="6099351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1060899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628B2ACA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0FF5656C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48 h</w:t>
            </w:r>
          </w:p>
        </w:tc>
        <w:tc>
          <w:tcPr>
            <w:tcW w:w="0" w:type="auto"/>
            <w:vAlign w:val="center"/>
          </w:tcPr>
          <w:p w14:paraId="54409223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9.9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4C332181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97.8</w:t>
            </w:r>
          </w:p>
        </w:tc>
      </w:tr>
      <w:tr w14:paraId="528EC04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vAlign w:val="center"/>
          </w:tcPr>
          <w:p w14:paraId="7095B9E5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i/>
                <w:iCs/>
                <w:kern w:val="2"/>
                <w:lang w:val="en-US"/>
              </w:rPr>
              <w:t>Escherichia coli</w:t>
            </w:r>
          </w:p>
        </w:tc>
        <w:tc>
          <w:tcPr>
            <w:tcW w:w="0" w:type="auto"/>
            <w:vMerge w:val="restart"/>
            <w:vAlign w:val="center"/>
          </w:tcPr>
          <w:p w14:paraId="3B097589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7.0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74EEDF9C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8 h</w:t>
            </w:r>
          </w:p>
        </w:tc>
        <w:tc>
          <w:tcPr>
            <w:tcW w:w="0" w:type="auto"/>
            <w:vAlign w:val="center"/>
          </w:tcPr>
          <w:p w14:paraId="0B055185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4.8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661519E1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31.4</w:t>
            </w:r>
          </w:p>
        </w:tc>
      </w:tr>
      <w:tr w14:paraId="06CB01A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49734114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65947B93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0C55920B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24 h</w:t>
            </w:r>
          </w:p>
        </w:tc>
        <w:tc>
          <w:tcPr>
            <w:tcW w:w="0" w:type="auto"/>
            <w:vAlign w:val="center"/>
          </w:tcPr>
          <w:p w14:paraId="49D06917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5.9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5B5C80EE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91.6</w:t>
            </w:r>
          </w:p>
        </w:tc>
      </w:tr>
      <w:tr w14:paraId="0D4FBE5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vAlign w:val="center"/>
          </w:tcPr>
          <w:p w14:paraId="350C342C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Merge w:val="continue"/>
            <w:vAlign w:val="center"/>
          </w:tcPr>
          <w:p w14:paraId="303A4C29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</w:p>
        </w:tc>
        <w:tc>
          <w:tcPr>
            <w:tcW w:w="0" w:type="auto"/>
            <w:vAlign w:val="center"/>
          </w:tcPr>
          <w:p w14:paraId="47888202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48 h</w:t>
            </w:r>
          </w:p>
        </w:tc>
        <w:tc>
          <w:tcPr>
            <w:tcW w:w="0" w:type="auto"/>
            <w:vAlign w:val="center"/>
          </w:tcPr>
          <w:p w14:paraId="5AF05AA5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1.4 × 10</w:t>
            </w:r>
            <w:r>
              <w:rPr>
                <w:rFonts w:eastAsia="PMingLiU" w:asciiTheme="minorHAnsi" w:hAnsiTheme="minorHAnsi" w:cstheme="minorBidi"/>
                <w:kern w:val="2"/>
                <w:vertAlign w:val="superscript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51D25690">
            <w:pPr>
              <w:spacing w:line="320" w:lineRule="exact"/>
              <w:jc w:val="center"/>
              <w:rPr>
                <w:rFonts w:eastAsia="PMingLiU" w:asciiTheme="minorHAnsi" w:hAnsiTheme="minorHAnsi" w:cstheme="minorBidi"/>
                <w:kern w:val="2"/>
                <w:lang w:val="en-US"/>
              </w:rPr>
            </w:pPr>
            <w:r>
              <w:rPr>
                <w:rFonts w:eastAsia="PMingLiU" w:asciiTheme="minorHAnsi" w:hAnsiTheme="minorHAnsi" w:cstheme="minorBidi"/>
                <w:kern w:val="2"/>
                <w:lang w:val="en-US"/>
              </w:rPr>
              <w:t>98.0</w:t>
            </w:r>
          </w:p>
        </w:tc>
      </w:tr>
    </w:tbl>
    <w:p w14:paraId="4746A66A">
      <w:pPr>
        <w:spacing w:line="320" w:lineRule="exact"/>
        <w:jc w:val="both"/>
        <w:rPr>
          <w:rFonts w:ascii="Minion Pro" w:hAnsi="Minion Pro" w:eastAsia="PMingLiU" w:cs="Minion Pro"/>
          <w:lang w:val="en-US"/>
        </w:rPr>
      </w:pPr>
      <w:r>
        <w:rPr>
          <w:rFonts w:eastAsia="宋体"/>
          <w:b/>
          <w:lang w:eastAsia="zh-CN"/>
        </w:rPr>
        <w:t>Note:</w:t>
      </w:r>
      <w:r>
        <w:rPr>
          <w:rFonts w:hint="eastAsia" w:eastAsia="宋体"/>
          <w:lang w:eastAsia="zh-CN"/>
        </w:rPr>
        <w:t xml:space="preserve"> </w:t>
      </w:r>
      <w:r>
        <w:rPr>
          <w:rFonts w:ascii="Minion Pro" w:hAnsi="Minion Pro" w:eastAsia="PMingLiU" w:cs="Minion Pro"/>
          <w:lang w:val="en-US"/>
        </w:rPr>
        <w:t xml:space="preserve">Antimicrobial susceptibility testing was performed by SGS Taiwan using standardized broth microdilution assays against methicillin-resistant Staphylococcus aureus (MRSA), Pseudomonas aeruginosa, Klebsiella pneumoniae, Escherichia coli, Candida albicans, and Candida auris. The figure shows colony-forming unit (CFU) counts and calculated inhibition rates (R%) at the indicated time points. Under the tested conditions, GACC produced high levels of growth inhibition at 48 h for MRSA, </w:t>
      </w:r>
      <w:r>
        <w:rPr>
          <w:rFonts w:ascii="Minion Pro" w:hAnsi="Minion Pro" w:eastAsia="PMingLiU" w:cs="Minion Pro"/>
          <w:i/>
          <w:iCs/>
          <w:lang w:val="en-US"/>
        </w:rPr>
        <w:t>P. aeruginosa</w:t>
      </w:r>
      <w:r>
        <w:rPr>
          <w:rFonts w:ascii="Minion Pro" w:hAnsi="Minion Pro" w:eastAsia="PMingLiU" w:cs="Minion Pro"/>
          <w:lang w:val="en-US"/>
        </w:rPr>
        <w:t xml:space="preserve">, </w:t>
      </w:r>
      <w:r>
        <w:rPr>
          <w:rFonts w:ascii="Minion Pro" w:hAnsi="Minion Pro" w:eastAsia="PMingLiU" w:cs="Minion Pro"/>
          <w:i/>
          <w:iCs/>
          <w:lang w:val="en-US"/>
        </w:rPr>
        <w:t>K. pneumoniae</w:t>
      </w:r>
      <w:r>
        <w:rPr>
          <w:rFonts w:ascii="Minion Pro" w:hAnsi="Minion Pro" w:eastAsia="PMingLiU" w:cs="Minion Pro"/>
          <w:lang w:val="en-US"/>
        </w:rPr>
        <w:t xml:space="preserve">, and </w:t>
      </w:r>
      <w:r>
        <w:rPr>
          <w:rFonts w:ascii="Minion Pro" w:hAnsi="Minion Pro" w:eastAsia="PMingLiU" w:cs="Minion Pro"/>
          <w:i/>
          <w:iCs/>
          <w:lang w:val="en-US"/>
        </w:rPr>
        <w:t>E. coli</w:t>
      </w:r>
      <w:r>
        <w:rPr>
          <w:rFonts w:ascii="Minion Pro" w:hAnsi="Minion Pro" w:eastAsia="PMingLiU" w:cs="Minion Pro"/>
          <w:lang w:val="en-US"/>
        </w:rPr>
        <w:t xml:space="preserve"> (≥97%), and partial inhibition for </w:t>
      </w:r>
      <w:r>
        <w:rPr>
          <w:rFonts w:ascii="Minion Pro" w:hAnsi="Minion Pro" w:eastAsia="PMingLiU" w:cs="Minion Pro"/>
          <w:i/>
          <w:iCs/>
          <w:lang w:val="en-US"/>
        </w:rPr>
        <w:t>C. albicans</w:t>
      </w:r>
      <w:r>
        <w:rPr>
          <w:rFonts w:ascii="Minion Pro" w:hAnsi="Minion Pro" w:eastAsia="PMingLiU" w:cs="Minion Pro"/>
          <w:lang w:val="en-US"/>
        </w:rPr>
        <w:t xml:space="preserve"> (92.7%) and </w:t>
      </w:r>
      <w:r>
        <w:rPr>
          <w:rFonts w:ascii="Minion Pro" w:hAnsi="Minion Pro" w:eastAsia="PMingLiU" w:cs="Minion Pro"/>
          <w:i/>
          <w:iCs/>
          <w:lang w:val="en-US"/>
        </w:rPr>
        <w:t>C. auris</w:t>
      </w:r>
      <w:r>
        <w:rPr>
          <w:rFonts w:ascii="Minion Pro" w:hAnsi="Minion Pro" w:eastAsia="PMingLiU" w:cs="Minion Pro"/>
          <w:lang w:val="en-US"/>
        </w:rPr>
        <w:t xml:space="preserve"> (88.2%). These data indicate antimicrobial activity </w:t>
      </w:r>
      <w:r>
        <w:rPr>
          <w:rFonts w:ascii="Minion Pro" w:hAnsi="Minion Pro" w:eastAsia="PMingLiU" w:cs="Minion Pro"/>
          <w:i/>
          <w:iCs/>
          <w:lang w:val="en-US"/>
        </w:rPr>
        <w:t>in vitro</w:t>
      </w:r>
      <w:r>
        <w:rPr>
          <w:rFonts w:ascii="Minion Pro" w:hAnsi="Minion Pro" w:eastAsia="PMingLiU" w:cs="Minion Pro"/>
          <w:lang w:val="en-US"/>
        </w:rPr>
        <w:t>; mechanistic basis, selectivity, and therapeutic relevance were not evaluated in this study and warrant further investigation.</w:t>
      </w:r>
    </w:p>
    <w:p w14:paraId="7A09CD8D">
      <w:pPr>
        <w:rPr>
          <w:b/>
          <w:lang w:val="en-US"/>
        </w:rPr>
      </w:pPr>
    </w:p>
    <w:p w14:paraId="3E9EAD97"/>
    <w:p w14:paraId="3ABD4608"/>
    <w:sectPr>
      <w:pgSz w:w="11906" w:h="16838"/>
      <w:pgMar w:top="1417" w:right="1417" w:bottom="1134" w:left="1417" w:header="454" w:footer="794" w:gutter="0"/>
      <w:pgBorders w:offsetFrom="page">
        <w:bottom w:val="single" w:color="auto" w:sz="4" w:space="24"/>
      </w:pgBorders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PMingLiU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Minion Pro">
    <w:panose1 w:val="02040503050201020203"/>
    <w:charset w:val="00"/>
    <w:family w:val="roman"/>
    <w:pitch w:val="default"/>
    <w:sig w:usb0="E00002AF" w:usb1="5000205B" w:usb2="00000000" w:usb3="00000000" w:csb0="0000009F" w:csb1="00000000"/>
  </w:font>
  <w:font w:name="MS Mincho">
    <w:panose1 w:val="02020609040205080304"/>
    <w:charset w:val="80"/>
    <w:family w:val="modern"/>
    <w:pitch w:val="default"/>
    <w:sig w:usb0="E00002FF" w:usb1="6AC7FDFB" w:usb2="08000012" w:usb3="00000000" w:csb0="4002009F" w:csb1="DFD7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Gadugi">
    <w:panose1 w:val="020B0502040204020203"/>
    <w:charset w:val="00"/>
    <w:family w:val="swiss"/>
    <w:pitch w:val="default"/>
    <w:sig w:usb0="80000003" w:usb1="02000000" w:usb2="00003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D62464"/>
    <w:multiLevelType w:val="multilevel"/>
    <w:tmpl w:val="0CD62464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5E9424B1"/>
    <w:multiLevelType w:val="multilevel"/>
    <w:tmpl w:val="5E9424B1"/>
    <w:lvl w:ilvl="0" w:tentative="0">
      <w:start w:val="1"/>
      <w:numFmt w:val="decimal"/>
      <w:lvlText w:val="%1."/>
      <w:lvlJc w:val="left"/>
      <w:pPr>
        <w:ind w:left="480" w:hanging="480"/>
      </w:pPr>
    </w:lvl>
    <w:lvl w:ilvl="1" w:tentative="0">
      <w:start w:val="1"/>
      <w:numFmt w:val="ideographTraditional"/>
      <w:lvlText w:val="%2、"/>
      <w:lvlJc w:val="left"/>
      <w:pPr>
        <w:ind w:left="960" w:hanging="480"/>
      </w:pPr>
    </w:lvl>
    <w:lvl w:ilvl="2" w:tentative="0">
      <w:start w:val="1"/>
      <w:numFmt w:val="lowerRoman"/>
      <w:lvlText w:val="%3."/>
      <w:lvlJc w:val="right"/>
      <w:pPr>
        <w:ind w:left="1440" w:hanging="480"/>
      </w:pPr>
    </w:lvl>
    <w:lvl w:ilvl="3" w:tentative="0">
      <w:start w:val="1"/>
      <w:numFmt w:val="decimal"/>
      <w:lvlText w:val="%4."/>
      <w:lvlJc w:val="left"/>
      <w:pPr>
        <w:ind w:left="1920" w:hanging="480"/>
      </w:pPr>
    </w:lvl>
    <w:lvl w:ilvl="4" w:tentative="0">
      <w:start w:val="1"/>
      <w:numFmt w:val="ideographTraditional"/>
      <w:lvlText w:val="%5、"/>
      <w:lvlJc w:val="left"/>
      <w:pPr>
        <w:ind w:left="2400" w:hanging="480"/>
      </w:pPr>
    </w:lvl>
    <w:lvl w:ilvl="5" w:tentative="0">
      <w:start w:val="1"/>
      <w:numFmt w:val="lowerRoman"/>
      <w:lvlText w:val="%6."/>
      <w:lvlJc w:val="right"/>
      <w:pPr>
        <w:ind w:left="2880" w:hanging="480"/>
      </w:pPr>
    </w:lvl>
    <w:lvl w:ilvl="6" w:tentative="0">
      <w:start w:val="1"/>
      <w:numFmt w:val="decimal"/>
      <w:lvlText w:val="%7."/>
      <w:lvlJc w:val="left"/>
      <w:pPr>
        <w:ind w:left="3360" w:hanging="480"/>
      </w:pPr>
    </w:lvl>
    <w:lvl w:ilvl="7" w:tentative="0">
      <w:start w:val="1"/>
      <w:numFmt w:val="ideographTraditional"/>
      <w:lvlText w:val="%8、"/>
      <w:lvlJc w:val="left"/>
      <w:pPr>
        <w:ind w:left="3840" w:hanging="480"/>
      </w:pPr>
    </w:lvl>
    <w:lvl w:ilvl="8" w:tentative="0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F336645"/>
    <w:rsid w:val="5F3366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cs="Times New Roman" w:eastAsiaTheme="minorEastAsia"/>
      <w:sz w:val="24"/>
      <w:szCs w:val="24"/>
      <w:lang w:val="de-DE" w:eastAsia="zh-TW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480" w:after="120"/>
      <w:outlineLvl w:val="0"/>
    </w:pPr>
    <w:rPr>
      <w:b/>
      <w:sz w:val="48"/>
      <w:szCs w:val="48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Emphasis"/>
    <w:basedOn w:val="3"/>
    <w:qFormat/>
    <w:uiPriority w:val="20"/>
    <w:rPr>
      <w:i/>
      <w:iCs/>
    </w:rPr>
  </w:style>
  <w:style w:type="paragraph" w:styleId="6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ascii="PMingLiU" w:hAnsi="PMingLiU" w:eastAsia="PMingLiU" w:cs="PMingLiU"/>
      <w:lang w:val="en-US"/>
    </w:rPr>
  </w:style>
  <w:style w:type="character" w:styleId="7">
    <w:name w:val="Strong"/>
    <w:basedOn w:val="3"/>
    <w:qFormat/>
    <w:uiPriority w:val="22"/>
    <w:rPr>
      <w:b/>
      <w:bCs/>
    </w:rPr>
  </w:style>
  <w:style w:type="table" w:styleId="8">
    <w:name w:val="Table Grid"/>
    <w:basedOn w:val="4"/>
    <w:qFormat/>
    <w:uiPriority w:val="39"/>
    <w:rPr>
      <w:rFonts w:asciiTheme="minorHAnsi" w:hAnsiTheme="minorHAnsi" w:cstheme="minorBidi"/>
      <w:kern w:val="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Office_12.1.0.25180_F1E327BC-269C-435d-A152-05C5408002CA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2026-01-27T09:13:00Z</dcterms:created>
  <dc:creator>TSP030</dc:creator>
  <cp:lastModifiedBy>TSP030</cp:lastModifiedBy>
  <dcterms:modified xsi:type="dcterms:W3CDTF">2026-01-27T09:14:27Z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1033-12.1.0.25180</vt:lpwstr>
  </property>
  <property fmtid="{D5CDD505-2E9C-101B-9397-08002B2CF9AE}" pid="3" name="ICV">
    <vt:lpwstr>DBD32B11E1D449739B69F8D7721352DB_11</vt:lpwstr>
  </property>
  <property fmtid="{D5CDD505-2E9C-101B-9397-08002B2CF9AE}" pid="4" name="KSOTemplateDocerSaveRecord">
    <vt:lpwstr>eyJoZGlkIjoiNGQzNmFmODQ1YWIwOTg1MjhlOTUyYjY3NDNjNjM1MDEifQ==</vt:lpwstr>
  </property>
</Properties>
</file>