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FCD77" w14:textId="35FF507B" w:rsidR="00405919" w:rsidRPr="00405919" w:rsidRDefault="00405919" w:rsidP="00405919">
      <w:pPr>
        <w:pStyle w:val="TSP41tablecaption"/>
        <w:jc w:val="center"/>
        <w:rPr>
          <w:iCs/>
        </w:rPr>
      </w:pPr>
      <w:r w:rsidRPr="00405919">
        <w:rPr>
          <w:b/>
        </w:rPr>
        <w:t>Table S1:</w:t>
      </w:r>
      <w:r w:rsidRPr="00405919">
        <w:t xml:space="preserve"> Summary of studies reporting p-EMT-related genes across various cancer types.</w:t>
      </w:r>
    </w:p>
    <w:tbl>
      <w:tblPr>
        <w:tblW w:w="12960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501"/>
        <w:gridCol w:w="1975"/>
        <w:gridCol w:w="8088"/>
      </w:tblGrid>
      <w:tr w:rsidR="00405919" w14:paraId="056C150D" w14:textId="77777777" w:rsidTr="007119A9">
        <w:trPr>
          <w:jc w:val="center"/>
        </w:trPr>
        <w:tc>
          <w:tcPr>
            <w:tcW w:w="396" w:type="dxa"/>
            <w:vAlign w:val="center"/>
          </w:tcPr>
          <w:p w14:paraId="3EFA0886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/>
                <w:bCs/>
                <w:color w:val="000000" w:themeColor="text1"/>
                <w:szCs w:val="22"/>
              </w:rPr>
              <w:t>No.</w:t>
            </w:r>
          </w:p>
        </w:tc>
        <w:tc>
          <w:tcPr>
            <w:tcW w:w="2501" w:type="dxa"/>
            <w:vAlign w:val="center"/>
          </w:tcPr>
          <w:p w14:paraId="1925E2A9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/>
                <w:bCs/>
                <w:color w:val="000000" w:themeColor="text1"/>
                <w:szCs w:val="22"/>
              </w:rPr>
              <w:t>Citation</w:t>
            </w:r>
          </w:p>
        </w:tc>
        <w:tc>
          <w:tcPr>
            <w:tcW w:w="1975" w:type="dxa"/>
            <w:vAlign w:val="center"/>
          </w:tcPr>
          <w:p w14:paraId="5D752909" w14:textId="25DCFD29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/>
                <w:bCs/>
                <w:color w:val="000000" w:themeColor="text1"/>
                <w:szCs w:val="22"/>
              </w:rPr>
              <w:t>Cancer Types</w:t>
            </w:r>
          </w:p>
        </w:tc>
        <w:tc>
          <w:tcPr>
            <w:tcW w:w="8088" w:type="dxa"/>
            <w:vAlign w:val="center"/>
          </w:tcPr>
          <w:p w14:paraId="72B42E96" w14:textId="1B3B7671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/>
                <w:bCs/>
                <w:color w:val="000000" w:themeColor="text1"/>
                <w:szCs w:val="22"/>
              </w:rPr>
              <w:t>p-EMT Related Genes</w:t>
            </w:r>
          </w:p>
        </w:tc>
      </w:tr>
      <w:tr w:rsidR="00405919" w14:paraId="531F000E" w14:textId="77777777" w:rsidTr="007119A9">
        <w:trPr>
          <w:jc w:val="center"/>
        </w:trPr>
        <w:tc>
          <w:tcPr>
            <w:tcW w:w="396" w:type="dxa"/>
            <w:vAlign w:val="center"/>
          </w:tcPr>
          <w:p w14:paraId="1E703E36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1</w:t>
            </w:r>
          </w:p>
        </w:tc>
        <w:tc>
          <w:tcPr>
            <w:tcW w:w="2501" w:type="dxa"/>
            <w:vAlign w:val="center"/>
          </w:tcPr>
          <w:p w14:paraId="530F50B8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Puram, Sidharth V et al.</w:t>
            </w:r>
            <w:r>
              <w:rPr>
                <w:rFonts w:eastAsia="PMingLiU" w:hint="eastAsia"/>
                <w:color w:val="000000" w:themeColor="text1"/>
                <w:szCs w:val="22"/>
              </w:rPr>
              <w:t xml:space="preserve"> </w:t>
            </w:r>
            <w:r>
              <w:rPr>
                <w:rFonts w:eastAsia="PMingLiU"/>
                <w:color w:val="000000" w:themeColor="text1"/>
                <w:szCs w:val="22"/>
              </w:rPr>
              <w:t>[17]</w:t>
            </w:r>
          </w:p>
        </w:tc>
        <w:tc>
          <w:tcPr>
            <w:tcW w:w="1975" w:type="dxa"/>
            <w:vAlign w:val="center"/>
          </w:tcPr>
          <w:p w14:paraId="0D98780A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Head and neck squamous cell carcinoma (HNSCC)</w:t>
            </w:r>
          </w:p>
        </w:tc>
        <w:tc>
          <w:tcPr>
            <w:tcW w:w="8088" w:type="dxa"/>
            <w:vAlign w:val="center"/>
          </w:tcPr>
          <w:p w14:paraId="2D41DF44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SERPINE1,TGFBI,MMP10,LAMC2,P4HA2,PDPN,ITGA5,LAMA3,CDH13,TNC,MMP2,EMP3,INHBA,LAMB3,VIM,SEMA3C,PRKCDBP,ANXA5,DHRS7,ITGB1,ACTN1,CXCR7,ITGB6,IGFBP7,THBS1,PTHLH,TNFRSF6B,PDLIM7,CAV1,DKK3,COL17A1,LTBP1,COL5A2,COL1A1,FHL2,TIMP3,PLAU,LGALS1,PSMD2,CD63,HERPUD1,TPM1,SLC39A14,C1S,MMP1,EXT2,COL4A2,PRSS23,SLC7A8,SLC31A2,ARPC1B,APP,MFAP2,MPZL1,DFNA5,MT2A,MAGED2,ITGA6,FSTL1,TNFRSF12A,IL32,COPB2,PTK7,OCIAD2,TAX1BP3,SEC13,SERPINH1,TPM4,MYH9,ANXA8L1,PLOD2,GALNT2,LEPREL1,MAGED1,SLC38A5,FSTL3,CD99,F3,PSAP,NMRK1,FKBP9,DSG2,ECM1,HTRA1,SERINC1,CALU,TPST1,PLOD3,IGFBP3,FRMD6,CXCL14,SERPINE2,RABAC1,TMED9,NAGK,BMP1,ESYT1,STON2,TAGLN,GJA1</w:t>
            </w:r>
          </w:p>
        </w:tc>
      </w:tr>
      <w:tr w:rsidR="00405919" w14:paraId="36A08788" w14:textId="77777777" w:rsidTr="007119A9">
        <w:trPr>
          <w:jc w:val="center"/>
        </w:trPr>
        <w:tc>
          <w:tcPr>
            <w:tcW w:w="396" w:type="dxa"/>
            <w:vAlign w:val="center"/>
          </w:tcPr>
          <w:p w14:paraId="6751F672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2</w:t>
            </w:r>
          </w:p>
        </w:tc>
        <w:tc>
          <w:tcPr>
            <w:tcW w:w="2501" w:type="dxa"/>
            <w:vAlign w:val="center"/>
          </w:tcPr>
          <w:p w14:paraId="4E6859B1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Kisoda, Satoru et al.</w:t>
            </w:r>
            <w:r>
              <w:rPr>
                <w:rFonts w:eastAsia="PMingLiU" w:hint="eastAsia"/>
                <w:color w:val="000000" w:themeColor="text1"/>
                <w:szCs w:val="22"/>
              </w:rPr>
              <w:t xml:space="preserve"> </w:t>
            </w:r>
            <w:r>
              <w:rPr>
                <w:rFonts w:eastAsia="PMingLiU"/>
                <w:color w:val="000000" w:themeColor="text1"/>
                <w:szCs w:val="22"/>
              </w:rPr>
              <w:t>[13]</w:t>
            </w:r>
          </w:p>
        </w:tc>
        <w:tc>
          <w:tcPr>
            <w:tcW w:w="1975" w:type="dxa"/>
            <w:vAlign w:val="center"/>
          </w:tcPr>
          <w:p w14:paraId="1445B2D2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Head and neck squamous cell carcinoma (HNSCC)</w:t>
            </w:r>
          </w:p>
        </w:tc>
        <w:tc>
          <w:tcPr>
            <w:tcW w:w="8088" w:type="dxa"/>
            <w:vAlign w:val="center"/>
          </w:tcPr>
          <w:p w14:paraId="50E9DBC2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MMP10,CDH13,MMP3,TGFB1,P4HA2,PDPN,SNAI2,SERPINE1,ITGA5,LAMC2,LAMA3,LAMB3,INHBA,TNC</w:t>
            </w:r>
          </w:p>
        </w:tc>
      </w:tr>
      <w:tr w:rsidR="00405919" w14:paraId="45A84BBF" w14:textId="77777777" w:rsidTr="007119A9">
        <w:trPr>
          <w:jc w:val="center"/>
        </w:trPr>
        <w:tc>
          <w:tcPr>
            <w:tcW w:w="396" w:type="dxa"/>
            <w:vAlign w:val="center"/>
          </w:tcPr>
          <w:p w14:paraId="477C2F04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3</w:t>
            </w:r>
          </w:p>
        </w:tc>
        <w:tc>
          <w:tcPr>
            <w:tcW w:w="2501" w:type="dxa"/>
            <w:vAlign w:val="center"/>
          </w:tcPr>
          <w:p w14:paraId="022498A7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Parikh, Anuraag S et al.</w:t>
            </w:r>
            <w:r>
              <w:rPr>
                <w:rFonts w:eastAsia="PMingLiU" w:hint="eastAsia"/>
                <w:color w:val="000000" w:themeColor="text1"/>
                <w:szCs w:val="22"/>
              </w:rPr>
              <w:t xml:space="preserve"> </w:t>
            </w:r>
            <w:r>
              <w:rPr>
                <w:rFonts w:eastAsia="PMingLiU"/>
                <w:color w:val="000000" w:themeColor="text1"/>
                <w:szCs w:val="22"/>
              </w:rPr>
              <w:t>[18]</w:t>
            </w:r>
          </w:p>
        </w:tc>
        <w:tc>
          <w:tcPr>
            <w:tcW w:w="1975" w:type="dxa"/>
            <w:vAlign w:val="center"/>
          </w:tcPr>
          <w:p w14:paraId="5100FD3B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Oral cavity squamous cell carcinoma (OCSCC)</w:t>
            </w:r>
          </w:p>
        </w:tc>
        <w:tc>
          <w:tcPr>
            <w:tcW w:w="8088" w:type="dxa"/>
            <w:vAlign w:val="center"/>
          </w:tcPr>
          <w:p w14:paraId="2DFFB3FA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PDPN</w:t>
            </w:r>
            <w:r>
              <w:rPr>
                <w:rFonts w:eastAsia="PMingLiU" w:hint="eastAsia"/>
                <w:bCs/>
                <w:i/>
                <w:color w:val="000000" w:themeColor="text1"/>
                <w:szCs w:val="22"/>
              </w:rPr>
              <w:t>,</w:t>
            </w: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LAMB3</w:t>
            </w:r>
            <w:r>
              <w:rPr>
                <w:rFonts w:eastAsia="PMingLiU" w:hint="eastAsia"/>
                <w:bCs/>
                <w:i/>
                <w:color w:val="000000" w:themeColor="text1"/>
                <w:szCs w:val="22"/>
              </w:rPr>
              <w:t>,</w:t>
            </w: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LAMC2</w:t>
            </w:r>
          </w:p>
        </w:tc>
      </w:tr>
      <w:tr w:rsidR="00405919" w14:paraId="00EFAA57" w14:textId="77777777" w:rsidTr="007119A9">
        <w:trPr>
          <w:jc w:val="center"/>
        </w:trPr>
        <w:tc>
          <w:tcPr>
            <w:tcW w:w="396" w:type="dxa"/>
            <w:vAlign w:val="center"/>
          </w:tcPr>
          <w:p w14:paraId="646EB4A1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4</w:t>
            </w:r>
          </w:p>
        </w:tc>
        <w:tc>
          <w:tcPr>
            <w:tcW w:w="2501" w:type="dxa"/>
            <w:vAlign w:val="center"/>
          </w:tcPr>
          <w:p w14:paraId="061460F4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Sinha, Dona et al</w:t>
            </w:r>
            <w:r>
              <w:rPr>
                <w:rFonts w:eastAsia="PMingLiU" w:hint="eastAsia"/>
                <w:color w:val="000000" w:themeColor="text1"/>
                <w:szCs w:val="22"/>
              </w:rPr>
              <w:t>.</w:t>
            </w:r>
            <w:r>
              <w:rPr>
                <w:rFonts w:eastAsia="PMingLiU"/>
                <w:color w:val="000000" w:themeColor="text1"/>
                <w:szCs w:val="22"/>
              </w:rPr>
              <w:t xml:space="preserve"> [11]</w:t>
            </w:r>
          </w:p>
        </w:tc>
        <w:tc>
          <w:tcPr>
            <w:tcW w:w="1975" w:type="dxa"/>
            <w:vAlign w:val="center"/>
          </w:tcPr>
          <w:p w14:paraId="56D829A9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bCs/>
                <w:color w:val="000000" w:themeColor="text1"/>
                <w:szCs w:val="22"/>
              </w:rPr>
              <w:t>R</w:t>
            </w:r>
            <w:r>
              <w:rPr>
                <w:rFonts w:eastAsia="PMingLiU"/>
                <w:bCs/>
                <w:color w:val="000000" w:themeColor="text1"/>
                <w:szCs w:val="22"/>
              </w:rPr>
              <w:t>eview paper</w:t>
            </w:r>
          </w:p>
        </w:tc>
        <w:tc>
          <w:tcPr>
            <w:tcW w:w="8088" w:type="dxa"/>
            <w:vAlign w:val="center"/>
          </w:tcPr>
          <w:p w14:paraId="3DC31B00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ADAM17,ADAM9,CTNNB1,CDH1,CDH2,CLDN1,CSF1,FN1,FGG,KRT18,LAMB3,MMP1,NGF,PDPN,PLAT,SERPINE1,SNAI1,SNAI2,TGFB1,TGFB2,TWIST1,VEGFA,VIM,XIAP,TJP1,ZEB1,MET,ITGB1</w:t>
            </w:r>
          </w:p>
        </w:tc>
      </w:tr>
      <w:tr w:rsidR="00405919" w14:paraId="54AD5FBC" w14:textId="77777777" w:rsidTr="007119A9">
        <w:trPr>
          <w:jc w:val="center"/>
        </w:trPr>
        <w:tc>
          <w:tcPr>
            <w:tcW w:w="396" w:type="dxa"/>
            <w:vAlign w:val="center"/>
          </w:tcPr>
          <w:p w14:paraId="05668F32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5</w:t>
            </w:r>
          </w:p>
        </w:tc>
        <w:tc>
          <w:tcPr>
            <w:tcW w:w="2501" w:type="dxa"/>
            <w:vAlign w:val="center"/>
          </w:tcPr>
          <w:p w14:paraId="4A901E7F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Aggarwal, Vaishali et al. [19]</w:t>
            </w:r>
          </w:p>
        </w:tc>
        <w:tc>
          <w:tcPr>
            <w:tcW w:w="1975" w:type="dxa"/>
            <w:vAlign w:val="center"/>
          </w:tcPr>
          <w:p w14:paraId="15EECF5B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bCs/>
                <w:color w:val="000000" w:themeColor="text1"/>
                <w:szCs w:val="22"/>
              </w:rPr>
              <w:t>R</w:t>
            </w:r>
            <w:r>
              <w:rPr>
                <w:rFonts w:eastAsia="PMingLiU"/>
                <w:bCs/>
                <w:color w:val="000000" w:themeColor="text1"/>
                <w:szCs w:val="22"/>
              </w:rPr>
              <w:t>eview paper</w:t>
            </w:r>
          </w:p>
        </w:tc>
        <w:tc>
          <w:tcPr>
            <w:tcW w:w="8088" w:type="dxa"/>
            <w:vAlign w:val="center"/>
          </w:tcPr>
          <w:p w14:paraId="059588CA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S100A6,VEGFA,NFE2L2,L1CAM,CTSB,COL2A1,FN1,LAMC2,CD44</w:t>
            </w:r>
          </w:p>
        </w:tc>
      </w:tr>
      <w:tr w:rsidR="00405919" w14:paraId="088D24F4" w14:textId="77777777" w:rsidTr="007119A9">
        <w:trPr>
          <w:jc w:val="center"/>
        </w:trPr>
        <w:tc>
          <w:tcPr>
            <w:tcW w:w="396" w:type="dxa"/>
            <w:vAlign w:val="center"/>
          </w:tcPr>
          <w:p w14:paraId="1A3E8B89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6</w:t>
            </w:r>
          </w:p>
        </w:tc>
        <w:tc>
          <w:tcPr>
            <w:tcW w:w="2501" w:type="dxa"/>
            <w:vAlign w:val="center"/>
          </w:tcPr>
          <w:p w14:paraId="6C7BD13F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Jolly, Mohit Kumar et al. [20]</w:t>
            </w:r>
          </w:p>
        </w:tc>
        <w:tc>
          <w:tcPr>
            <w:tcW w:w="1975" w:type="dxa"/>
            <w:vAlign w:val="center"/>
          </w:tcPr>
          <w:p w14:paraId="65174CDB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Non-small cell lung cancer (NSCLC)</w:t>
            </w:r>
          </w:p>
        </w:tc>
        <w:tc>
          <w:tcPr>
            <w:tcW w:w="8088" w:type="dxa"/>
            <w:vAlign w:val="center"/>
          </w:tcPr>
          <w:p w14:paraId="49EC47D9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GRHL2</w:t>
            </w:r>
            <w:r>
              <w:rPr>
                <w:rFonts w:eastAsia="PMingLiU" w:hint="eastAsia"/>
                <w:bCs/>
                <w:i/>
                <w:color w:val="000000" w:themeColor="text1"/>
                <w:szCs w:val="22"/>
              </w:rPr>
              <w:t>,</w:t>
            </w: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miR-145,OVOL1</w:t>
            </w:r>
          </w:p>
        </w:tc>
      </w:tr>
      <w:tr w:rsidR="00405919" w14:paraId="20636223" w14:textId="77777777" w:rsidTr="007119A9">
        <w:trPr>
          <w:jc w:val="center"/>
        </w:trPr>
        <w:tc>
          <w:tcPr>
            <w:tcW w:w="396" w:type="dxa"/>
            <w:vAlign w:val="center"/>
          </w:tcPr>
          <w:p w14:paraId="29CF654E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7</w:t>
            </w:r>
          </w:p>
        </w:tc>
        <w:tc>
          <w:tcPr>
            <w:tcW w:w="2501" w:type="dxa"/>
            <w:vAlign w:val="center"/>
          </w:tcPr>
          <w:p w14:paraId="146E31D0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Karaosmanoğlu, Oğuzhan et al. [21]</w:t>
            </w:r>
          </w:p>
        </w:tc>
        <w:tc>
          <w:tcPr>
            <w:tcW w:w="1975" w:type="dxa"/>
            <w:vAlign w:val="center"/>
          </w:tcPr>
          <w:p w14:paraId="6279AF2F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Hepatocellular carcinoma cells (HCC)</w:t>
            </w:r>
          </w:p>
        </w:tc>
        <w:tc>
          <w:tcPr>
            <w:tcW w:w="8088" w:type="dxa"/>
            <w:vAlign w:val="center"/>
          </w:tcPr>
          <w:p w14:paraId="714287DF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FN1</w:t>
            </w:r>
            <w:r>
              <w:rPr>
                <w:rFonts w:eastAsia="PMingLiU" w:hint="eastAsia"/>
                <w:bCs/>
                <w:i/>
                <w:color w:val="000000" w:themeColor="text1"/>
                <w:szCs w:val="22"/>
              </w:rPr>
              <w:t>,</w:t>
            </w: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COL2A1</w:t>
            </w:r>
            <w:r>
              <w:rPr>
                <w:rFonts w:eastAsia="PMingLiU" w:hint="eastAsia"/>
                <w:bCs/>
                <w:i/>
                <w:color w:val="000000" w:themeColor="text1"/>
                <w:szCs w:val="22"/>
              </w:rPr>
              <w:t>,</w:t>
            </w: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FGG</w:t>
            </w:r>
          </w:p>
        </w:tc>
      </w:tr>
      <w:tr w:rsidR="00405919" w14:paraId="7035965D" w14:textId="77777777" w:rsidTr="007119A9">
        <w:trPr>
          <w:jc w:val="center"/>
        </w:trPr>
        <w:tc>
          <w:tcPr>
            <w:tcW w:w="396" w:type="dxa"/>
            <w:vAlign w:val="center"/>
          </w:tcPr>
          <w:p w14:paraId="1FB89064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8</w:t>
            </w:r>
          </w:p>
        </w:tc>
        <w:tc>
          <w:tcPr>
            <w:tcW w:w="2501" w:type="dxa"/>
            <w:vAlign w:val="center"/>
          </w:tcPr>
          <w:p w14:paraId="0687FE3C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Kröger, Cornelia et al. [22]</w:t>
            </w:r>
          </w:p>
        </w:tc>
        <w:tc>
          <w:tcPr>
            <w:tcW w:w="1975" w:type="dxa"/>
            <w:vAlign w:val="center"/>
          </w:tcPr>
          <w:p w14:paraId="2A30F63A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color w:val="000000" w:themeColor="text1"/>
                <w:szCs w:val="22"/>
              </w:rPr>
              <w:t>Breast cancer</w:t>
            </w:r>
          </w:p>
        </w:tc>
        <w:tc>
          <w:tcPr>
            <w:tcW w:w="8088" w:type="dxa"/>
            <w:vAlign w:val="center"/>
          </w:tcPr>
          <w:p w14:paraId="3362CBEA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ITGB4,CD44,SNAI1</w:t>
            </w:r>
          </w:p>
        </w:tc>
      </w:tr>
      <w:tr w:rsidR="00405919" w14:paraId="31003BA2" w14:textId="77777777" w:rsidTr="007119A9">
        <w:trPr>
          <w:jc w:val="center"/>
        </w:trPr>
        <w:tc>
          <w:tcPr>
            <w:tcW w:w="396" w:type="dxa"/>
            <w:vAlign w:val="center"/>
          </w:tcPr>
          <w:p w14:paraId="52D65D21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t>9</w:t>
            </w:r>
          </w:p>
        </w:tc>
        <w:tc>
          <w:tcPr>
            <w:tcW w:w="2501" w:type="dxa"/>
            <w:vAlign w:val="center"/>
          </w:tcPr>
          <w:p w14:paraId="04BF91D6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Sample, Reilly A et al. [23]</w:t>
            </w:r>
          </w:p>
        </w:tc>
        <w:tc>
          <w:tcPr>
            <w:tcW w:w="1975" w:type="dxa"/>
            <w:vAlign w:val="center"/>
          </w:tcPr>
          <w:p w14:paraId="444A5FDC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bCs/>
                <w:color w:val="000000" w:themeColor="text1"/>
                <w:szCs w:val="22"/>
              </w:rPr>
              <w:t>R</w:t>
            </w:r>
            <w:r>
              <w:rPr>
                <w:rFonts w:eastAsia="PMingLiU"/>
                <w:bCs/>
                <w:color w:val="000000" w:themeColor="text1"/>
                <w:szCs w:val="22"/>
              </w:rPr>
              <w:t>eview paper</w:t>
            </w:r>
          </w:p>
        </w:tc>
        <w:tc>
          <w:tcPr>
            <w:tcW w:w="8088" w:type="dxa"/>
            <w:vAlign w:val="center"/>
          </w:tcPr>
          <w:p w14:paraId="744C5FB3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SNAI1,SNAI2,TWIST1,TWIST2,ZEB1,ZEB2</w:t>
            </w:r>
          </w:p>
        </w:tc>
      </w:tr>
      <w:tr w:rsidR="00405919" w14:paraId="07D729A0" w14:textId="77777777" w:rsidTr="007119A9">
        <w:trPr>
          <w:jc w:val="center"/>
        </w:trPr>
        <w:tc>
          <w:tcPr>
            <w:tcW w:w="396" w:type="dxa"/>
            <w:vAlign w:val="center"/>
          </w:tcPr>
          <w:p w14:paraId="70FC7503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color w:val="000000" w:themeColor="text1"/>
                <w:szCs w:val="22"/>
              </w:rPr>
              <w:lastRenderedPageBreak/>
              <w:t>1</w:t>
            </w:r>
            <w:r>
              <w:rPr>
                <w:rFonts w:eastAsia="PMingLiU"/>
                <w:color w:val="000000" w:themeColor="text1"/>
                <w:szCs w:val="22"/>
              </w:rPr>
              <w:t>0</w:t>
            </w:r>
          </w:p>
        </w:tc>
        <w:tc>
          <w:tcPr>
            <w:tcW w:w="2501" w:type="dxa"/>
            <w:vAlign w:val="center"/>
          </w:tcPr>
          <w:p w14:paraId="2021F904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color w:val="000000" w:themeColor="text1"/>
                <w:szCs w:val="22"/>
              </w:rPr>
              <w:t>Liao, Tsai-Tsen, and Muh-Hwa Yang. [12]</w:t>
            </w:r>
          </w:p>
        </w:tc>
        <w:tc>
          <w:tcPr>
            <w:tcW w:w="1975" w:type="dxa"/>
            <w:vAlign w:val="center"/>
          </w:tcPr>
          <w:p w14:paraId="525ACAEB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Cs/>
                <w:color w:val="000000" w:themeColor="text1"/>
                <w:szCs w:val="22"/>
              </w:rPr>
            </w:pPr>
            <w:r>
              <w:rPr>
                <w:rFonts w:eastAsia="PMingLiU" w:hint="eastAsia"/>
                <w:bCs/>
                <w:color w:val="000000" w:themeColor="text1"/>
                <w:szCs w:val="22"/>
              </w:rPr>
              <w:t>R</w:t>
            </w:r>
            <w:r>
              <w:rPr>
                <w:rFonts w:eastAsia="PMingLiU"/>
                <w:bCs/>
                <w:color w:val="000000" w:themeColor="text1"/>
                <w:szCs w:val="22"/>
              </w:rPr>
              <w:t>eview paper</w:t>
            </w:r>
          </w:p>
        </w:tc>
        <w:tc>
          <w:tcPr>
            <w:tcW w:w="8088" w:type="dxa"/>
            <w:vAlign w:val="center"/>
          </w:tcPr>
          <w:p w14:paraId="0027899E" w14:textId="77777777" w:rsidR="00405919" w:rsidRDefault="00405919" w:rsidP="00405919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Cs/>
                <w:i/>
                <w:iCs/>
                <w:color w:val="000000" w:themeColor="text1"/>
                <w:szCs w:val="22"/>
              </w:rPr>
            </w:pPr>
            <w:r>
              <w:rPr>
                <w:rFonts w:eastAsia="PMingLiU"/>
                <w:bCs/>
                <w:i/>
                <w:color w:val="000000" w:themeColor="text1"/>
                <w:szCs w:val="22"/>
              </w:rPr>
              <w:t>NFE2L2,NUMB,OVOL2,VCAM1,ITGB3,ITGAV,ZEB1,ITGB4,CD44</w:t>
            </w:r>
          </w:p>
        </w:tc>
      </w:tr>
    </w:tbl>
    <w:p w14:paraId="2D1005B9" w14:textId="77777777" w:rsidR="00405919" w:rsidRDefault="00405919">
      <w:pPr>
        <w:sectPr w:rsidR="00405919" w:rsidSect="00405919">
          <w:pgSz w:w="15840" w:h="12240" w:orient="landscape"/>
          <w:pgMar w:top="1440" w:right="1440" w:bottom="1440" w:left="1440" w:header="1020" w:footer="340" w:gutter="0"/>
          <w:cols w:space="708"/>
          <w:docGrid w:type="linesAndChars" w:linePitch="360"/>
        </w:sectPr>
      </w:pPr>
    </w:p>
    <w:p w14:paraId="1CB0330E" w14:textId="77777777" w:rsidR="00253F7A" w:rsidRPr="00253F7A" w:rsidRDefault="00253F7A" w:rsidP="00253F7A">
      <w:pPr>
        <w:pStyle w:val="TSP41tablecaption"/>
        <w:jc w:val="center"/>
      </w:pPr>
      <w:r w:rsidRPr="00253F7A">
        <w:rPr>
          <w:b/>
        </w:rPr>
        <w:lastRenderedPageBreak/>
        <w:t>Table S2:</w:t>
      </w:r>
      <w:r w:rsidRPr="00253F7A">
        <w:t xml:space="preserve"> Supremum Test for the Proportional Hazards Assumption.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2"/>
        <w:gridCol w:w="2585"/>
        <w:gridCol w:w="3063"/>
      </w:tblGrid>
      <w:tr w:rsidR="00253F7A" w:rsidRPr="00253F7A" w14:paraId="26CC86D6" w14:textId="77777777" w:rsidTr="009831CD">
        <w:trPr>
          <w:jc w:val="center"/>
        </w:trPr>
        <w:tc>
          <w:tcPr>
            <w:tcW w:w="5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3749B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b/>
                <w:bCs/>
                <w:color w:val="000000" w:themeColor="text1"/>
                <w:sz w:val="20"/>
                <w:szCs w:val="24"/>
              </w:rPr>
              <w:t>Covariate</w:t>
            </w:r>
          </w:p>
        </w:tc>
        <w:tc>
          <w:tcPr>
            <w:tcW w:w="35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D33F3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4"/>
              </w:rPr>
            </w:pPr>
            <w:r w:rsidRPr="00253F7A">
              <w:rPr>
                <w:b/>
                <w:bCs/>
                <w:color w:val="000000" w:themeColor="text1"/>
                <w:sz w:val="20"/>
                <w:szCs w:val="24"/>
              </w:rPr>
              <w:t>Maximum Absolute Value</w:t>
            </w:r>
          </w:p>
        </w:tc>
        <w:tc>
          <w:tcPr>
            <w:tcW w:w="42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7EE2B8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i/>
                <w:color w:val="000000" w:themeColor="text1"/>
                <w:sz w:val="20"/>
                <w:szCs w:val="24"/>
              </w:rPr>
            </w:pPr>
            <w:r w:rsidRPr="00253F7A">
              <w:rPr>
                <w:b/>
                <w:bCs/>
                <w:i/>
                <w:color w:val="000000" w:themeColor="text1"/>
                <w:sz w:val="20"/>
                <w:szCs w:val="24"/>
              </w:rPr>
              <w:t>p</w:t>
            </w:r>
            <w:r w:rsidRPr="00253F7A">
              <w:rPr>
                <w:b/>
                <w:bCs/>
                <w:color w:val="000000" w:themeColor="text1"/>
                <w:sz w:val="20"/>
                <w:szCs w:val="24"/>
              </w:rPr>
              <w:t>-value (Pr &gt; MaxAbsVal)</w:t>
            </w:r>
          </w:p>
        </w:tc>
      </w:tr>
      <w:tr w:rsidR="00253F7A" w:rsidRPr="00253F7A" w14:paraId="3A205B4F" w14:textId="77777777" w:rsidTr="009831CD">
        <w:trPr>
          <w:jc w:val="center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D78FE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p-EMT risk score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75310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1.10</w:t>
            </w: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A356D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0.146</w:t>
            </w:r>
          </w:p>
        </w:tc>
      </w:tr>
      <w:tr w:rsidR="00253F7A" w:rsidRPr="00253F7A" w14:paraId="1ADFEC15" w14:textId="77777777" w:rsidTr="009831CD">
        <w:trPr>
          <w:jc w:val="center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BAED5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Age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4EDFA6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1.61</w:t>
            </w: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6949C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0.009</w:t>
            </w:r>
          </w:p>
        </w:tc>
      </w:tr>
      <w:tr w:rsidR="00253F7A" w:rsidRPr="00253F7A" w14:paraId="2BEAD7E0" w14:textId="77777777" w:rsidTr="009831CD">
        <w:trPr>
          <w:jc w:val="center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09914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FIGO stage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D57A0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077A48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rFonts w:eastAsia="Times New Roman"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253F7A" w:rsidRPr="00253F7A" w14:paraId="42F16A6A" w14:textId="77777777" w:rsidTr="009831CD">
        <w:trPr>
          <w:jc w:val="center"/>
        </w:trPr>
        <w:tc>
          <w:tcPr>
            <w:tcW w:w="514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687D4C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Stage III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BAD0B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2.39</w:t>
            </w:r>
          </w:p>
        </w:tc>
        <w:tc>
          <w:tcPr>
            <w:tcW w:w="42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A5025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0.232</w:t>
            </w:r>
          </w:p>
        </w:tc>
      </w:tr>
      <w:tr w:rsidR="00253F7A" w:rsidRPr="00253F7A" w14:paraId="398B09FA" w14:textId="77777777" w:rsidTr="009831CD">
        <w:trPr>
          <w:jc w:val="center"/>
        </w:trPr>
        <w:tc>
          <w:tcPr>
            <w:tcW w:w="5143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C4F95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left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Stage IV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5D043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2.84</w:t>
            </w:r>
          </w:p>
        </w:tc>
        <w:tc>
          <w:tcPr>
            <w:tcW w:w="424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A3589A" w14:textId="77777777" w:rsidR="00253F7A" w:rsidRPr="00253F7A" w:rsidRDefault="00253F7A" w:rsidP="009831CD">
            <w:pPr>
              <w:autoSpaceDE w:val="0"/>
              <w:autoSpaceDN w:val="0"/>
              <w:spacing w:line="240" w:lineRule="auto"/>
              <w:jc w:val="center"/>
              <w:rPr>
                <w:color w:val="000000" w:themeColor="text1"/>
                <w:sz w:val="20"/>
                <w:szCs w:val="24"/>
              </w:rPr>
            </w:pPr>
            <w:r w:rsidRPr="00253F7A">
              <w:rPr>
                <w:color w:val="000000" w:themeColor="text1"/>
                <w:sz w:val="20"/>
                <w:szCs w:val="24"/>
              </w:rPr>
              <w:t>0.105</w:t>
            </w:r>
          </w:p>
        </w:tc>
      </w:tr>
    </w:tbl>
    <w:p w14:paraId="260A8361" w14:textId="18B0FF80" w:rsidR="00253F7A" w:rsidRPr="00253F7A" w:rsidRDefault="00253F7A" w:rsidP="00253F7A">
      <w:pPr>
        <w:pStyle w:val="TSP43tablefooter"/>
      </w:pPr>
      <w:r w:rsidRPr="00253F7A">
        <w:t xml:space="preserve">The proportional hazards assumption was evaluated using the supremum test based on scaled Schoenfeld residuals with 1,000 resampling iterations. A p-value &lt; 0.05 indicates evidence against the proportional </w:t>
      </w:r>
      <w:proofErr w:type="gramStart"/>
      <w:r w:rsidRPr="00253F7A">
        <w:t>hazards</w:t>
      </w:r>
      <w:proofErr w:type="gramEnd"/>
      <w:r w:rsidRPr="00253F7A">
        <w:t xml:space="preserve"> assumption. N/A: Not Applicable</w:t>
      </w:r>
      <w:r>
        <w:t>.</w:t>
      </w:r>
    </w:p>
    <w:p w14:paraId="5F9BE63E" w14:textId="687E2A37" w:rsidR="00253F7A" w:rsidRPr="00253F7A" w:rsidRDefault="00253F7A" w:rsidP="00253F7A">
      <w:pPr>
        <w:pStyle w:val="TSP41tablecaption"/>
        <w:jc w:val="center"/>
      </w:pPr>
      <w:r w:rsidRPr="00253F7A">
        <w:rPr>
          <w:b/>
        </w:rPr>
        <w:t>Table S3:</w:t>
      </w:r>
      <w:r w:rsidRPr="00253F7A">
        <w:t xml:space="preserve"> Sensitivity Analysis Using a Time-Varying Effect of Age in the Cox Model.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3"/>
        <w:gridCol w:w="2790"/>
        <w:gridCol w:w="2477"/>
      </w:tblGrid>
      <w:tr w:rsidR="00253F7A" w:rsidRPr="00253F7A" w14:paraId="1CC72045" w14:textId="77777777" w:rsidTr="00253F7A">
        <w:trPr>
          <w:jc w:val="center"/>
        </w:trPr>
        <w:tc>
          <w:tcPr>
            <w:tcW w:w="31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ADCBE7F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Covariate</w:t>
            </w:r>
          </w:p>
        </w:tc>
        <w:tc>
          <w:tcPr>
            <w:tcW w:w="214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1851683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HR (95% CI)</w:t>
            </w:r>
          </w:p>
        </w:tc>
        <w:tc>
          <w:tcPr>
            <w:tcW w:w="19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9BD432E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b/>
                <w:bCs/>
                <w:i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/>
                <w:bCs/>
                <w:i/>
                <w:color w:val="000000" w:themeColor="text1"/>
                <w:sz w:val="20"/>
                <w:szCs w:val="24"/>
              </w:rPr>
              <w:t>p</w:t>
            </w:r>
            <w:r w:rsidRPr="00253F7A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-value</w:t>
            </w:r>
          </w:p>
        </w:tc>
      </w:tr>
      <w:tr w:rsidR="00253F7A" w:rsidRPr="00253F7A" w14:paraId="151CDE9B" w14:textId="77777777" w:rsidTr="00253F7A">
        <w:trPr>
          <w:jc w:val="center"/>
        </w:trPr>
        <w:tc>
          <w:tcPr>
            <w:tcW w:w="3140" w:type="dxa"/>
            <w:tcBorders>
              <w:top w:val="single" w:sz="4" w:space="0" w:color="auto"/>
            </w:tcBorders>
            <w:vAlign w:val="center"/>
          </w:tcPr>
          <w:p w14:paraId="1E2DACDE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Cs/>
                <w:color w:val="000000" w:themeColor="text1"/>
                <w:sz w:val="20"/>
                <w:szCs w:val="24"/>
              </w:rPr>
              <w:t>p-EMT risk score</w:t>
            </w:r>
          </w:p>
        </w:tc>
        <w:tc>
          <w:tcPr>
            <w:tcW w:w="2140" w:type="dxa"/>
            <w:tcBorders>
              <w:top w:val="single" w:sz="4" w:space="0" w:color="auto"/>
            </w:tcBorders>
            <w:vAlign w:val="center"/>
          </w:tcPr>
          <w:p w14:paraId="594D8428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1.24 (0.97-1.58)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vAlign w:val="center"/>
          </w:tcPr>
          <w:p w14:paraId="0DD3E5A0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0.088</w:t>
            </w:r>
          </w:p>
        </w:tc>
      </w:tr>
      <w:tr w:rsidR="00253F7A" w:rsidRPr="00253F7A" w14:paraId="0AB6006E" w14:textId="77777777" w:rsidTr="00253F7A">
        <w:trPr>
          <w:jc w:val="center"/>
        </w:trPr>
        <w:tc>
          <w:tcPr>
            <w:tcW w:w="3140" w:type="dxa"/>
            <w:vAlign w:val="center"/>
          </w:tcPr>
          <w:p w14:paraId="0F948B9F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Cs/>
                <w:color w:val="000000" w:themeColor="text1"/>
                <w:sz w:val="20"/>
                <w:szCs w:val="24"/>
              </w:rPr>
              <w:t>Age (per 1-year increase)*</w:t>
            </w:r>
          </w:p>
        </w:tc>
        <w:tc>
          <w:tcPr>
            <w:tcW w:w="2140" w:type="dxa"/>
            <w:vAlign w:val="center"/>
          </w:tcPr>
          <w:p w14:paraId="50BD05CA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1.75 (1.65-1.85)</w:t>
            </w:r>
          </w:p>
        </w:tc>
        <w:tc>
          <w:tcPr>
            <w:tcW w:w="1900" w:type="dxa"/>
            <w:vAlign w:val="center"/>
          </w:tcPr>
          <w:p w14:paraId="7E93E49B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&lt;0.001</w:t>
            </w:r>
          </w:p>
        </w:tc>
      </w:tr>
      <w:tr w:rsidR="00253F7A" w:rsidRPr="00253F7A" w14:paraId="1DDB1A7C" w14:textId="77777777" w:rsidTr="00253F7A">
        <w:trPr>
          <w:jc w:val="center"/>
        </w:trPr>
        <w:tc>
          <w:tcPr>
            <w:tcW w:w="3140" w:type="dxa"/>
            <w:vAlign w:val="center"/>
          </w:tcPr>
          <w:p w14:paraId="033B21A7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Cs/>
                <w:color w:val="000000" w:themeColor="text1"/>
                <w:sz w:val="20"/>
                <w:szCs w:val="24"/>
              </w:rPr>
              <w:t>Age × log(time)*</w:t>
            </w:r>
          </w:p>
        </w:tc>
        <w:tc>
          <w:tcPr>
            <w:tcW w:w="2140" w:type="dxa"/>
            <w:vAlign w:val="center"/>
          </w:tcPr>
          <w:p w14:paraId="0E86C529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0.86 (0.85-0.87)</w:t>
            </w:r>
          </w:p>
        </w:tc>
        <w:tc>
          <w:tcPr>
            <w:tcW w:w="1900" w:type="dxa"/>
            <w:vAlign w:val="center"/>
          </w:tcPr>
          <w:p w14:paraId="63465FEE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&lt;0.001</w:t>
            </w:r>
          </w:p>
        </w:tc>
      </w:tr>
      <w:tr w:rsidR="00253F7A" w:rsidRPr="00253F7A" w14:paraId="090F7DE6" w14:textId="77777777" w:rsidTr="00253F7A">
        <w:trPr>
          <w:jc w:val="center"/>
        </w:trPr>
        <w:tc>
          <w:tcPr>
            <w:tcW w:w="3140" w:type="dxa"/>
            <w:vAlign w:val="center"/>
          </w:tcPr>
          <w:p w14:paraId="7993C589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Cs/>
                <w:color w:val="000000" w:themeColor="text1"/>
                <w:sz w:val="20"/>
                <w:szCs w:val="24"/>
              </w:rPr>
              <w:t>Stage III vs Stage I</w:t>
            </w:r>
          </w:p>
        </w:tc>
        <w:tc>
          <w:tcPr>
            <w:tcW w:w="2140" w:type="dxa"/>
            <w:vAlign w:val="center"/>
          </w:tcPr>
          <w:p w14:paraId="350E0557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3.71 (1.71-8.05)</w:t>
            </w:r>
          </w:p>
        </w:tc>
        <w:tc>
          <w:tcPr>
            <w:tcW w:w="1900" w:type="dxa"/>
            <w:vAlign w:val="center"/>
          </w:tcPr>
          <w:p w14:paraId="75EFBC16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0.001</w:t>
            </w:r>
          </w:p>
        </w:tc>
      </w:tr>
      <w:tr w:rsidR="00253F7A" w:rsidRPr="00253F7A" w14:paraId="05046301" w14:textId="77777777" w:rsidTr="00253F7A">
        <w:trPr>
          <w:jc w:val="center"/>
        </w:trPr>
        <w:tc>
          <w:tcPr>
            <w:tcW w:w="3140" w:type="dxa"/>
            <w:vAlign w:val="center"/>
          </w:tcPr>
          <w:p w14:paraId="325D953B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bCs/>
                <w:color w:val="000000" w:themeColor="text1"/>
                <w:sz w:val="20"/>
                <w:szCs w:val="24"/>
              </w:rPr>
              <w:t>Stage IV vs Stage I</w:t>
            </w:r>
          </w:p>
        </w:tc>
        <w:tc>
          <w:tcPr>
            <w:tcW w:w="2140" w:type="dxa"/>
            <w:vAlign w:val="center"/>
          </w:tcPr>
          <w:p w14:paraId="4B32C682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4.74 (2.08-10.79)</w:t>
            </w:r>
          </w:p>
        </w:tc>
        <w:tc>
          <w:tcPr>
            <w:tcW w:w="1900" w:type="dxa"/>
            <w:vAlign w:val="center"/>
          </w:tcPr>
          <w:p w14:paraId="75F64D67" w14:textId="77777777" w:rsidR="00253F7A" w:rsidRPr="00253F7A" w:rsidRDefault="00253F7A" w:rsidP="00253F7A">
            <w:pPr>
              <w:autoSpaceDE w:val="0"/>
              <w:autoSpaceDN w:val="0"/>
              <w:spacing w:line="240" w:lineRule="auto"/>
              <w:jc w:val="center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253F7A">
              <w:rPr>
                <w:rFonts w:eastAsia="PMingLiU"/>
                <w:color w:val="000000" w:themeColor="text1"/>
                <w:sz w:val="20"/>
                <w:szCs w:val="24"/>
              </w:rPr>
              <w:t>&lt;0.001</w:t>
            </w:r>
          </w:p>
        </w:tc>
      </w:tr>
    </w:tbl>
    <w:p w14:paraId="1456D723" w14:textId="6B4C1B25" w:rsidR="00253F7A" w:rsidRDefault="00253F7A" w:rsidP="00253F7A">
      <w:pPr>
        <w:pStyle w:val="TSP43tablefooter"/>
        <w:rPr>
          <w:rFonts w:eastAsiaTheme="minorEastAsia"/>
          <w:lang w:eastAsia="zh-CN"/>
        </w:rPr>
      </w:pPr>
      <w:r>
        <w:t>*A sensitivity analysis used an extended Cox model with a time-varying age effect (age × log(time)). HRs for age vary over time, whereas HRs for other covariates represent average effects.</w:t>
      </w:r>
    </w:p>
    <w:p w14:paraId="2EC42FC2" w14:textId="6DFE6F5F" w:rsidR="00934B57" w:rsidRPr="00934B57" w:rsidRDefault="00934B57" w:rsidP="00934B57">
      <w:pPr>
        <w:pStyle w:val="TSP41tablecaption"/>
        <w:rPr>
          <w:rFonts w:eastAsiaTheme="minorEastAsia"/>
          <w:lang w:eastAsia="zh-CN"/>
        </w:rPr>
      </w:pPr>
      <w:r w:rsidRPr="00934B57">
        <w:rPr>
          <w:b/>
        </w:rPr>
        <w:t>Table S4:</w:t>
      </w:r>
      <w:r w:rsidRPr="00934B57">
        <w:t xml:space="preserve"> </w:t>
      </w:r>
      <w:r w:rsidRPr="00934B57">
        <w:rPr>
          <w:rFonts w:eastAsia="PMingLiU"/>
        </w:rPr>
        <w:t>Comparison of Clinical and Molecular Characteristics Between TCGA-OV and GSE140082 Cohorts in Ovarian Cancer Patients.</w:t>
      </w:r>
    </w:p>
    <w:tbl>
      <w:tblPr>
        <w:tblW w:w="926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1549"/>
        <w:gridCol w:w="1075"/>
        <w:gridCol w:w="1221"/>
        <w:gridCol w:w="927"/>
        <w:gridCol w:w="1407"/>
      </w:tblGrid>
      <w:tr w:rsidR="00934B57" w:rsidRPr="00934B57" w14:paraId="5E547161" w14:textId="77777777" w:rsidTr="00934B57">
        <w:trPr>
          <w:jc w:val="center"/>
        </w:trPr>
        <w:tc>
          <w:tcPr>
            <w:tcW w:w="1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838151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2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04E61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2"/>
              </w:rPr>
              <w:t>TCGA (n=488)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FC5FF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2"/>
              </w:rPr>
              <w:t>GSE140082 (n=380)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F01EF9" w14:textId="783524F8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b/>
                <w:bCs/>
                <w:sz w:val="20"/>
              </w:rPr>
              <w:t>TCGA vs</w:t>
            </w:r>
            <w:r>
              <w:rPr>
                <w:rFonts w:hint="eastAsia"/>
                <w:b/>
                <w:bCs/>
                <w:sz w:val="20"/>
              </w:rPr>
              <w:t>.</w:t>
            </w:r>
            <w:r w:rsidRPr="00934B57">
              <w:rPr>
                <w:b/>
                <w:bCs/>
                <w:sz w:val="20"/>
              </w:rPr>
              <w:t xml:space="preserve"> GSE140082 </w:t>
            </w:r>
            <w:r w:rsidRPr="00934B57">
              <w:rPr>
                <w:rFonts w:hint="eastAsia"/>
                <w:b/>
                <w:bCs/>
                <w:i/>
                <w:sz w:val="20"/>
              </w:rPr>
              <w:t>P</w:t>
            </w:r>
            <w:r w:rsidRPr="00934B57">
              <w:rPr>
                <w:b/>
                <w:bCs/>
                <w:sz w:val="20"/>
              </w:rPr>
              <w:t>-value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E0DF8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b/>
                <w:bCs/>
                <w:sz w:val="20"/>
              </w:rPr>
              <w:t>GSE165808 (n=51)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3744BA" w14:textId="172F3D72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b/>
                <w:bCs/>
                <w:sz w:val="20"/>
              </w:rPr>
              <w:t xml:space="preserve">TCGA vs GSE165808 </w:t>
            </w:r>
            <w:r w:rsidRPr="00934B57">
              <w:rPr>
                <w:b/>
                <w:bCs/>
                <w:i/>
                <w:sz w:val="20"/>
              </w:rPr>
              <w:t>P</w:t>
            </w:r>
            <w:r w:rsidRPr="00934B57">
              <w:rPr>
                <w:b/>
                <w:bCs/>
                <w:sz w:val="20"/>
              </w:rPr>
              <w:t>-value</w:t>
            </w:r>
          </w:p>
        </w:tc>
      </w:tr>
      <w:tr w:rsidR="00934B57" w:rsidRPr="00934B57" w14:paraId="345F5AF2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8E7FF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p-EMT risk score median (IQR)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CFE58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4.0 (3.9-4.2)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A5016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6.8 (6.4-7.2)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376F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&lt;0.001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83541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3.1 (2.9-3.4)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FCFA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bCs/>
                <w:sz w:val="20"/>
              </w:rPr>
              <w:t>&lt;0.001</w:t>
            </w:r>
          </w:p>
        </w:tc>
      </w:tr>
      <w:tr w:rsidR="00934B57" w:rsidRPr="00934B57" w14:paraId="10A3CF64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0BED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p-EMT risk score (categorical)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  <w:vertAlign w:val="superscript"/>
              </w:rPr>
              <w:t xml:space="preserve"> 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*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154E0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EAD1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4449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950B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B5FB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bCs/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37443893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7F5FC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ind w:firstLine="200"/>
              <w:jc w:val="left"/>
              <w:rPr>
                <w:rFonts w:eastAsia="等线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Low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 xml:space="preserve"> 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4A96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317 (65.0)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639AC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247 (65.0)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358D4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0.99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98D4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33 (64.7)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D7DE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0.971</w:t>
            </w:r>
          </w:p>
        </w:tc>
      </w:tr>
      <w:tr w:rsidR="00934B57" w:rsidRPr="00934B57" w14:paraId="6BA12532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B2C9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ind w:firstLine="200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High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 xml:space="preserve"> 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A070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171 (35.0)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D5D0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133 (35.0)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C6D78C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7CEF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18 (35.3)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B503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79B3DE3A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CD97D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等线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Age, years median (IQR)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 xml:space="preserve"> 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060A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59.0 (51.0-69.0)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8FB7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59.0 (49.5-66.0)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74471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0.042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34E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55.0 (47.0-64.0)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F1DB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bCs/>
                <w:sz w:val="20"/>
              </w:rPr>
              <w:t>0.004</w:t>
            </w:r>
          </w:p>
        </w:tc>
      </w:tr>
      <w:tr w:rsidR="00934B57" w:rsidRPr="00934B57" w14:paraId="2D8695A1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154B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Age, years (categorical)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C2E9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3906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1862F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0.171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96E9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3FD3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bCs/>
                <w:sz w:val="20"/>
              </w:rPr>
            </w:pPr>
            <w:r w:rsidRPr="00934B57">
              <w:rPr>
                <w:sz w:val="20"/>
              </w:rPr>
              <w:t>0.053</w:t>
            </w:r>
          </w:p>
        </w:tc>
      </w:tr>
      <w:tr w:rsidR="00934B57" w:rsidRPr="00934B57" w14:paraId="4ACA8DFD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27091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&lt;50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5B69D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96 (19.7)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B826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95 (25.0)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1642F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3FB9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17 (33.3)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6F8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2CE48E74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612D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50~65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FE1D4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223 (45.7)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5C55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162 (42.6)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61972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11561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22 (43.1)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DEC0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7B840FE5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39BDAC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&gt;65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2E5EE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169 (34.6)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FBA19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123 (32.4)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72868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0BC9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12 (23.5)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0DAB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4A201C8D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62CDD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FIGO stage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7F582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Times New Roman"/>
                <w:iCs/>
                <w:color w:val="000000" w:themeColor="text1"/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54F4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Times New Roman"/>
                <w:iCs/>
                <w:color w:val="000000" w:themeColor="text1"/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EDD04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Times New Roman"/>
                <w:iCs/>
                <w:color w:val="000000" w:themeColor="text1"/>
                <w:sz w:val="20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0.009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198D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Times New Roman"/>
                <w:iCs/>
                <w:color w:val="000000" w:themeColor="text1"/>
                <w:sz w:val="20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1B81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Times New Roman"/>
                <w:iCs/>
                <w:color w:val="000000" w:themeColor="text1"/>
                <w:sz w:val="20"/>
              </w:rPr>
            </w:pPr>
            <w:r w:rsidRPr="00934B57">
              <w:rPr>
                <w:sz w:val="20"/>
              </w:rPr>
              <w:t>0.502</w:t>
            </w:r>
          </w:p>
        </w:tc>
      </w:tr>
      <w:tr w:rsidR="00934B57" w:rsidRPr="00934B57" w14:paraId="0C7FAD5B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F4310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I-II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9B14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36 (7.4)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30BE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51 (13.4)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4C29E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F86D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5 (9.8)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4A16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7C34B760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A287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III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60389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377 (77.3)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6822B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266 (70.0)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8BE3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6335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41 (80.4)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BCDD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2A7473B6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BCAE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IV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53981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75 (15.4)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FAA7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63 (16.6)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A681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95A8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5 (9.8)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200C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N/A.</w:t>
            </w:r>
          </w:p>
        </w:tc>
      </w:tr>
      <w:tr w:rsidR="00934B57" w:rsidRPr="00934B57" w14:paraId="10853299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7E768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Death </w:t>
            </w:r>
            <w:r w:rsidRPr="00934B57">
              <w:rPr>
                <w:rFonts w:eastAsia="等线"/>
                <w:color w:val="000000" w:themeColor="text1"/>
                <w:sz w:val="20"/>
                <w:szCs w:val="24"/>
              </w:rPr>
              <w:t>n (%)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C555E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309 (63.3)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D3F9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96 (25.3)</w:t>
            </w:r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FD079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&lt;0.001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97BE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11 (21.6)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4434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bCs/>
                <w:sz w:val="20"/>
              </w:rPr>
              <w:t>&lt;0.001</w:t>
            </w:r>
          </w:p>
        </w:tc>
      </w:tr>
      <w:tr w:rsidR="00934B57" w:rsidRPr="00934B57" w14:paraId="32705939" w14:textId="77777777" w:rsidTr="00934B57">
        <w:trPr>
          <w:jc w:val="center"/>
        </w:trPr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F2D62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Follow-up, month median (IQR)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F0FACE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34.2 (16.8-56.5)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7697B7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25.2 (20.2-31.0)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B1E0F1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bCs/>
                <w:color w:val="000000" w:themeColor="text1"/>
                <w:sz w:val="20"/>
                <w:szCs w:val="24"/>
              </w:rPr>
              <w:t>&lt;0.001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70F424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40.3 (23.0-55.5)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F6DCD77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bCs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sz w:val="20"/>
              </w:rPr>
              <w:t>0.122</w:t>
            </w:r>
          </w:p>
        </w:tc>
      </w:tr>
    </w:tbl>
    <w:p w14:paraId="11598528" w14:textId="610FDC39" w:rsidR="00934B57" w:rsidRDefault="00934B57" w:rsidP="00934B57">
      <w:pPr>
        <w:pStyle w:val="TSP43tablefooter"/>
      </w:pPr>
      <w:r>
        <w:rPr>
          <w:rFonts w:eastAsia="PMingLiU"/>
        </w:rPr>
        <w:lastRenderedPageBreak/>
        <w:t>*The Low and High level of pEMT risk score was cut at 65</w:t>
      </w:r>
      <w:r>
        <w:rPr>
          <w:rFonts w:eastAsia="PMingLiU"/>
          <w:vertAlign w:val="superscript"/>
        </w:rPr>
        <w:t>th</w:t>
      </w:r>
      <w:r>
        <w:rPr>
          <w:rFonts w:eastAsia="PMingLiU"/>
        </w:rPr>
        <w:t xml:space="preserve"> percentile in each dataset: cut-off value in TCGA = 4.15; cut-off value in GSE140082 = 7.08</w:t>
      </w:r>
      <w:r>
        <w:rPr>
          <w:rFonts w:eastAsia="PMingLiU" w:hint="eastAsia"/>
        </w:rPr>
        <w:t xml:space="preserve"> a</w:t>
      </w:r>
      <w:r>
        <w:rPr>
          <w:rFonts w:eastAsia="PMingLiU"/>
        </w:rPr>
        <w:t>nd in GSE165808 = 3.25</w:t>
      </w:r>
      <w:r>
        <w:rPr>
          <w:rFonts w:eastAsiaTheme="minorEastAsia" w:hint="eastAsia"/>
        </w:rPr>
        <w:t xml:space="preserve">. </w:t>
      </w:r>
      <w:r>
        <w:t xml:space="preserve">Abbreviations: </w:t>
      </w:r>
      <w:r>
        <w:rPr>
          <w:rFonts w:hint="eastAsia"/>
        </w:rPr>
        <w:t>IQR</w:t>
      </w:r>
      <w:r>
        <w:t>, interquartile range:25</w:t>
      </w:r>
      <w:r>
        <w:rPr>
          <w:vertAlign w:val="superscript"/>
        </w:rPr>
        <w:t>th</w:t>
      </w:r>
      <w:r>
        <w:t>-75</w:t>
      </w:r>
      <w:r>
        <w:rPr>
          <w:vertAlign w:val="superscript"/>
        </w:rPr>
        <w:t>th</w:t>
      </w:r>
      <w:r>
        <w:t xml:space="preserve"> percentile; p-EMT, partial epithelial-mesenchymal transition; FIGO, Federation of Gynecology and Obstetrics; </w:t>
      </w:r>
      <w:r>
        <w:rPr>
          <w:rFonts w:eastAsia="等线" w:hint="eastAsia"/>
          <w:color w:val="000000" w:themeColor="text1"/>
          <w:lang w:eastAsia="zh-CN"/>
        </w:rPr>
        <w:t>N/A: Not Applicable</w:t>
      </w:r>
      <w:r>
        <w:rPr>
          <w:rFonts w:eastAsia="等线"/>
          <w:color w:val="000000" w:themeColor="text1"/>
          <w:lang w:eastAsia="zh-CN"/>
        </w:rPr>
        <w:t>.</w:t>
      </w:r>
    </w:p>
    <w:p w14:paraId="325602DC" w14:textId="6290D74E" w:rsidR="00934B57" w:rsidRPr="00934B57" w:rsidRDefault="00934B57" w:rsidP="00934B57">
      <w:pPr>
        <w:pStyle w:val="TSP41tablecaption"/>
        <w:jc w:val="center"/>
        <w:rPr>
          <w:rFonts w:cs="Times New Roman"/>
          <w:bCs/>
          <w:color w:val="000000" w:themeColor="text1"/>
        </w:rPr>
      </w:pPr>
      <w:r w:rsidRPr="00934B57">
        <w:rPr>
          <w:b/>
          <w:color w:val="000000" w:themeColor="text1"/>
        </w:rPr>
        <w:t>Table S5:</w:t>
      </w:r>
      <w:r w:rsidRPr="00934B57">
        <w:rPr>
          <w:color w:val="000000" w:themeColor="text1"/>
        </w:rPr>
        <w:t xml:space="preserve"> </w:t>
      </w:r>
      <w:r w:rsidRPr="00934B57">
        <w:t>Comparison of models based on different p-EMT risk score cut-offs and predictors.</w:t>
      </w:r>
    </w:p>
    <w:tbl>
      <w:tblPr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2115"/>
        <w:gridCol w:w="2115"/>
        <w:gridCol w:w="2115"/>
      </w:tblGrid>
      <w:tr w:rsidR="00934B57" w:rsidRPr="00934B57" w14:paraId="41A48D16" w14:textId="77777777" w:rsidTr="00934B57">
        <w:trPr>
          <w:jc w:val="center"/>
        </w:trPr>
        <w:tc>
          <w:tcPr>
            <w:tcW w:w="269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8B875A9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Concordance/Model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10423A3D" w14:textId="550708D6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p-EMT risk score</w:t>
            </w:r>
            <w:r w:rsidRPr="00934B57">
              <w:rPr>
                <w:rFonts w:eastAsiaTheme="minorEastAsia" w:hint="eastAsia"/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-Continuous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C1B00C" w14:textId="10313366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p-EMT risk score</w:t>
            </w:r>
            <w:r w:rsidRPr="00934B57">
              <w:rPr>
                <w:rFonts w:eastAsiaTheme="minorEastAsia" w:hint="eastAsia"/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b/>
                <w:color w:val="000000" w:themeColor="text1"/>
                <w:sz w:val="20"/>
                <w:szCs w:val="24"/>
              </w:rPr>
              <w:t>-</w:t>
            </w: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cut at 0.50</w:t>
            </w:r>
          </w:p>
        </w:tc>
        <w:tc>
          <w:tcPr>
            <w:tcW w:w="189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2CCB0B9" w14:textId="34AACB2C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p-EMT risk score</w:t>
            </w:r>
            <w:r w:rsidRPr="00934B57">
              <w:rPr>
                <w:rFonts w:eastAsiaTheme="minorEastAsia" w:hint="eastAsia"/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b/>
                <w:color w:val="000000" w:themeColor="text1"/>
                <w:sz w:val="20"/>
                <w:szCs w:val="24"/>
              </w:rPr>
              <w:t>-</w:t>
            </w: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cut at 0.65</w:t>
            </w:r>
          </w:p>
        </w:tc>
      </w:tr>
      <w:tr w:rsidR="00934B57" w:rsidRPr="00934B57" w14:paraId="719B2601" w14:textId="77777777" w:rsidTr="00934B57">
        <w:trPr>
          <w:jc w:val="center"/>
        </w:trPr>
        <w:tc>
          <w:tcPr>
            <w:tcW w:w="2694" w:type="dxa"/>
            <w:tcBorders>
              <w:top w:val="single" w:sz="4" w:space="0" w:color="auto"/>
            </w:tcBorders>
            <w:noWrap/>
            <w:vAlign w:val="center"/>
          </w:tcPr>
          <w:p w14:paraId="60C563B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TCGA (n=488)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0F8EBAA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</w:p>
        </w:tc>
      </w:tr>
      <w:tr w:rsidR="00934B57" w:rsidRPr="00934B57" w14:paraId="4C2BE815" w14:textId="77777777" w:rsidTr="00934B57">
        <w:trPr>
          <w:jc w:val="center"/>
        </w:trPr>
        <w:tc>
          <w:tcPr>
            <w:tcW w:w="2694" w:type="dxa"/>
            <w:noWrap/>
            <w:vAlign w:val="center"/>
          </w:tcPr>
          <w:p w14:paraId="680DDAF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Model*</w:t>
            </w:r>
            <w:r w:rsidRPr="00934B57">
              <w:rPr>
                <w:rFonts w:eastAsia="等线" w:hint="eastAsia"/>
                <w:color w:val="000000" w:themeColor="text1"/>
                <w:sz w:val="20"/>
                <w:szCs w:val="24"/>
              </w:rPr>
              <w:t>,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C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-index (SE)</w:t>
            </w:r>
          </w:p>
        </w:tc>
        <w:tc>
          <w:tcPr>
            <w:tcW w:w="1890" w:type="dxa"/>
            <w:noWrap/>
            <w:vAlign w:val="center"/>
          </w:tcPr>
          <w:p w14:paraId="76951CA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0.651 (0.017)</w:t>
            </w:r>
          </w:p>
        </w:tc>
        <w:tc>
          <w:tcPr>
            <w:tcW w:w="1890" w:type="dxa"/>
            <w:vAlign w:val="center"/>
          </w:tcPr>
          <w:p w14:paraId="517908FC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0.641 (0.018)</w:t>
            </w:r>
          </w:p>
        </w:tc>
        <w:tc>
          <w:tcPr>
            <w:tcW w:w="1890" w:type="dxa"/>
            <w:vAlign w:val="center"/>
          </w:tcPr>
          <w:p w14:paraId="2B5A8EF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0.651 (0.017)</w:t>
            </w:r>
          </w:p>
        </w:tc>
      </w:tr>
      <w:tr w:rsidR="00934B57" w:rsidRPr="00934B57" w14:paraId="2ED992AF" w14:textId="77777777" w:rsidTr="00934B57">
        <w:trPr>
          <w:jc w:val="center"/>
        </w:trPr>
        <w:tc>
          <w:tcPr>
            <w:tcW w:w="2694" w:type="dxa"/>
            <w:noWrap/>
            <w:vAlign w:val="center"/>
          </w:tcPr>
          <w:p w14:paraId="4B73509C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Cov only*</w:t>
            </w:r>
            <w:r w:rsidRPr="00934B57">
              <w:rPr>
                <w:rFonts w:eastAsia="等线" w:hint="eastAsia"/>
                <w:color w:val="000000" w:themeColor="text1"/>
                <w:sz w:val="20"/>
                <w:szCs w:val="24"/>
              </w:rPr>
              <w:t>,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C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-index (SE)</w:t>
            </w:r>
          </w:p>
        </w:tc>
        <w:tc>
          <w:tcPr>
            <w:tcW w:w="1890" w:type="dxa"/>
            <w:noWrap/>
            <w:vAlign w:val="center"/>
          </w:tcPr>
          <w:p w14:paraId="21E8487D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0.625 (0.018)</w:t>
            </w:r>
          </w:p>
        </w:tc>
        <w:tc>
          <w:tcPr>
            <w:tcW w:w="1890" w:type="dxa"/>
            <w:vAlign w:val="center"/>
          </w:tcPr>
          <w:p w14:paraId="6731B8C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0.625 (0.018)</w:t>
            </w:r>
          </w:p>
        </w:tc>
        <w:tc>
          <w:tcPr>
            <w:tcW w:w="1890" w:type="dxa"/>
            <w:vAlign w:val="center"/>
          </w:tcPr>
          <w:p w14:paraId="798999A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0.625 (0.018)</w:t>
            </w:r>
          </w:p>
        </w:tc>
      </w:tr>
      <w:tr w:rsidR="00934B57" w:rsidRPr="00934B57" w14:paraId="795FC3A3" w14:textId="77777777" w:rsidTr="00934B57">
        <w:trPr>
          <w:jc w:val="center"/>
        </w:trPr>
        <w:tc>
          <w:tcPr>
            <w:tcW w:w="2694" w:type="dxa"/>
            <w:tcBorders>
              <w:bottom w:val="single" w:sz="4" w:space="0" w:color="auto"/>
            </w:tcBorders>
            <w:noWrap/>
            <w:vAlign w:val="center"/>
          </w:tcPr>
          <w:p w14:paraId="6BDD21C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pEMT score</w:t>
            </w:r>
            <w:r w:rsidRPr="00934B57">
              <w:rPr>
                <w:rFonts w:eastAsia="等线" w:hint="eastAsia"/>
                <w:color w:val="000000" w:themeColor="text1"/>
                <w:sz w:val="20"/>
                <w:szCs w:val="24"/>
              </w:rPr>
              <w:t>,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C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-index (SE)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noWrap/>
            <w:vAlign w:val="center"/>
          </w:tcPr>
          <w:p w14:paraId="1D64F5AE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0.591 (0.017)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531E4C2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0.563 (0.016)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621CA6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0.574 (0.015)</w:t>
            </w:r>
          </w:p>
        </w:tc>
      </w:tr>
      <w:tr w:rsidR="00934B57" w:rsidRPr="00934B57" w14:paraId="1FB47AA5" w14:textId="77777777" w:rsidTr="00934B57">
        <w:trPr>
          <w:jc w:val="center"/>
        </w:trPr>
        <w:tc>
          <w:tcPr>
            <w:tcW w:w="2694" w:type="dxa"/>
            <w:tcBorders>
              <w:top w:val="single" w:sz="4" w:space="0" w:color="auto"/>
            </w:tcBorders>
            <w:noWrap/>
            <w:vAlign w:val="center"/>
          </w:tcPr>
          <w:p w14:paraId="69E130B5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sz w:val="20"/>
                <w:szCs w:val="24"/>
              </w:rPr>
              <w:t>GSE140082</w:t>
            </w:r>
            <w:r w:rsidRPr="00934B57">
              <w:rPr>
                <w:rFonts w:eastAsia="PMingLiU"/>
                <w:sz w:val="20"/>
                <w:szCs w:val="24"/>
              </w:rPr>
              <w:t xml:space="preserve"> </w:t>
            </w: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(n=380)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7F16908D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HeiT"/>
                <w:iCs/>
                <w:color w:val="000000" w:themeColor="text1"/>
                <w:sz w:val="20"/>
                <w:szCs w:val="22"/>
              </w:rPr>
            </w:pPr>
          </w:p>
        </w:tc>
      </w:tr>
      <w:tr w:rsidR="00934B57" w:rsidRPr="00934B57" w14:paraId="562ED725" w14:textId="77777777" w:rsidTr="00934B57">
        <w:trPr>
          <w:jc w:val="center"/>
        </w:trPr>
        <w:tc>
          <w:tcPr>
            <w:tcW w:w="2694" w:type="dxa"/>
            <w:tcBorders>
              <w:bottom w:val="single" w:sz="4" w:space="0" w:color="auto"/>
            </w:tcBorders>
            <w:noWrap/>
            <w:vAlign w:val="center"/>
          </w:tcPr>
          <w:p w14:paraId="69D1C48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Model*</w:t>
            </w:r>
            <w:r w:rsidRPr="00934B57">
              <w:rPr>
                <w:rFonts w:eastAsia="等线" w:hint="eastAsia"/>
                <w:color w:val="000000" w:themeColor="text1"/>
                <w:sz w:val="20"/>
                <w:szCs w:val="24"/>
              </w:rPr>
              <w:t>,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C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-index (SE)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F6CB4C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0.611 (0.033)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85EF773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0.600(0.031)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E47DE7A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0.647 (0.03)</w:t>
            </w:r>
          </w:p>
        </w:tc>
      </w:tr>
      <w:tr w:rsidR="00934B57" w:rsidRPr="00934B57" w14:paraId="79273ED7" w14:textId="77777777" w:rsidTr="00934B57">
        <w:trPr>
          <w:jc w:val="center"/>
        </w:trPr>
        <w:tc>
          <w:tcPr>
            <w:tcW w:w="2694" w:type="dxa"/>
            <w:tcBorders>
              <w:top w:val="single" w:sz="4" w:space="0" w:color="auto"/>
            </w:tcBorders>
            <w:noWrap/>
            <w:vAlign w:val="center"/>
          </w:tcPr>
          <w:p w14:paraId="5E0084C6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b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b/>
                <w:color w:val="000000" w:themeColor="text1"/>
                <w:sz w:val="20"/>
                <w:szCs w:val="24"/>
              </w:rPr>
              <w:t>GSE165808 (n=51)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F29411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</w:p>
        </w:tc>
      </w:tr>
      <w:tr w:rsidR="00934B57" w:rsidRPr="00934B57" w14:paraId="6983DC96" w14:textId="77777777" w:rsidTr="00934B57">
        <w:trPr>
          <w:jc w:val="center"/>
        </w:trPr>
        <w:tc>
          <w:tcPr>
            <w:tcW w:w="2694" w:type="dxa"/>
            <w:tcBorders>
              <w:bottom w:val="single" w:sz="8" w:space="0" w:color="auto"/>
            </w:tcBorders>
            <w:noWrap/>
            <w:vAlign w:val="center"/>
          </w:tcPr>
          <w:p w14:paraId="71A2C92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Model*</w:t>
            </w:r>
            <w:r w:rsidRPr="00934B57">
              <w:rPr>
                <w:rFonts w:eastAsia="等线" w:hint="eastAsia"/>
                <w:color w:val="000000" w:themeColor="text1"/>
                <w:sz w:val="20"/>
                <w:szCs w:val="24"/>
              </w:rPr>
              <w:t>,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 xml:space="preserve"> </w:t>
            </w:r>
            <w:r w:rsidRPr="00934B57">
              <w:rPr>
                <w:rFonts w:eastAsia="PMingLiU" w:hint="eastAsia"/>
                <w:color w:val="000000" w:themeColor="text1"/>
                <w:sz w:val="20"/>
                <w:szCs w:val="24"/>
              </w:rPr>
              <w:t>C</w:t>
            </w: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-index (SE)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vAlign w:val="center"/>
          </w:tcPr>
          <w:p w14:paraId="0D0C7B9F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0.697 (0.082)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vAlign w:val="center"/>
          </w:tcPr>
          <w:p w14:paraId="32EF4620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4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4"/>
              </w:rPr>
              <w:t>0.699(0.074)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vAlign w:val="center"/>
          </w:tcPr>
          <w:p w14:paraId="2061F86B" w14:textId="77777777" w:rsidR="00934B57" w:rsidRPr="00934B57" w:rsidRDefault="00934B57" w:rsidP="00934B57">
            <w:pPr>
              <w:autoSpaceDE w:val="0"/>
              <w:autoSpaceDN w:val="0"/>
              <w:spacing w:line="240" w:lineRule="auto"/>
              <w:jc w:val="left"/>
              <w:rPr>
                <w:rFonts w:eastAsia="PMingLiU"/>
                <w:iCs/>
                <w:color w:val="000000" w:themeColor="text1"/>
                <w:sz w:val="20"/>
                <w:szCs w:val="22"/>
              </w:rPr>
            </w:pPr>
            <w:r w:rsidRPr="00934B57">
              <w:rPr>
                <w:rFonts w:eastAsia="PMingLiU"/>
                <w:color w:val="000000" w:themeColor="text1"/>
                <w:sz w:val="20"/>
                <w:szCs w:val="22"/>
              </w:rPr>
              <w:t>0.742 (0.069)</w:t>
            </w:r>
          </w:p>
        </w:tc>
      </w:tr>
    </w:tbl>
    <w:p w14:paraId="0FC47BBB" w14:textId="2907C6A3" w:rsidR="00934B57" w:rsidRDefault="00934B57" w:rsidP="00934B57">
      <w:pPr>
        <w:pStyle w:val="TSP43tablefooter"/>
        <w:rPr>
          <w:rFonts w:cs="Times New Roman"/>
          <w:b/>
          <w:bCs/>
          <w:color w:val="000000" w:themeColor="text1"/>
          <w:szCs w:val="24"/>
        </w:rPr>
      </w:pPr>
      <w:r>
        <w:rPr>
          <w:rFonts w:eastAsia="PMingLiU" w:cs="Times New Roman"/>
          <w:szCs w:val="24"/>
        </w:rPr>
        <w:t>*</w:t>
      </w:r>
      <w:r>
        <w:t>Model includes age, stage, and p-EMT risk score. Cov only includes age and stage.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cs="Times New Roman"/>
          <w:szCs w:val="24"/>
        </w:rPr>
        <w:t xml:space="preserve">Abbreviations: </w:t>
      </w:r>
      <w:r>
        <w:rPr>
          <w:rFonts w:eastAsia="PMingLiU" w:cs="Times New Roman" w:hint="eastAsia"/>
          <w:color w:val="000000" w:themeColor="text1"/>
          <w:szCs w:val="24"/>
        </w:rPr>
        <w:t>C</w:t>
      </w:r>
      <w:r>
        <w:rPr>
          <w:rFonts w:eastAsia="PMingLiU" w:cs="Times New Roman"/>
          <w:color w:val="000000" w:themeColor="text1"/>
          <w:szCs w:val="24"/>
        </w:rPr>
        <w:t>-index</w:t>
      </w:r>
      <w:r>
        <w:rPr>
          <w:rFonts w:cs="Times New Roman"/>
          <w:szCs w:val="24"/>
        </w:rPr>
        <w:t xml:space="preserve">: concordance index; </w:t>
      </w:r>
      <w:r>
        <w:rPr>
          <w:rFonts w:eastAsia="PMingLiU" w:cs="Times New Roman"/>
          <w:color w:val="000000" w:themeColor="text1"/>
          <w:szCs w:val="24"/>
        </w:rPr>
        <w:t>SE</w:t>
      </w:r>
      <w:r>
        <w:rPr>
          <w:rFonts w:cs="Times New Roman"/>
          <w:szCs w:val="24"/>
        </w:rPr>
        <w:t>: standard error.</w:t>
      </w:r>
    </w:p>
    <w:p w14:paraId="37811AB4" w14:textId="77777777" w:rsidR="00C23685" w:rsidRPr="00553257" w:rsidRDefault="00C23685" w:rsidP="00C23685">
      <w:pPr>
        <w:suppressLineNumbers/>
        <w:rPr>
          <w:b/>
          <w:bCs/>
          <w:color w:val="000000" w:themeColor="text1"/>
          <w:szCs w:val="24"/>
        </w:rPr>
      </w:pPr>
      <w:r>
        <w:drawing>
          <wp:inline distT="0" distB="0" distL="0" distR="0" wp14:anchorId="2C325CD3" wp14:editId="231FC792">
            <wp:extent cx="5274310" cy="4258945"/>
            <wp:effectExtent l="0" t="0" r="2540" b="8255"/>
            <wp:docPr id="1019192573" name="图片 2" descr="图示, 工程绘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192573" name="图片 2" descr="图示, 工程绘图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5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A43A7" w14:textId="77777777" w:rsidR="00C23685" w:rsidRDefault="00C23685" w:rsidP="00C23685">
      <w:pPr>
        <w:suppressLineNumbers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Figure S1.</w:t>
      </w:r>
      <w:r>
        <w:t xml:space="preserve"> </w:t>
      </w:r>
      <w:r>
        <w:rPr>
          <w:b/>
          <w:bCs/>
          <w:color w:val="000000" w:themeColor="text1"/>
          <w:szCs w:val="24"/>
        </w:rPr>
        <w:t>Calibration plots evaluating the predictive accuracy of the nomogram for overall survival (OS) in the TCGA</w:t>
      </w:r>
      <w:r>
        <w:rPr>
          <w:rFonts w:hint="eastAsia"/>
          <w:b/>
          <w:bCs/>
          <w:color w:val="000000" w:themeColor="text1"/>
          <w:szCs w:val="24"/>
        </w:rPr>
        <w:t>-OV,</w:t>
      </w:r>
      <w:r>
        <w:rPr>
          <w:b/>
          <w:bCs/>
          <w:color w:val="000000" w:themeColor="text1"/>
          <w:szCs w:val="24"/>
        </w:rPr>
        <w:t xml:space="preserve"> </w:t>
      </w:r>
      <w:r>
        <w:rPr>
          <w:b/>
        </w:rPr>
        <w:t>GSE140082 and GSE165808</w:t>
      </w:r>
      <w:r>
        <w:rPr>
          <w:b/>
          <w:bCs/>
          <w:color w:val="000000" w:themeColor="text1"/>
          <w:szCs w:val="24"/>
        </w:rPr>
        <w:t>.</w:t>
      </w:r>
      <w:r>
        <w:rPr>
          <w:rFonts w:hint="eastAsia"/>
          <w:b/>
          <w:bCs/>
          <w:color w:val="000000" w:themeColor="text1"/>
          <w:szCs w:val="24"/>
        </w:rPr>
        <w:t xml:space="preserve"> </w:t>
      </w:r>
      <w:r>
        <w:rPr>
          <w:bCs/>
          <w:color w:val="000000" w:themeColor="text1"/>
          <w:szCs w:val="24"/>
        </w:rPr>
        <w:t xml:space="preserve">(A–C) The plots compare the predicted and observed OS probabilities at 1, 3, and 5 years in the TCGA-OV dataset. The dashed </w:t>
      </w:r>
      <w:r>
        <w:rPr>
          <w:bCs/>
          <w:color w:val="000000" w:themeColor="text1"/>
          <w:szCs w:val="24"/>
        </w:rPr>
        <w:lastRenderedPageBreak/>
        <w:t xml:space="preserve">gray line represents the ideal prediction. (D–E) The plots compare the predicted and observed OS probabilities at 1, 3, and 5 years in the </w:t>
      </w:r>
      <w:r>
        <w:t>GSE140082</w:t>
      </w:r>
      <w:r>
        <w:rPr>
          <w:bCs/>
          <w:color w:val="000000" w:themeColor="text1"/>
          <w:szCs w:val="24"/>
        </w:rPr>
        <w:t xml:space="preserve"> dataset. The dashed gray line represents the ideal prediction. (F–H) The plots compare the predicted and observed OS probabilities at 1, 3, and 5 years in the </w:t>
      </w:r>
      <w:r>
        <w:t>GSE165808</w:t>
      </w:r>
      <w:r>
        <w:rPr>
          <w:b/>
        </w:rPr>
        <w:t xml:space="preserve"> </w:t>
      </w:r>
      <w:r>
        <w:rPr>
          <w:bCs/>
          <w:color w:val="000000" w:themeColor="text1"/>
          <w:szCs w:val="24"/>
        </w:rPr>
        <w:t>dataset. The dashed gray line represents the ideal prediction.</w:t>
      </w:r>
    </w:p>
    <w:sectPr w:rsidR="00C2368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A4DB" w14:textId="77777777" w:rsidR="00597241" w:rsidRDefault="00597241" w:rsidP="00405919">
      <w:pPr>
        <w:spacing w:line="240" w:lineRule="auto"/>
      </w:pPr>
      <w:r>
        <w:separator/>
      </w:r>
    </w:p>
  </w:endnote>
  <w:endnote w:type="continuationSeparator" w:id="0">
    <w:p w14:paraId="56439B45" w14:textId="77777777" w:rsidR="00597241" w:rsidRDefault="00597241" w:rsidP="00405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iT">
    <w:altName w:val="Microsoft JhengHei"/>
    <w:charset w:val="88"/>
    <w:family w:val="swiss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F8712" w14:textId="77777777" w:rsidR="00597241" w:rsidRDefault="00597241" w:rsidP="00405919">
      <w:pPr>
        <w:spacing w:line="240" w:lineRule="auto"/>
      </w:pPr>
      <w:r>
        <w:separator/>
      </w:r>
    </w:p>
  </w:footnote>
  <w:footnote w:type="continuationSeparator" w:id="0">
    <w:p w14:paraId="790DDFFF" w14:textId="77777777" w:rsidR="00597241" w:rsidRDefault="00597241" w:rsidP="004059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15"/>
    <w:rsid w:val="000C1CDB"/>
    <w:rsid w:val="00167D48"/>
    <w:rsid w:val="00253F7A"/>
    <w:rsid w:val="002714EE"/>
    <w:rsid w:val="00273EFF"/>
    <w:rsid w:val="00315C91"/>
    <w:rsid w:val="00405919"/>
    <w:rsid w:val="00425DE1"/>
    <w:rsid w:val="0042613F"/>
    <w:rsid w:val="00444E21"/>
    <w:rsid w:val="005258B8"/>
    <w:rsid w:val="00597241"/>
    <w:rsid w:val="005C0944"/>
    <w:rsid w:val="005C60ED"/>
    <w:rsid w:val="00610BFB"/>
    <w:rsid w:val="007119A9"/>
    <w:rsid w:val="00714041"/>
    <w:rsid w:val="007327FE"/>
    <w:rsid w:val="007D2656"/>
    <w:rsid w:val="008A305C"/>
    <w:rsid w:val="00934B57"/>
    <w:rsid w:val="00937749"/>
    <w:rsid w:val="00952D5C"/>
    <w:rsid w:val="009C712C"/>
    <w:rsid w:val="00A15FB9"/>
    <w:rsid w:val="00C23685"/>
    <w:rsid w:val="00C92C15"/>
    <w:rsid w:val="00D14399"/>
    <w:rsid w:val="00D25790"/>
    <w:rsid w:val="00D30F0B"/>
    <w:rsid w:val="00DE58B5"/>
    <w:rsid w:val="00E43258"/>
    <w:rsid w:val="00F80D73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92CD1637-B911-48E8-89EA-BDE21B8F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849</Words>
  <Characters>4840</Characters>
  <Application>Microsoft Office Word</Application>
  <DocSecurity>0</DocSecurity>
  <Lines>40</Lines>
  <Paragraphs>11</Paragraphs>
  <ScaleCrop>false</ScaleCrop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Tech Science Press</cp:lastModifiedBy>
  <cp:revision>6</cp:revision>
  <dcterms:created xsi:type="dcterms:W3CDTF">2026-02-04T10:00:00Z</dcterms:created>
  <dcterms:modified xsi:type="dcterms:W3CDTF">2026-02-04T11:21:00Z</dcterms:modified>
</cp:coreProperties>
</file>