
<file path=[Content_Types].xml><?xml version="1.0" encoding="utf-8"?>
<Types xmlns="http://schemas.openxmlformats.org/package/2006/content-types">
  <Default Extension="tiff" ContentType="image/tiff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43C14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4"/>
          <w:lang w:val="en-US"/>
        </w:rPr>
      </w:pPr>
      <w:r>
        <w:rPr>
          <w:rFonts w:ascii="Times New Roman" w:hAnsi="Times New Roman" w:cs="Times New Roman"/>
          <w:b/>
          <w:sz w:val="28"/>
          <w:szCs w:val="24"/>
          <w:lang w:val="en-US"/>
        </w:rPr>
        <w:t>8) Supplementary data</w:t>
      </w:r>
    </w:p>
    <w:p w14:paraId="7F5A5672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S1 (color-blind reader version)</w:t>
      </w:r>
    </w:p>
    <w:p w14:paraId="47B34036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bookmarkStart w:id="0" w:name="_GoBack"/>
      <w:r>
        <w:rPr>
          <w:rFonts w:ascii="Times New Roman" w:hAnsi="Times New Roman" w:cs="Times New Roman"/>
          <w:b/>
          <w:i/>
          <w:sz w:val="24"/>
          <w:szCs w:val="24"/>
          <w:lang w:eastAsia="fr-FR"/>
        </w:rPr>
        <w:drawing>
          <wp:inline distT="0" distB="0" distL="0" distR="0">
            <wp:extent cx="5759450" cy="5776595"/>
            <wp:effectExtent l="0" t="0" r="1270" b="14605"/>
            <wp:docPr id="6" name="Image 6" descr="C:/Users/ZixLi/Downloads/Fig.1bis color-blind reader.tifFig.1bis color-blind rea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C:/Users/ZixLi/Downloads/Fig.1bis color-blind reader.tifFig.1bis color-blind reader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54" r="15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77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2B3279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en-US" w:eastAsia="fr-FR"/>
          <w14:ligatures w14:val="none"/>
        </w:rPr>
        <w:t>Figure S1: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fr-FR"/>
          <w14:ligatures w14:val="none"/>
        </w:rPr>
        <w:t xml:space="preserve"> Transcriptomic</w:t>
      </w:r>
      <w:r>
        <w:rPr>
          <w:rFonts w:ascii="Times New Roman" w:hAnsi="Times New Roman" w:eastAsia="Times New Roman" w:cs="Times New Roman"/>
          <w:b/>
          <w:bCs/>
          <w:kern w:val="0"/>
          <w:sz w:val="24"/>
          <w:szCs w:val="24"/>
          <w:lang w:val="en-US" w:eastAsia="fr-FR"/>
          <w14:ligatures w14:val="none"/>
        </w:rPr>
        <w:t xml:space="preserve"> profiles of HIV-associated diffuse large B-cell lymphomas (DLBCL).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fr-FR"/>
          <w14:ligatures w14:val="none"/>
        </w:rPr>
        <w:t xml:space="preserve">Heatmap representing the differential gene expression profiles of 24 samples (12 biological samples with two technical replicates each). The samples are divided into two distinct transcriptomic subgroups (Cluster I and Cluster II) based on unsupervised hierarchical clustering. Genes with significantly altered expression levels are displayed on the ordinate axis, with </w:t>
      </w:r>
      <w:r>
        <w:rPr>
          <w:rFonts w:ascii="Times New Roman" w:hAnsi="Times New Roman" w:eastAsia="Times New Roman" w:cs="Times New Roman"/>
          <w:b/>
          <w:bCs/>
          <w:i/>
          <w:iCs/>
          <w:kern w:val="0"/>
          <w:sz w:val="24"/>
          <w:szCs w:val="24"/>
          <w:lang w:val="en-US" w:eastAsia="fr-FR"/>
          <w14:ligatures w14:val="none"/>
        </w:rPr>
        <w:t>overexpressed genes shown in yellow and under expressed genes in blue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fr-FR"/>
          <w14:ligatures w14:val="none"/>
        </w:rPr>
        <w:t xml:space="preserve">. The abscissa separates the samples into the identified clusters, highlighting distinct gene expression patterns between the groups. The clustering was performed using normalized data (quantile normalization) and median-adjusted gene expression levels, with Pearson correlation as the similarity metric and average linkage as the clustering method. These transcriptomic signatures underline the heterogeneity of HIV-associated DLBCL and suggest potential molecular differences between the two clusters.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br w:type="page"/>
      </w:r>
    </w:p>
    <w:p w14:paraId="6E01B83F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S2 (color-blind reader version)</w:t>
      </w:r>
    </w:p>
    <w:p w14:paraId="5306292B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eastAsia="fr-FR"/>
        </w:rPr>
        <w:drawing>
          <wp:inline distT="0" distB="0" distL="0" distR="0">
            <wp:extent cx="5759450" cy="383286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8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64032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eastAsia="Times New Roman" w:cs="Times New Roman"/>
          <w:b/>
          <w:bCs/>
          <w:kern w:val="0"/>
          <w:sz w:val="24"/>
          <w:szCs w:val="24"/>
          <w:lang w:val="en-US" w:eastAsia="fr-FR"/>
          <w14:ligatures w14:val="none"/>
        </w:rPr>
        <w:t>Figure S2: Heatmap Depicting the Expression of Differentially Expressed Genes Involved in Lymphoma Pathophysiology: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fr-FR"/>
          <w14:ligatures w14:val="none"/>
        </w:rPr>
        <w:t xml:space="preserve"> The heatmap visualizes the expression patterns of a selection of genes differentially expressed in lymphoma and hematologic malignancies, focusing on pathways critical to their physiopathology. These include key genes implicated in cell proliferation (e.g., PI3K-AKT pathway, B-cell receptor pathway), apoptosis (e.g., BCL2, BCL2L12, BBC3/PUMA), inflammation and immune signaling (e.g., IL1B, STAT1, IRF7), and canonical pathways such as NF-κB and JAK-STAT. The expression levels are median-centered to highlight </w:t>
      </w:r>
      <w:r>
        <w:rPr>
          <w:rFonts w:ascii="Times New Roman" w:hAnsi="Times New Roman" w:eastAsia="Times New Roman" w:cs="Times New Roman"/>
          <w:b/>
          <w:bCs/>
          <w:i/>
          <w:iCs/>
          <w:kern w:val="0"/>
          <w:sz w:val="24"/>
          <w:szCs w:val="24"/>
          <w:lang w:val="en-US" w:eastAsia="fr-FR"/>
          <w14:ligatures w14:val="none"/>
        </w:rPr>
        <w:t>relative upregulation (yellow) and downregulation (blue)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fr-FR"/>
          <w14:ligatures w14:val="none"/>
        </w:rPr>
        <w:t xml:space="preserve"> across samples. Genes such as REL, BCL7A, and TP53 highlight their central role in HIV-associated lymphomas, while others like CARD11 and PLCG2 emphasize signaling disruptions in malignancies.</w:t>
      </w:r>
    </w:p>
    <w:p w14:paraId="23B99562">
      <w:pPr>
        <w:spacing w:line="360" w:lineRule="auto"/>
        <w:jc w:val="both"/>
        <w:rPr>
          <w:rFonts w:ascii="Times New Roman" w:hAnsi="Times New Roman" w:cs="Times New Roman"/>
          <w:sz w:val="28"/>
          <w:szCs w:val="24"/>
          <w:lang w:val="en-US"/>
        </w:rPr>
      </w:pPr>
      <w:r>
        <w:rPr>
          <w:rFonts w:ascii="Times New Roman" w:hAnsi="Times New Roman" w:cs="Times New Roman"/>
          <w:sz w:val="28"/>
          <w:szCs w:val="24"/>
          <w:lang w:val="en-US"/>
        </w:rPr>
        <w:fldChar w:fldCharType="begin"/>
      </w:r>
      <w:r>
        <w:rPr>
          <w:rFonts w:ascii="Times New Roman" w:hAnsi="Times New Roman" w:cs="Times New Roman"/>
          <w:sz w:val="28"/>
          <w:szCs w:val="24"/>
          <w:lang w:val="en-US"/>
        </w:rPr>
        <w:instrText xml:space="preserve"> ADDIN </w:instrText>
      </w:r>
      <w:r>
        <w:rPr>
          <w:rFonts w:ascii="Times New Roman" w:hAnsi="Times New Roman" w:cs="Times New Roman"/>
          <w:sz w:val="28"/>
          <w:szCs w:val="24"/>
          <w:lang w:val="en-US"/>
        </w:rPr>
        <w:fldChar w:fldCharType="end"/>
      </w:r>
    </w:p>
    <w:p w14:paraId="21A49490">
      <w:pPr>
        <w:rPr>
          <w:lang w:val="en-US"/>
        </w:rPr>
      </w:pPr>
    </w:p>
    <w:sectPr>
      <w:pgSz w:w="11906" w:h="16838"/>
      <w:pgMar w:top="1418" w:right="1418" w:bottom="1418" w:left="1418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5881"/>
    <w:rsid w:val="000D31B7"/>
    <w:rsid w:val="0021458E"/>
    <w:rsid w:val="00600D38"/>
    <w:rsid w:val="00825881"/>
    <w:rsid w:val="00B61C4B"/>
    <w:rsid w:val="00BD1943"/>
    <w:rsid w:val="00F173D5"/>
    <w:rsid w:val="00F94B3C"/>
    <w:rsid w:val="4E5756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fr-FR" w:eastAsia="en-US" w:bidi="ar-SA"/>
      <w14:ligatures w14:val="standardContextual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320"/>
        <w:tab w:val="right" w:pos="8640"/>
      </w:tabs>
      <w:spacing w:after="0" w:line="240" w:lineRule="auto"/>
    </w:pPr>
  </w:style>
  <w:style w:type="paragraph" w:styleId="3">
    <w:name w:val="header"/>
    <w:basedOn w:val="1"/>
    <w:link w:val="6"/>
    <w:unhideWhenUsed/>
    <w:qFormat/>
    <w:uiPriority w:val="99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6">
    <w:name w:val="Header Char"/>
    <w:basedOn w:val="5"/>
    <w:link w:val="3"/>
    <w:uiPriority w:val="99"/>
  </w:style>
  <w:style w:type="character" w:customStyle="1" w:styleId="7">
    <w:name w:val="Footer Char"/>
    <w:basedOn w:val="5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emf"/><Relationship Id="rId6" Type="http://schemas.openxmlformats.org/officeDocument/2006/relationships/image" Target="media/image1.tiff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 Corporation</Company>
  <Pages>2</Pages>
  <Words>262</Words>
  <Characters>1753</Characters>
  <Lines>14</Lines>
  <Paragraphs>4</Paragraphs>
  <TotalTime>1</TotalTime>
  <ScaleCrop>false</ScaleCrop>
  <LinksUpToDate>false</LinksUpToDate>
  <CharactersWithSpaces>2011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2026-04-21T04:57:00Z</dcterms:created>
  <dc:creator>Regis</dc:creator>
  <cp:lastModifiedBy>Mia Du</cp:lastModifiedBy>
  <dcterms:modified xsi:type="dcterms:W3CDTF">2026-05-19T06:38:07Z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eyJoZGlkIjoiYjJjOTQxYzhjODMyMDAzZmE0MDJkMWFkNmJlNDkwYTUiLCJ1c2VySWQiOiIxNzMyMzE5OTc5In0=</vt:lpwstr>
  </property>
  <property fmtid="{D5CDD505-2E9C-101B-9397-08002B2CF9AE}" pid="3" name="KSOProductBuildVer">
    <vt:lpwstr>2052-12.1.0.26375</vt:lpwstr>
  </property>
  <property fmtid="{D5CDD505-2E9C-101B-9397-08002B2CF9AE}" pid="4" name="ICV">
    <vt:lpwstr>55221713CDA3496D82E91238BCB857A7_13</vt:lpwstr>
  </property>
</Properties>
</file>