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D9829" w14:textId="77777777" w:rsidR="00872A7E" w:rsidRDefault="00037403">
      <w:pPr>
        <w:pStyle w:val="ListParagraph"/>
        <w:numPr>
          <w:ilvl w:val="0"/>
          <w:numId w:val="1"/>
        </w:numPr>
        <w:spacing w:before="96" w:after="96"/>
        <w:rPr>
          <w:rFonts w:asciiTheme="majorBidi" w:hAnsiTheme="majorBidi" w:cstheme="majorBidi"/>
          <w:b/>
          <w:bCs/>
          <w:sz w:val="20"/>
          <w:szCs w:val="20"/>
          <w:lang w:bidi="ar-EG"/>
        </w:rPr>
      </w:pPr>
      <w:r>
        <w:rPr>
          <w:rFonts w:asciiTheme="majorBidi" w:hAnsiTheme="majorBidi" w:cstheme="majorBidi"/>
          <w:b/>
          <w:bCs/>
          <w:sz w:val="20"/>
          <w:szCs w:val="20"/>
        </w:rPr>
        <w:t>PRISMA checklist:</w:t>
      </w:r>
    </w:p>
    <w:p w14:paraId="34DD982A" w14:textId="77777777" w:rsidR="00872A7E" w:rsidRDefault="00037403">
      <w:pPr>
        <w:pStyle w:val="ListParagraph"/>
        <w:spacing w:before="96" w:after="96"/>
        <w:ind w:left="1080" w:firstLine="0"/>
        <w:rPr>
          <w:rFonts w:asciiTheme="majorBidi" w:hAnsiTheme="majorBidi" w:cstheme="majorBidi"/>
          <w:b/>
          <w:bCs/>
          <w:sz w:val="20"/>
          <w:szCs w:val="20"/>
          <w:rtl/>
          <w:lang w:bidi="ar-EG"/>
        </w:rPr>
      </w:pPr>
      <w:r>
        <w:rPr>
          <w:rFonts w:asciiTheme="majorBidi" w:hAnsiTheme="majorBidi" w:cstheme="majorBidi"/>
          <w:b/>
          <w:bCs/>
          <w:sz w:val="20"/>
          <w:szCs w:val="20"/>
        </w:rPr>
        <w:t xml:space="preserve"> </w:t>
      </w:r>
      <w:r>
        <w:rPr>
          <w:rFonts w:asciiTheme="majorBidi" w:hAnsiTheme="majorBidi" w:cstheme="majorBidi"/>
          <w:b/>
          <w:bCs/>
          <w:sz w:val="20"/>
          <w:szCs w:val="20"/>
          <w:cs/>
        </w:rPr>
        <w:t>‎</w:t>
      </w:r>
    </w:p>
    <w:tbl>
      <w:tblPr>
        <w:tblW w:w="13962" w:type="dxa"/>
        <w:tblLayout w:type="fixed"/>
        <w:tblCellMar>
          <w:left w:w="14" w:type="dxa"/>
          <w:right w:w="26" w:type="dxa"/>
        </w:tblCellMar>
        <w:tblLook w:val="04A0" w:firstRow="1" w:lastRow="0" w:firstColumn="1" w:lastColumn="0" w:noHBand="0" w:noVBand="1"/>
      </w:tblPr>
      <w:tblGrid>
        <w:gridCol w:w="1429"/>
        <w:gridCol w:w="426"/>
        <w:gridCol w:w="4924"/>
        <w:gridCol w:w="1413"/>
        <w:gridCol w:w="5461"/>
        <w:gridCol w:w="249"/>
        <w:gridCol w:w="60"/>
      </w:tblGrid>
      <w:tr w:rsidR="00872A7E" w14:paraId="34DD9830" w14:textId="77777777">
        <w:trPr>
          <w:gridAfter w:val="2"/>
          <w:wAfter w:w="309" w:type="dxa"/>
          <w:trHeight w:val="65"/>
          <w:tblHeader/>
        </w:trPr>
        <w:tc>
          <w:tcPr>
            <w:tcW w:w="142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34DD982B"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Section and Topic </w:t>
            </w:r>
          </w:p>
        </w:tc>
        <w:tc>
          <w:tcPr>
            <w:tcW w:w="426"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34DD982C" w14:textId="77777777" w:rsidR="00872A7E" w:rsidRDefault="00037403">
            <w:pPr>
              <w:widowControl w:val="0"/>
              <w:autoSpaceDE w:val="0"/>
              <w:autoSpaceDN w:val="0"/>
              <w:adjustRightInd w:val="0"/>
              <w:spacing w:beforeLines="0" w:before="0" w:afterLines="0" w:after="0"/>
              <w:ind w:firstLine="0"/>
              <w:rPr>
                <w:rFonts w:asciiTheme="majorBidi" w:eastAsia="SimSun" w:hAnsiTheme="majorBidi" w:cstheme="majorBidi"/>
                <w:b/>
                <w:bCs/>
                <w:sz w:val="20"/>
                <w:szCs w:val="20"/>
                <w:lang w:eastAsia="zh-CN"/>
                <w14:ligatures w14:val="none"/>
              </w:rPr>
            </w:pPr>
            <w:r>
              <w:rPr>
                <w:rFonts w:asciiTheme="majorBidi" w:eastAsia="Times New Roman" w:hAnsiTheme="majorBidi" w:cstheme="majorBidi"/>
                <w:b/>
                <w:bCs/>
                <w:sz w:val="20"/>
                <w:szCs w:val="20"/>
                <w:lang w:val="en-CA" w:eastAsia="en-CA"/>
                <w14:ligatures w14:val="none"/>
              </w:rPr>
              <w:t xml:space="preserve">Item </w:t>
            </w:r>
            <w:r>
              <w:rPr>
                <w:rFonts w:asciiTheme="majorBidi" w:eastAsia="SimSun" w:hAnsiTheme="majorBidi" w:cstheme="majorBidi"/>
                <w:b/>
                <w:bCs/>
                <w:sz w:val="20"/>
                <w:szCs w:val="20"/>
                <w:lang w:eastAsia="zh-CN"/>
                <w14:ligatures w14:val="none"/>
              </w:rPr>
              <w:t>No</w:t>
            </w:r>
          </w:p>
        </w:tc>
        <w:tc>
          <w:tcPr>
            <w:tcW w:w="4924"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4DD982D"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Checklist item </w:t>
            </w:r>
          </w:p>
        </w:tc>
        <w:tc>
          <w:tcPr>
            <w:tcW w:w="141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4DD982E"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Reported on Page Number/Line Number </w:t>
            </w:r>
          </w:p>
        </w:tc>
        <w:tc>
          <w:tcPr>
            <w:tcW w:w="5461"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4DD982F"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b/>
                <w:bCs/>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Reported on Section/Paragraph</w:t>
            </w:r>
          </w:p>
        </w:tc>
      </w:tr>
      <w:tr w:rsidR="00872A7E" w14:paraId="34DD9834" w14:textId="77777777">
        <w:trPr>
          <w:gridAfter w:val="2"/>
          <w:wAfter w:w="309" w:type="dxa"/>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831"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TITLE </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832"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833"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r>
      <w:tr w:rsidR="00872A7E" w14:paraId="34DD983A" w14:textId="77777777">
        <w:trPr>
          <w:gridAfter w:val="2"/>
          <w:wAfter w:w="309" w:type="dxa"/>
          <w:trHeight w:val="48"/>
        </w:trPr>
        <w:tc>
          <w:tcPr>
            <w:tcW w:w="1429" w:type="dxa"/>
            <w:tcBorders>
              <w:top w:val="single" w:sz="4" w:space="0" w:color="000000"/>
              <w:left w:val="single" w:sz="4" w:space="0" w:color="000000"/>
              <w:bottom w:val="double" w:sz="2" w:space="0" w:color="FFFFCC"/>
              <w:right w:val="single" w:sz="4" w:space="0" w:color="000000"/>
            </w:tcBorders>
          </w:tcPr>
          <w:p w14:paraId="34DD983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Title </w:t>
            </w:r>
          </w:p>
        </w:tc>
        <w:tc>
          <w:tcPr>
            <w:tcW w:w="426" w:type="dxa"/>
            <w:tcBorders>
              <w:top w:val="single" w:sz="4" w:space="0" w:color="000000"/>
              <w:left w:val="single" w:sz="4" w:space="0" w:color="000000"/>
              <w:bottom w:val="double" w:sz="2" w:space="0" w:color="FFFFCC"/>
              <w:right w:val="single" w:sz="4" w:space="0" w:color="000000"/>
            </w:tcBorders>
          </w:tcPr>
          <w:p w14:paraId="34DD9836"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w:t>
            </w:r>
          </w:p>
        </w:tc>
        <w:tc>
          <w:tcPr>
            <w:tcW w:w="4924" w:type="dxa"/>
            <w:tcBorders>
              <w:top w:val="single" w:sz="4" w:space="0" w:color="000000"/>
              <w:left w:val="single" w:sz="4" w:space="0" w:color="000000"/>
              <w:bottom w:val="double" w:sz="4" w:space="0" w:color="000000"/>
              <w:right w:val="single" w:sz="4" w:space="0" w:color="000000"/>
            </w:tcBorders>
          </w:tcPr>
          <w:p w14:paraId="34DD983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Identify the report as a systematic review.</w:t>
            </w:r>
          </w:p>
        </w:tc>
        <w:tc>
          <w:tcPr>
            <w:tcW w:w="1413" w:type="dxa"/>
            <w:tcBorders>
              <w:top w:val="single" w:sz="4" w:space="0" w:color="000000"/>
              <w:left w:val="single" w:sz="4" w:space="0" w:color="000000"/>
              <w:bottom w:val="double" w:sz="4" w:space="0" w:color="000000"/>
              <w:right w:val="single" w:sz="4" w:space="0" w:color="000000"/>
            </w:tcBorders>
          </w:tcPr>
          <w:p w14:paraId="34DD983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1/3-5</w:t>
            </w:r>
          </w:p>
        </w:tc>
        <w:tc>
          <w:tcPr>
            <w:tcW w:w="5461" w:type="dxa"/>
            <w:tcBorders>
              <w:top w:val="single" w:sz="4" w:space="0" w:color="000000"/>
              <w:left w:val="single" w:sz="4" w:space="0" w:color="000000"/>
              <w:bottom w:val="double" w:sz="4" w:space="0" w:color="000000"/>
              <w:right w:val="single" w:sz="4" w:space="0" w:color="000000"/>
            </w:tcBorders>
          </w:tcPr>
          <w:p w14:paraId="34DD983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Title; Abstract (first paragraph: “PRISMA-compliant systematic review and random-effects meta-analysis”)</w:t>
            </w:r>
          </w:p>
        </w:tc>
      </w:tr>
      <w:tr w:rsidR="00872A7E" w14:paraId="34DD9840" w14:textId="77777777">
        <w:trPr>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83B"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ABSTRACT </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83C"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83D"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249" w:type="dxa"/>
          </w:tcPr>
          <w:p w14:paraId="34DD983E"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c>
          <w:tcPr>
            <w:tcW w:w="60" w:type="dxa"/>
          </w:tcPr>
          <w:p w14:paraId="34DD983F"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r>
      <w:tr w:rsidR="00872A7E" w14:paraId="34DD9846" w14:textId="77777777">
        <w:trPr>
          <w:gridAfter w:val="2"/>
          <w:wAfter w:w="309" w:type="dxa"/>
          <w:trHeight w:val="48"/>
        </w:trPr>
        <w:tc>
          <w:tcPr>
            <w:tcW w:w="1429" w:type="dxa"/>
            <w:tcBorders>
              <w:top w:val="single" w:sz="4" w:space="0" w:color="000000"/>
              <w:left w:val="single" w:sz="4" w:space="0" w:color="000000"/>
              <w:bottom w:val="double" w:sz="2" w:space="0" w:color="FFFFCC"/>
              <w:right w:val="single" w:sz="4" w:space="0" w:color="000000"/>
            </w:tcBorders>
          </w:tcPr>
          <w:p w14:paraId="34DD984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Abstract </w:t>
            </w:r>
          </w:p>
        </w:tc>
        <w:tc>
          <w:tcPr>
            <w:tcW w:w="426" w:type="dxa"/>
            <w:tcBorders>
              <w:top w:val="single" w:sz="4" w:space="0" w:color="000000"/>
              <w:left w:val="single" w:sz="4" w:space="0" w:color="000000"/>
              <w:bottom w:val="double" w:sz="2" w:space="0" w:color="FFFFCC"/>
              <w:right w:val="single" w:sz="4" w:space="0" w:color="000000"/>
            </w:tcBorders>
          </w:tcPr>
          <w:p w14:paraId="34DD9842"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w:t>
            </w:r>
          </w:p>
        </w:tc>
        <w:tc>
          <w:tcPr>
            <w:tcW w:w="4924" w:type="dxa"/>
            <w:tcBorders>
              <w:top w:val="single" w:sz="4" w:space="0" w:color="000000"/>
              <w:left w:val="single" w:sz="4" w:space="0" w:color="000000"/>
              <w:bottom w:val="double" w:sz="4" w:space="0" w:color="000000"/>
              <w:right w:val="single" w:sz="4" w:space="0" w:color="000000"/>
            </w:tcBorders>
          </w:tcPr>
          <w:p w14:paraId="34DD984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See the PRISMA 2020 for Abstracts checklist.</w:t>
            </w:r>
          </w:p>
        </w:tc>
        <w:tc>
          <w:tcPr>
            <w:tcW w:w="1413" w:type="dxa"/>
            <w:tcBorders>
              <w:top w:val="single" w:sz="4" w:space="0" w:color="000000"/>
              <w:left w:val="single" w:sz="4" w:space="0" w:color="000000"/>
              <w:bottom w:val="double" w:sz="4" w:space="0" w:color="000000"/>
              <w:right w:val="single" w:sz="4" w:space="0" w:color="000000"/>
            </w:tcBorders>
          </w:tcPr>
          <w:p w14:paraId="34DD984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1/14-37</w:t>
            </w:r>
          </w:p>
        </w:tc>
        <w:tc>
          <w:tcPr>
            <w:tcW w:w="5461" w:type="dxa"/>
            <w:tcBorders>
              <w:top w:val="single" w:sz="4" w:space="0" w:color="000000"/>
              <w:left w:val="single" w:sz="4" w:space="0" w:color="000000"/>
              <w:bottom w:val="double" w:sz="4" w:space="0" w:color="000000"/>
              <w:right w:val="single" w:sz="4" w:space="0" w:color="000000"/>
            </w:tcBorders>
          </w:tcPr>
          <w:p w14:paraId="34DD984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Abstract (entire section: objectives, data sources, eligibility, methods, results, conclusions)</w:t>
            </w:r>
          </w:p>
        </w:tc>
      </w:tr>
      <w:tr w:rsidR="00872A7E" w14:paraId="34DD984C" w14:textId="77777777">
        <w:trPr>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847"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INTRODUCTION </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848"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849"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249" w:type="dxa"/>
          </w:tcPr>
          <w:p w14:paraId="34DD984A"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c>
          <w:tcPr>
            <w:tcW w:w="60" w:type="dxa"/>
          </w:tcPr>
          <w:p w14:paraId="34DD984B"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r>
      <w:tr w:rsidR="00872A7E" w14:paraId="34DD9852"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4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Rationale </w:t>
            </w:r>
          </w:p>
        </w:tc>
        <w:tc>
          <w:tcPr>
            <w:tcW w:w="426" w:type="dxa"/>
            <w:tcBorders>
              <w:top w:val="single" w:sz="4" w:space="0" w:color="000000"/>
              <w:left w:val="single" w:sz="4" w:space="0" w:color="000000"/>
              <w:bottom w:val="single" w:sz="4" w:space="0" w:color="000000"/>
              <w:right w:val="single" w:sz="4" w:space="0" w:color="000000"/>
            </w:tcBorders>
          </w:tcPr>
          <w:p w14:paraId="34DD984E"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3</w:t>
            </w:r>
          </w:p>
        </w:tc>
        <w:tc>
          <w:tcPr>
            <w:tcW w:w="4924" w:type="dxa"/>
            <w:tcBorders>
              <w:top w:val="single" w:sz="4" w:space="0" w:color="000000"/>
              <w:left w:val="single" w:sz="4" w:space="0" w:color="000000"/>
              <w:bottom w:val="single" w:sz="4" w:space="0" w:color="000000"/>
              <w:right w:val="single" w:sz="4" w:space="0" w:color="000000"/>
            </w:tcBorders>
          </w:tcPr>
          <w:p w14:paraId="34DD984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the rationale for the review in the context of existing knowledge.</w:t>
            </w:r>
          </w:p>
        </w:tc>
        <w:tc>
          <w:tcPr>
            <w:tcW w:w="1413" w:type="dxa"/>
            <w:tcBorders>
              <w:top w:val="single" w:sz="4" w:space="0" w:color="000000"/>
              <w:left w:val="single" w:sz="4" w:space="0" w:color="000000"/>
              <w:bottom w:val="single" w:sz="4" w:space="0" w:color="000000"/>
              <w:right w:val="single" w:sz="4" w:space="0" w:color="000000"/>
            </w:tcBorders>
          </w:tcPr>
          <w:p w14:paraId="34DD9850"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2-3/50-79</w:t>
            </w:r>
          </w:p>
        </w:tc>
        <w:tc>
          <w:tcPr>
            <w:tcW w:w="5461" w:type="dxa"/>
            <w:tcBorders>
              <w:top w:val="single" w:sz="4" w:space="0" w:color="000000"/>
              <w:left w:val="single" w:sz="4" w:space="0" w:color="000000"/>
              <w:bottom w:val="single" w:sz="4" w:space="0" w:color="000000"/>
              <w:right w:val="single" w:sz="4" w:space="0" w:color="000000"/>
            </w:tcBorders>
          </w:tcPr>
          <w:p w14:paraId="34DD985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Introduction  1</w:t>
            </w:r>
            <w:proofErr w:type="gramEnd"/>
            <w:r>
              <w:rPr>
                <w:rFonts w:asciiTheme="majorBidi" w:eastAsia="Times New Roman" w:hAnsiTheme="majorBidi" w:cstheme="majorBidi"/>
                <w:sz w:val="20"/>
                <w:szCs w:val="20"/>
                <w:lang w:eastAsia="en-CA"/>
                <w14:ligatures w14:val="none"/>
              </w:rPr>
              <w:t>, paragraphs 1-2 (precision oncology context; biomarker classes; clinical implementation challenges)</w:t>
            </w:r>
          </w:p>
        </w:tc>
      </w:tr>
      <w:tr w:rsidR="00872A7E" w14:paraId="34DD9858" w14:textId="77777777">
        <w:trPr>
          <w:gridAfter w:val="2"/>
          <w:wAfter w:w="309" w:type="dxa"/>
          <w:trHeight w:val="48"/>
        </w:trPr>
        <w:tc>
          <w:tcPr>
            <w:tcW w:w="1429" w:type="dxa"/>
            <w:tcBorders>
              <w:top w:val="single" w:sz="4" w:space="0" w:color="000000"/>
              <w:left w:val="single" w:sz="4" w:space="0" w:color="000000"/>
              <w:bottom w:val="double" w:sz="2" w:space="0" w:color="FFFFCC"/>
              <w:right w:val="single" w:sz="4" w:space="0" w:color="000000"/>
            </w:tcBorders>
          </w:tcPr>
          <w:p w14:paraId="34DD985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Objectives </w:t>
            </w:r>
          </w:p>
        </w:tc>
        <w:tc>
          <w:tcPr>
            <w:tcW w:w="426" w:type="dxa"/>
            <w:tcBorders>
              <w:top w:val="single" w:sz="4" w:space="0" w:color="000000"/>
              <w:left w:val="single" w:sz="4" w:space="0" w:color="000000"/>
              <w:bottom w:val="double" w:sz="2" w:space="0" w:color="FFFFCC"/>
              <w:right w:val="single" w:sz="4" w:space="0" w:color="000000"/>
            </w:tcBorders>
          </w:tcPr>
          <w:p w14:paraId="34DD9854"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4</w:t>
            </w:r>
          </w:p>
        </w:tc>
        <w:tc>
          <w:tcPr>
            <w:tcW w:w="4924" w:type="dxa"/>
            <w:tcBorders>
              <w:top w:val="single" w:sz="4" w:space="0" w:color="000000"/>
              <w:left w:val="single" w:sz="4" w:space="0" w:color="000000"/>
              <w:bottom w:val="double" w:sz="4" w:space="0" w:color="000000"/>
              <w:right w:val="single" w:sz="4" w:space="0" w:color="000000"/>
            </w:tcBorders>
          </w:tcPr>
          <w:p w14:paraId="34DD985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Provide an explicit statement of the objective(s) or question(s) the review addresses.</w:t>
            </w:r>
          </w:p>
        </w:tc>
        <w:tc>
          <w:tcPr>
            <w:tcW w:w="1413" w:type="dxa"/>
            <w:tcBorders>
              <w:top w:val="single" w:sz="4" w:space="0" w:color="000000"/>
              <w:left w:val="single" w:sz="4" w:space="0" w:color="000000"/>
              <w:bottom w:val="double" w:sz="4" w:space="0" w:color="000000"/>
              <w:right w:val="single" w:sz="4" w:space="0" w:color="000000"/>
            </w:tcBorders>
          </w:tcPr>
          <w:p w14:paraId="34DD985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2-4/48</w:t>
            </w:r>
            <w:r>
              <w:rPr>
                <w:rFonts w:asciiTheme="majorBidi" w:eastAsia="Times New Roman" w:hAnsiTheme="majorBidi" w:cstheme="majorBidi"/>
                <w:sz w:val="20"/>
                <w:szCs w:val="20"/>
                <w:lang w:val="en-CA" w:eastAsia="en-CA"/>
                <w14:ligatures w14:val="none"/>
              </w:rPr>
              <w:t>-97</w:t>
            </w:r>
          </w:p>
        </w:tc>
        <w:tc>
          <w:tcPr>
            <w:tcW w:w="5461" w:type="dxa"/>
            <w:tcBorders>
              <w:top w:val="single" w:sz="4" w:space="0" w:color="000000"/>
              <w:left w:val="single" w:sz="4" w:space="0" w:color="000000"/>
              <w:bottom w:val="double" w:sz="4" w:space="0" w:color="000000"/>
              <w:right w:val="single" w:sz="4" w:space="0" w:color="000000"/>
            </w:tcBorders>
          </w:tcPr>
          <w:p w14:paraId="34DD985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Introduction  1</w:t>
            </w:r>
            <w:proofErr w:type="gramEnd"/>
            <w:r>
              <w:rPr>
                <w:rFonts w:asciiTheme="majorBidi" w:eastAsia="Times New Roman" w:hAnsiTheme="majorBidi" w:cstheme="majorBidi"/>
                <w:sz w:val="20"/>
                <w:szCs w:val="20"/>
                <w:lang w:eastAsia="en-CA"/>
                <w14:ligatures w14:val="none"/>
              </w:rPr>
              <w:t xml:space="preserve">, final paragraph; </w:t>
            </w:r>
            <w:proofErr w:type="gramStart"/>
            <w:r>
              <w:rPr>
                <w:rFonts w:asciiTheme="majorBidi" w:eastAsia="Times New Roman" w:hAnsiTheme="majorBidi" w:cstheme="majorBidi"/>
                <w:sz w:val="20"/>
                <w:szCs w:val="20"/>
                <w:lang w:eastAsia="en-CA"/>
                <w14:ligatures w14:val="none"/>
              </w:rPr>
              <w:t>Methods  2.2</w:t>
            </w:r>
            <w:proofErr w:type="gramEnd"/>
            <w:r>
              <w:rPr>
                <w:rFonts w:asciiTheme="majorBidi" w:eastAsia="Times New Roman" w:hAnsiTheme="majorBidi" w:cstheme="majorBidi"/>
                <w:sz w:val="20"/>
                <w:szCs w:val="20"/>
                <w:lang w:eastAsia="en-CA"/>
                <w14:ligatures w14:val="none"/>
              </w:rPr>
              <w:t xml:space="preserve"> (PICOS and prespecified clinical question)</w:t>
            </w:r>
          </w:p>
        </w:tc>
      </w:tr>
      <w:tr w:rsidR="00872A7E" w14:paraId="34DD985E" w14:textId="77777777">
        <w:trPr>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859"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METHODS </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85A"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85B" w14:textId="77777777" w:rsidR="00872A7E" w:rsidRDefault="00872A7E">
            <w:pPr>
              <w:widowControl w:val="0"/>
              <w:autoSpaceDE w:val="0"/>
              <w:autoSpaceDN w:val="0"/>
              <w:adjustRightInd w:val="0"/>
              <w:spacing w:beforeLines="0" w:before="0" w:afterLines="0" w:after="0"/>
              <w:ind w:firstLine="0"/>
              <w:jc w:val="right"/>
              <w:rPr>
                <w:rFonts w:asciiTheme="majorBidi" w:eastAsia="Times New Roman" w:hAnsiTheme="majorBidi" w:cstheme="majorBidi"/>
                <w:sz w:val="20"/>
                <w:szCs w:val="20"/>
                <w:lang w:val="en-CA" w:eastAsia="en-CA"/>
                <w14:ligatures w14:val="none"/>
              </w:rPr>
            </w:pPr>
          </w:p>
        </w:tc>
        <w:tc>
          <w:tcPr>
            <w:tcW w:w="249" w:type="dxa"/>
          </w:tcPr>
          <w:p w14:paraId="34DD985C"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c>
          <w:tcPr>
            <w:tcW w:w="60" w:type="dxa"/>
          </w:tcPr>
          <w:p w14:paraId="34DD985D"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r>
      <w:tr w:rsidR="00872A7E" w14:paraId="34DD9864"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5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Eligibility criteria </w:t>
            </w:r>
          </w:p>
        </w:tc>
        <w:tc>
          <w:tcPr>
            <w:tcW w:w="426" w:type="dxa"/>
            <w:tcBorders>
              <w:top w:val="single" w:sz="4" w:space="0" w:color="000000"/>
              <w:left w:val="single" w:sz="4" w:space="0" w:color="000000"/>
              <w:bottom w:val="single" w:sz="4" w:space="0" w:color="000000"/>
              <w:right w:val="single" w:sz="4" w:space="0" w:color="000000"/>
            </w:tcBorders>
          </w:tcPr>
          <w:p w14:paraId="34DD9860"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5</w:t>
            </w:r>
          </w:p>
        </w:tc>
        <w:tc>
          <w:tcPr>
            <w:tcW w:w="4924" w:type="dxa"/>
            <w:tcBorders>
              <w:top w:val="single" w:sz="4" w:space="0" w:color="000000"/>
              <w:left w:val="single" w:sz="4" w:space="0" w:color="000000"/>
              <w:bottom w:val="single" w:sz="4" w:space="0" w:color="000000"/>
              <w:right w:val="single" w:sz="4" w:space="0" w:color="000000"/>
            </w:tcBorders>
          </w:tcPr>
          <w:p w14:paraId="34DD986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Specify the inclusion and exclusion criteria for the review and how studies were grouped for the syntheses.</w:t>
            </w:r>
          </w:p>
        </w:tc>
        <w:tc>
          <w:tcPr>
            <w:tcW w:w="1413" w:type="dxa"/>
            <w:tcBorders>
              <w:top w:val="single" w:sz="4" w:space="0" w:color="000000"/>
              <w:left w:val="single" w:sz="4" w:space="0" w:color="000000"/>
              <w:bottom w:val="single" w:sz="4" w:space="0" w:color="000000"/>
              <w:right w:val="single" w:sz="4" w:space="0" w:color="000000"/>
            </w:tcBorders>
          </w:tcPr>
          <w:p w14:paraId="34DD986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4/102-121</w:t>
            </w:r>
          </w:p>
        </w:tc>
        <w:tc>
          <w:tcPr>
            <w:tcW w:w="5461" w:type="dxa"/>
            <w:tcBorders>
              <w:top w:val="single" w:sz="4" w:space="0" w:color="000000"/>
              <w:left w:val="single" w:sz="4" w:space="0" w:color="000000"/>
              <w:bottom w:val="single" w:sz="4" w:space="0" w:color="000000"/>
              <w:right w:val="single" w:sz="4" w:space="0" w:color="000000"/>
            </w:tcBorders>
          </w:tcPr>
          <w:p w14:paraId="34DD986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2.2</w:t>
            </w:r>
            <w:proofErr w:type="gramEnd"/>
            <w:r>
              <w:rPr>
                <w:rFonts w:asciiTheme="majorBidi" w:eastAsia="Times New Roman" w:hAnsiTheme="majorBidi" w:cstheme="majorBidi"/>
                <w:sz w:val="20"/>
                <w:szCs w:val="20"/>
                <w:lang w:eastAsia="en-CA"/>
                <w14:ligatures w14:val="none"/>
              </w:rPr>
              <w:t xml:space="preserve"> Eligibility criteria (biomarker-positive advanced/metastatic solid tumors; interventions; comparators; outcomes; designs)</w:t>
            </w:r>
          </w:p>
        </w:tc>
      </w:tr>
      <w:tr w:rsidR="00872A7E" w14:paraId="34DD986A" w14:textId="77777777">
        <w:trPr>
          <w:gridAfter w:val="2"/>
          <w:wAfter w:w="309" w:type="dxa"/>
          <w:trHeight w:val="191"/>
        </w:trPr>
        <w:tc>
          <w:tcPr>
            <w:tcW w:w="1429" w:type="dxa"/>
            <w:tcBorders>
              <w:top w:val="single" w:sz="4" w:space="0" w:color="000000"/>
              <w:left w:val="single" w:sz="4" w:space="0" w:color="000000"/>
              <w:bottom w:val="single" w:sz="4" w:space="0" w:color="000000"/>
              <w:right w:val="single" w:sz="4" w:space="0" w:color="000000"/>
            </w:tcBorders>
          </w:tcPr>
          <w:p w14:paraId="34DD986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Information sources </w:t>
            </w:r>
          </w:p>
        </w:tc>
        <w:tc>
          <w:tcPr>
            <w:tcW w:w="426" w:type="dxa"/>
            <w:tcBorders>
              <w:top w:val="single" w:sz="4" w:space="0" w:color="000000"/>
              <w:left w:val="single" w:sz="4" w:space="0" w:color="000000"/>
              <w:bottom w:val="single" w:sz="4" w:space="0" w:color="000000"/>
              <w:right w:val="single" w:sz="4" w:space="0" w:color="000000"/>
            </w:tcBorders>
          </w:tcPr>
          <w:p w14:paraId="34DD9866"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6</w:t>
            </w:r>
          </w:p>
        </w:tc>
        <w:tc>
          <w:tcPr>
            <w:tcW w:w="4924" w:type="dxa"/>
            <w:tcBorders>
              <w:top w:val="single" w:sz="4" w:space="0" w:color="000000"/>
              <w:left w:val="single" w:sz="4" w:space="0" w:color="000000"/>
              <w:bottom w:val="single" w:sz="4" w:space="0" w:color="000000"/>
              <w:right w:val="single" w:sz="4" w:space="0" w:color="000000"/>
            </w:tcBorders>
          </w:tcPr>
          <w:p w14:paraId="34DD986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Specify all databases, registers, websites, organisations, reference lists and other sources searched or consulted to identify studies. Specify the date when each source was last searched or consulted.</w:t>
            </w:r>
          </w:p>
        </w:tc>
        <w:tc>
          <w:tcPr>
            <w:tcW w:w="1413" w:type="dxa"/>
            <w:tcBorders>
              <w:top w:val="single" w:sz="4" w:space="0" w:color="000000"/>
              <w:left w:val="single" w:sz="4" w:space="0" w:color="000000"/>
              <w:bottom w:val="single" w:sz="4" w:space="0" w:color="000000"/>
              <w:right w:val="single" w:sz="4" w:space="0" w:color="000000"/>
            </w:tcBorders>
          </w:tcPr>
          <w:p w14:paraId="34DD986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4-5/123-131</w:t>
            </w:r>
          </w:p>
        </w:tc>
        <w:tc>
          <w:tcPr>
            <w:tcW w:w="5461" w:type="dxa"/>
            <w:tcBorders>
              <w:top w:val="single" w:sz="4" w:space="0" w:color="000000"/>
              <w:left w:val="single" w:sz="4" w:space="0" w:color="000000"/>
              <w:bottom w:val="single" w:sz="4" w:space="0" w:color="000000"/>
              <w:right w:val="single" w:sz="4" w:space="0" w:color="000000"/>
            </w:tcBorders>
          </w:tcPr>
          <w:p w14:paraId="34DD986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2.3</w:t>
            </w:r>
            <w:proofErr w:type="gramEnd"/>
            <w:r>
              <w:rPr>
                <w:rFonts w:asciiTheme="majorBidi" w:eastAsia="Times New Roman" w:hAnsiTheme="majorBidi" w:cstheme="majorBidi"/>
                <w:sz w:val="20"/>
                <w:szCs w:val="20"/>
                <w:lang w:eastAsia="en-CA"/>
                <w14:ligatures w14:val="none"/>
              </w:rPr>
              <w:t xml:space="preserve"> Information sources and search strategy (databases, trial registries, grey literature; PRESS revision dated June 10, 2025; Supplementary Materials and Table S1)</w:t>
            </w:r>
          </w:p>
        </w:tc>
      </w:tr>
      <w:tr w:rsidR="00872A7E" w14:paraId="34DD9870"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6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Search strategy</w:t>
            </w:r>
          </w:p>
        </w:tc>
        <w:tc>
          <w:tcPr>
            <w:tcW w:w="426" w:type="dxa"/>
            <w:tcBorders>
              <w:top w:val="single" w:sz="4" w:space="0" w:color="000000"/>
              <w:left w:val="single" w:sz="4" w:space="0" w:color="000000"/>
              <w:bottom w:val="single" w:sz="4" w:space="0" w:color="000000"/>
              <w:right w:val="single" w:sz="4" w:space="0" w:color="000000"/>
            </w:tcBorders>
          </w:tcPr>
          <w:p w14:paraId="34DD986C"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7</w:t>
            </w:r>
          </w:p>
        </w:tc>
        <w:tc>
          <w:tcPr>
            <w:tcW w:w="4924" w:type="dxa"/>
            <w:tcBorders>
              <w:top w:val="single" w:sz="4" w:space="0" w:color="000000"/>
              <w:left w:val="single" w:sz="4" w:space="0" w:color="000000"/>
              <w:bottom w:val="single" w:sz="4" w:space="0" w:color="000000"/>
              <w:right w:val="single" w:sz="4" w:space="0" w:color="000000"/>
            </w:tcBorders>
          </w:tcPr>
          <w:p w14:paraId="34DD986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the full search strategies for all databases, registers and websites, including any filters and limits used.</w:t>
            </w:r>
          </w:p>
        </w:tc>
        <w:tc>
          <w:tcPr>
            <w:tcW w:w="1413" w:type="dxa"/>
            <w:tcBorders>
              <w:top w:val="single" w:sz="4" w:space="0" w:color="000000"/>
              <w:left w:val="single" w:sz="4" w:space="0" w:color="000000"/>
              <w:bottom w:val="single" w:sz="4" w:space="0" w:color="000000"/>
              <w:right w:val="single" w:sz="4" w:space="0" w:color="000000"/>
            </w:tcBorders>
          </w:tcPr>
          <w:p w14:paraId="34DD986E"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4-5/123-131</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6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2.3</w:t>
            </w:r>
            <w:proofErr w:type="gramEnd"/>
            <w:r>
              <w:rPr>
                <w:rFonts w:asciiTheme="majorBidi" w:eastAsia="Times New Roman" w:hAnsiTheme="majorBidi" w:cstheme="majorBidi"/>
                <w:sz w:val="20"/>
                <w:szCs w:val="20"/>
                <w:lang w:eastAsia="en-CA"/>
                <w14:ligatures w14:val="none"/>
              </w:rPr>
              <w:t>; Supplementary Materials (full strategies, date stamps, de-duplication details)</w:t>
            </w:r>
          </w:p>
        </w:tc>
      </w:tr>
      <w:tr w:rsidR="00872A7E" w14:paraId="34DD9876"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7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Selection process</w:t>
            </w:r>
          </w:p>
        </w:tc>
        <w:tc>
          <w:tcPr>
            <w:tcW w:w="426" w:type="dxa"/>
            <w:tcBorders>
              <w:top w:val="single" w:sz="4" w:space="0" w:color="000000"/>
              <w:left w:val="single" w:sz="4" w:space="0" w:color="000000"/>
              <w:bottom w:val="single" w:sz="4" w:space="0" w:color="000000"/>
              <w:right w:val="single" w:sz="4" w:space="0" w:color="000000"/>
            </w:tcBorders>
          </w:tcPr>
          <w:p w14:paraId="34DD9872"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8</w:t>
            </w:r>
          </w:p>
        </w:tc>
        <w:tc>
          <w:tcPr>
            <w:tcW w:w="4924" w:type="dxa"/>
            <w:tcBorders>
              <w:top w:val="single" w:sz="4" w:space="0" w:color="000000"/>
              <w:left w:val="single" w:sz="4" w:space="0" w:color="000000"/>
              <w:bottom w:val="single" w:sz="4" w:space="0" w:color="000000"/>
              <w:right w:val="single" w:sz="4" w:space="0" w:color="000000"/>
            </w:tcBorders>
          </w:tcPr>
          <w:p w14:paraId="34DD987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13" w:type="dxa"/>
            <w:tcBorders>
              <w:top w:val="single" w:sz="4" w:space="0" w:color="000000"/>
              <w:left w:val="single" w:sz="4" w:space="0" w:color="000000"/>
              <w:bottom w:val="single" w:sz="4" w:space="0" w:color="000000"/>
              <w:right w:val="single" w:sz="4" w:space="0" w:color="000000"/>
            </w:tcBorders>
          </w:tcPr>
          <w:p w14:paraId="34DD987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5/133-138</w:t>
            </w:r>
          </w:p>
        </w:tc>
        <w:tc>
          <w:tcPr>
            <w:tcW w:w="5461" w:type="dxa"/>
            <w:tcBorders>
              <w:top w:val="single" w:sz="4" w:space="0" w:color="000000"/>
              <w:left w:val="single" w:sz="4" w:space="0" w:color="000000"/>
              <w:bottom w:val="single" w:sz="4" w:space="0" w:color="000000"/>
              <w:right w:val="single" w:sz="4" w:space="0" w:color="000000"/>
            </w:tcBorders>
          </w:tcPr>
          <w:p w14:paraId="34DD987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2.4</w:t>
            </w:r>
            <w:proofErr w:type="gramEnd"/>
            <w:r>
              <w:rPr>
                <w:rFonts w:asciiTheme="majorBidi" w:eastAsia="Times New Roman" w:hAnsiTheme="majorBidi" w:cstheme="majorBidi"/>
                <w:sz w:val="20"/>
                <w:szCs w:val="20"/>
                <w:lang w:eastAsia="en-CA"/>
                <w14:ligatures w14:val="none"/>
              </w:rPr>
              <w:t xml:space="preserve"> Study selection (dual independent screening; consensus resolution; adjudication; overlap handling; cluster/multi-arm adjustments)</w:t>
            </w:r>
          </w:p>
        </w:tc>
      </w:tr>
      <w:tr w:rsidR="00872A7E" w14:paraId="34DD987C" w14:textId="77777777">
        <w:trPr>
          <w:gridAfter w:val="2"/>
          <w:wAfter w:w="309" w:type="dxa"/>
          <w:trHeight w:val="152"/>
        </w:trPr>
        <w:tc>
          <w:tcPr>
            <w:tcW w:w="1429" w:type="dxa"/>
            <w:tcBorders>
              <w:top w:val="single" w:sz="4" w:space="0" w:color="000000"/>
              <w:left w:val="single" w:sz="4" w:space="0" w:color="000000"/>
              <w:bottom w:val="single" w:sz="4" w:space="0" w:color="000000"/>
              <w:right w:val="single" w:sz="4" w:space="0" w:color="000000"/>
            </w:tcBorders>
          </w:tcPr>
          <w:p w14:paraId="34DD987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Data collection process </w:t>
            </w:r>
          </w:p>
        </w:tc>
        <w:tc>
          <w:tcPr>
            <w:tcW w:w="426" w:type="dxa"/>
            <w:tcBorders>
              <w:top w:val="single" w:sz="4" w:space="0" w:color="000000"/>
              <w:left w:val="single" w:sz="4" w:space="0" w:color="000000"/>
              <w:bottom w:val="single" w:sz="4" w:space="0" w:color="000000"/>
              <w:right w:val="single" w:sz="4" w:space="0" w:color="000000"/>
            </w:tcBorders>
          </w:tcPr>
          <w:p w14:paraId="34DD9878"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9</w:t>
            </w:r>
          </w:p>
        </w:tc>
        <w:tc>
          <w:tcPr>
            <w:tcW w:w="4924" w:type="dxa"/>
            <w:tcBorders>
              <w:top w:val="single" w:sz="4" w:space="0" w:color="000000"/>
              <w:left w:val="single" w:sz="4" w:space="0" w:color="000000"/>
              <w:bottom w:val="single" w:sz="4" w:space="0" w:color="000000"/>
              <w:right w:val="single" w:sz="4" w:space="0" w:color="000000"/>
            </w:tcBorders>
          </w:tcPr>
          <w:p w14:paraId="34DD987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Specify the methods used to collect data from reports, including how many reviewers collected data from each </w:t>
            </w:r>
            <w:r>
              <w:rPr>
                <w:rFonts w:asciiTheme="majorBidi" w:eastAsia="Times New Roman" w:hAnsiTheme="majorBidi" w:cstheme="majorBidi"/>
                <w:sz w:val="20"/>
                <w:szCs w:val="20"/>
                <w:lang w:val="en-CA" w:eastAsia="en-CA"/>
                <w14:ligatures w14:val="none"/>
              </w:rPr>
              <w:lastRenderedPageBreak/>
              <w:t>report, whether they worked independently, any processes for obtaining or confirming data from study investigators, and if applicable, details of automation tools used in the process.</w:t>
            </w:r>
          </w:p>
        </w:tc>
        <w:tc>
          <w:tcPr>
            <w:tcW w:w="1413" w:type="dxa"/>
            <w:tcBorders>
              <w:top w:val="single" w:sz="4" w:space="0" w:color="000000"/>
              <w:left w:val="single" w:sz="4" w:space="0" w:color="000000"/>
              <w:bottom w:val="single" w:sz="4" w:space="0" w:color="000000"/>
              <w:right w:val="single" w:sz="4" w:space="0" w:color="000000"/>
            </w:tcBorders>
          </w:tcPr>
          <w:p w14:paraId="34DD987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lastRenderedPageBreak/>
              <w:t>5/140-150</w:t>
            </w:r>
          </w:p>
        </w:tc>
        <w:tc>
          <w:tcPr>
            <w:tcW w:w="5461" w:type="dxa"/>
            <w:tcBorders>
              <w:top w:val="single" w:sz="4" w:space="0" w:color="000000"/>
              <w:left w:val="single" w:sz="4" w:space="0" w:color="000000"/>
              <w:bottom w:val="single" w:sz="4" w:space="0" w:color="000000"/>
              <w:right w:val="single" w:sz="4" w:space="0" w:color="000000"/>
            </w:tcBorders>
          </w:tcPr>
          <w:p w14:paraId="34DD987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2.5</w:t>
            </w:r>
            <w:proofErr w:type="gramEnd"/>
            <w:r>
              <w:rPr>
                <w:rFonts w:asciiTheme="majorBidi" w:eastAsia="Times New Roman" w:hAnsiTheme="majorBidi" w:cstheme="majorBidi"/>
                <w:sz w:val="20"/>
                <w:szCs w:val="20"/>
                <w:lang w:eastAsia="en-CA"/>
                <w14:ligatures w14:val="none"/>
              </w:rPr>
              <w:t xml:space="preserve"> Data extraction and outcome harmonization (dual extraction; template; data dictionary; adjudication; reconstruction </w:t>
            </w:r>
            <w:r>
              <w:rPr>
                <w:rFonts w:asciiTheme="majorBidi" w:eastAsia="Times New Roman" w:hAnsiTheme="majorBidi" w:cstheme="majorBidi"/>
                <w:sz w:val="20"/>
                <w:szCs w:val="20"/>
                <w:lang w:eastAsia="en-CA"/>
                <w14:ligatures w14:val="none"/>
              </w:rPr>
              <w:lastRenderedPageBreak/>
              <w:t>from KM where needed)</w:t>
            </w:r>
          </w:p>
        </w:tc>
      </w:tr>
      <w:tr w:rsidR="00872A7E" w14:paraId="34DD9882" w14:textId="77777777">
        <w:trPr>
          <w:gridAfter w:val="2"/>
          <w:wAfter w:w="309" w:type="dxa"/>
          <w:trHeight w:val="48"/>
        </w:trPr>
        <w:tc>
          <w:tcPr>
            <w:tcW w:w="1429" w:type="dxa"/>
            <w:vMerge w:val="restart"/>
            <w:tcBorders>
              <w:top w:val="single" w:sz="4" w:space="0" w:color="000000"/>
              <w:left w:val="single" w:sz="4" w:space="0" w:color="000000"/>
              <w:right w:val="single" w:sz="4" w:space="0" w:color="000000"/>
            </w:tcBorders>
          </w:tcPr>
          <w:p w14:paraId="34DD987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lastRenderedPageBreak/>
              <w:t xml:space="preserve">Data items </w:t>
            </w:r>
          </w:p>
        </w:tc>
        <w:tc>
          <w:tcPr>
            <w:tcW w:w="426" w:type="dxa"/>
            <w:tcBorders>
              <w:top w:val="single" w:sz="4" w:space="0" w:color="000000"/>
              <w:left w:val="single" w:sz="4" w:space="0" w:color="000000"/>
              <w:bottom w:val="single" w:sz="4" w:space="0" w:color="000000"/>
              <w:right w:val="single" w:sz="4" w:space="0" w:color="000000"/>
            </w:tcBorders>
          </w:tcPr>
          <w:p w14:paraId="34DD987E"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10a</w:t>
            </w:r>
          </w:p>
        </w:tc>
        <w:tc>
          <w:tcPr>
            <w:tcW w:w="4924" w:type="dxa"/>
            <w:tcBorders>
              <w:top w:val="single" w:sz="4" w:space="0" w:color="000000"/>
              <w:left w:val="single" w:sz="4" w:space="0" w:color="000000"/>
              <w:bottom w:val="single" w:sz="4" w:space="0" w:color="000000"/>
              <w:right w:val="single" w:sz="4" w:space="0" w:color="000000"/>
            </w:tcBorders>
          </w:tcPr>
          <w:p w14:paraId="34DD987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13" w:type="dxa"/>
            <w:tcBorders>
              <w:top w:val="single" w:sz="4" w:space="0" w:color="000000"/>
              <w:left w:val="single" w:sz="4" w:space="0" w:color="000000"/>
              <w:bottom w:val="single" w:sz="4" w:space="0" w:color="000000"/>
              <w:right w:val="single" w:sz="4" w:space="0" w:color="000000"/>
            </w:tcBorders>
          </w:tcPr>
          <w:p w14:paraId="34DD9880"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5/140-150</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8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2.5</w:t>
            </w:r>
            <w:proofErr w:type="gramEnd"/>
            <w:r>
              <w:rPr>
                <w:rFonts w:asciiTheme="majorBidi" w:eastAsia="Times New Roman" w:hAnsiTheme="majorBidi" w:cstheme="majorBidi"/>
                <w:sz w:val="20"/>
                <w:szCs w:val="20"/>
                <w:lang w:eastAsia="en-CA"/>
                <w14:ligatures w14:val="none"/>
              </w:rPr>
              <w:t xml:space="preserve"> and Table 2 (outcomes: ORR, PFS, OS, DoR, grade ≥3 AEs, discontinuations, ILD/pneumonitis, irAEs, molecular resistance; adjudication hierarchy)</w:t>
            </w:r>
          </w:p>
        </w:tc>
      </w:tr>
      <w:tr w:rsidR="00872A7E" w14:paraId="34DD9888" w14:textId="77777777">
        <w:trPr>
          <w:gridAfter w:val="2"/>
          <w:wAfter w:w="309" w:type="dxa"/>
          <w:trHeight w:val="48"/>
        </w:trPr>
        <w:tc>
          <w:tcPr>
            <w:tcW w:w="1429" w:type="dxa"/>
            <w:vMerge/>
            <w:tcBorders>
              <w:left w:val="single" w:sz="4" w:space="0" w:color="000000"/>
              <w:bottom w:val="single" w:sz="4" w:space="0" w:color="000000"/>
              <w:right w:val="single" w:sz="4" w:space="0" w:color="000000"/>
            </w:tcBorders>
          </w:tcPr>
          <w:p w14:paraId="34DD9883"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84"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10b</w:t>
            </w:r>
          </w:p>
        </w:tc>
        <w:tc>
          <w:tcPr>
            <w:tcW w:w="4924" w:type="dxa"/>
            <w:tcBorders>
              <w:top w:val="single" w:sz="4" w:space="0" w:color="000000"/>
              <w:left w:val="single" w:sz="4" w:space="0" w:color="000000"/>
              <w:bottom w:val="single" w:sz="4" w:space="0" w:color="000000"/>
              <w:right w:val="single" w:sz="4" w:space="0" w:color="000000"/>
            </w:tcBorders>
          </w:tcPr>
          <w:p w14:paraId="34DD988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List and define all other variables for which data were sought (e.g. participant and intervention characteristics, funding sources). Describe any assumptions made about any missing or unclear information.</w:t>
            </w:r>
          </w:p>
        </w:tc>
        <w:tc>
          <w:tcPr>
            <w:tcW w:w="1413" w:type="dxa"/>
            <w:tcBorders>
              <w:top w:val="single" w:sz="4" w:space="0" w:color="000000"/>
              <w:left w:val="single" w:sz="4" w:space="0" w:color="000000"/>
              <w:bottom w:val="single" w:sz="4" w:space="0" w:color="000000"/>
              <w:right w:val="single" w:sz="4" w:space="0" w:color="000000"/>
            </w:tcBorders>
          </w:tcPr>
          <w:p w14:paraId="34DD988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5/140-150</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8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2.5</w:t>
            </w:r>
            <w:proofErr w:type="gramEnd"/>
            <w:r>
              <w:rPr>
                <w:rFonts w:asciiTheme="majorBidi" w:eastAsia="Times New Roman" w:hAnsiTheme="majorBidi" w:cstheme="majorBidi"/>
                <w:sz w:val="20"/>
                <w:szCs w:val="20"/>
                <w:lang w:eastAsia="en-CA"/>
                <w14:ligatures w14:val="none"/>
              </w:rPr>
              <w:t xml:space="preserve"> (study IDs, design, setting, populations, follow-up, funding/conflicts, intervention/comparator details, covariates; assumptions and flags for reconstructed HRs)</w:t>
            </w:r>
          </w:p>
        </w:tc>
      </w:tr>
      <w:tr w:rsidR="00872A7E" w14:paraId="34DD988E"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8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Study risk of bias assessment</w:t>
            </w:r>
          </w:p>
        </w:tc>
        <w:tc>
          <w:tcPr>
            <w:tcW w:w="426" w:type="dxa"/>
            <w:tcBorders>
              <w:top w:val="single" w:sz="4" w:space="0" w:color="000000"/>
              <w:left w:val="single" w:sz="4" w:space="0" w:color="000000"/>
              <w:bottom w:val="single" w:sz="4" w:space="0" w:color="000000"/>
              <w:right w:val="single" w:sz="4" w:space="0" w:color="000000"/>
            </w:tcBorders>
          </w:tcPr>
          <w:p w14:paraId="34DD988A"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11</w:t>
            </w:r>
          </w:p>
        </w:tc>
        <w:tc>
          <w:tcPr>
            <w:tcW w:w="4924" w:type="dxa"/>
            <w:tcBorders>
              <w:top w:val="single" w:sz="4" w:space="0" w:color="000000"/>
              <w:left w:val="single" w:sz="4" w:space="0" w:color="000000"/>
              <w:bottom w:val="single" w:sz="4" w:space="0" w:color="000000"/>
              <w:right w:val="single" w:sz="4" w:space="0" w:color="000000"/>
            </w:tcBorders>
          </w:tcPr>
          <w:p w14:paraId="34DD988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13" w:type="dxa"/>
            <w:tcBorders>
              <w:top w:val="single" w:sz="4" w:space="0" w:color="000000"/>
              <w:left w:val="single" w:sz="4" w:space="0" w:color="000000"/>
              <w:bottom w:val="single" w:sz="4" w:space="0" w:color="000000"/>
              <w:right w:val="single" w:sz="4" w:space="0" w:color="000000"/>
            </w:tcBorders>
          </w:tcPr>
          <w:p w14:paraId="34DD988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5/152-156</w:t>
            </w:r>
          </w:p>
        </w:tc>
        <w:tc>
          <w:tcPr>
            <w:tcW w:w="5461" w:type="dxa"/>
            <w:tcBorders>
              <w:top w:val="single" w:sz="4" w:space="0" w:color="000000"/>
              <w:left w:val="single" w:sz="4" w:space="0" w:color="000000"/>
              <w:bottom w:val="single" w:sz="4" w:space="0" w:color="000000"/>
              <w:right w:val="single" w:sz="4" w:space="0" w:color="000000"/>
            </w:tcBorders>
          </w:tcPr>
          <w:p w14:paraId="34DD988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2.6</w:t>
            </w:r>
            <w:proofErr w:type="gramEnd"/>
            <w:r>
              <w:rPr>
                <w:rFonts w:asciiTheme="majorBidi" w:eastAsia="Times New Roman" w:hAnsiTheme="majorBidi" w:cstheme="majorBidi"/>
                <w:sz w:val="20"/>
                <w:szCs w:val="20"/>
                <w:lang w:eastAsia="en-CA"/>
                <w14:ligatures w14:val="none"/>
              </w:rPr>
              <w:t xml:space="preserve"> Risk of bias (RoB 2 for RCTs; ROBINS-I for nonrandomized; target trial emulation; outcome-level assessment; dual reviewer approach; Supplementary matrices)</w:t>
            </w:r>
          </w:p>
        </w:tc>
      </w:tr>
      <w:tr w:rsidR="00872A7E" w14:paraId="34DD9894"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8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Effect measures </w:t>
            </w:r>
          </w:p>
        </w:tc>
        <w:tc>
          <w:tcPr>
            <w:tcW w:w="426" w:type="dxa"/>
            <w:tcBorders>
              <w:top w:val="single" w:sz="4" w:space="0" w:color="000000"/>
              <w:left w:val="single" w:sz="4" w:space="0" w:color="000000"/>
              <w:bottom w:val="single" w:sz="4" w:space="0" w:color="000000"/>
              <w:right w:val="single" w:sz="4" w:space="0" w:color="000000"/>
            </w:tcBorders>
          </w:tcPr>
          <w:p w14:paraId="34DD9890"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12</w:t>
            </w:r>
          </w:p>
        </w:tc>
        <w:tc>
          <w:tcPr>
            <w:tcW w:w="4924" w:type="dxa"/>
            <w:tcBorders>
              <w:top w:val="single" w:sz="4" w:space="0" w:color="000000"/>
              <w:left w:val="single" w:sz="4" w:space="0" w:color="000000"/>
              <w:bottom w:val="single" w:sz="4" w:space="0" w:color="000000"/>
              <w:right w:val="single" w:sz="4" w:space="0" w:color="000000"/>
            </w:tcBorders>
          </w:tcPr>
          <w:p w14:paraId="34DD989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Specify for each outcome the effect measure(s) (e.g. risk ratio, mean difference) used in the synthesis or presentation of results.</w:t>
            </w:r>
          </w:p>
        </w:tc>
        <w:tc>
          <w:tcPr>
            <w:tcW w:w="1413" w:type="dxa"/>
            <w:tcBorders>
              <w:top w:val="single" w:sz="4" w:space="0" w:color="000000"/>
              <w:left w:val="single" w:sz="4" w:space="0" w:color="000000"/>
              <w:bottom w:val="single" w:sz="4" w:space="0" w:color="000000"/>
              <w:right w:val="single" w:sz="4" w:space="0" w:color="000000"/>
            </w:tcBorders>
          </w:tcPr>
          <w:p w14:paraId="34DD989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5-6/158-178</w:t>
            </w:r>
          </w:p>
        </w:tc>
        <w:tc>
          <w:tcPr>
            <w:tcW w:w="5461" w:type="dxa"/>
            <w:tcBorders>
              <w:top w:val="single" w:sz="4" w:space="0" w:color="000000"/>
              <w:left w:val="single" w:sz="4" w:space="0" w:color="000000"/>
              <w:bottom w:val="single" w:sz="4" w:space="0" w:color="000000"/>
              <w:right w:val="single" w:sz="4" w:space="0" w:color="000000"/>
            </w:tcBorders>
          </w:tcPr>
          <w:p w14:paraId="34DD989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xml:space="preserve"> Statistical analysis (ORR/AEs/discontinuations as RR; time-to-event as HR; RMST differences; absolute risk translations; NNT/NNH)</w:t>
            </w:r>
          </w:p>
        </w:tc>
      </w:tr>
      <w:tr w:rsidR="00872A7E" w14:paraId="34DD989A" w14:textId="77777777">
        <w:trPr>
          <w:gridAfter w:val="2"/>
          <w:wAfter w:w="309" w:type="dxa"/>
          <w:trHeight w:val="48"/>
        </w:trPr>
        <w:tc>
          <w:tcPr>
            <w:tcW w:w="1429" w:type="dxa"/>
            <w:vMerge w:val="restart"/>
            <w:tcBorders>
              <w:top w:val="single" w:sz="4" w:space="0" w:color="000000"/>
              <w:left w:val="single" w:sz="4" w:space="0" w:color="000000"/>
              <w:right w:val="single" w:sz="4" w:space="0" w:color="000000"/>
            </w:tcBorders>
          </w:tcPr>
          <w:p w14:paraId="34DD989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Synthesis methods</w:t>
            </w:r>
          </w:p>
        </w:tc>
        <w:tc>
          <w:tcPr>
            <w:tcW w:w="426" w:type="dxa"/>
            <w:tcBorders>
              <w:top w:val="single" w:sz="4" w:space="0" w:color="000000"/>
              <w:left w:val="single" w:sz="4" w:space="0" w:color="000000"/>
              <w:bottom w:val="single" w:sz="4" w:space="0" w:color="000000"/>
              <w:right w:val="single" w:sz="4" w:space="0" w:color="000000"/>
            </w:tcBorders>
          </w:tcPr>
          <w:p w14:paraId="34DD9896"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13a</w:t>
            </w:r>
          </w:p>
        </w:tc>
        <w:tc>
          <w:tcPr>
            <w:tcW w:w="4924" w:type="dxa"/>
            <w:tcBorders>
              <w:top w:val="single" w:sz="4" w:space="0" w:color="000000"/>
              <w:left w:val="single" w:sz="4" w:space="0" w:color="000000"/>
              <w:bottom w:val="single" w:sz="4" w:space="0" w:color="000000"/>
              <w:right w:val="single" w:sz="4" w:space="0" w:color="000000"/>
            </w:tcBorders>
          </w:tcPr>
          <w:p w14:paraId="34DD989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the processes used to decide which studies were eligible for each synthesis (e.g. tabulating the study intervention characteristics and comparing against the planned groups for each synthesis (item #5)).</w:t>
            </w:r>
          </w:p>
        </w:tc>
        <w:tc>
          <w:tcPr>
            <w:tcW w:w="1413" w:type="dxa"/>
            <w:tcBorders>
              <w:top w:val="single" w:sz="4" w:space="0" w:color="000000"/>
              <w:left w:val="single" w:sz="4" w:space="0" w:color="000000"/>
              <w:bottom w:val="single" w:sz="4" w:space="0" w:color="000000"/>
              <w:right w:val="single" w:sz="4" w:space="0" w:color="000000"/>
            </w:tcBorders>
          </w:tcPr>
          <w:p w14:paraId="34DD989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5-6/133-178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9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2.5</w:t>
            </w:r>
            <w:proofErr w:type="gramEnd"/>
            <w:r>
              <w:rPr>
                <w:rFonts w:asciiTheme="majorBidi" w:eastAsia="Times New Roman" w:hAnsiTheme="majorBidi" w:cstheme="majorBidi"/>
                <w:sz w:val="20"/>
                <w:szCs w:val="20"/>
                <w:lang w:eastAsia="en-CA"/>
                <w14:ligatures w14:val="none"/>
              </w:rPr>
              <w:t xml:space="preserve"> </w:t>
            </w:r>
            <w:proofErr w:type="gramStart"/>
            <w:r>
              <w:rPr>
                <w:rFonts w:asciiTheme="majorBidi" w:eastAsia="Times New Roman" w:hAnsiTheme="majorBidi" w:cstheme="majorBidi"/>
                <w:sz w:val="20"/>
                <w:szCs w:val="20"/>
                <w:lang w:eastAsia="en-CA"/>
                <w14:ligatures w14:val="none"/>
              </w:rPr>
              <w:t>and  2.7</w:t>
            </w:r>
            <w:proofErr w:type="gramEnd"/>
            <w:r>
              <w:rPr>
                <w:rFonts w:asciiTheme="majorBidi" w:eastAsia="Times New Roman" w:hAnsiTheme="majorBidi" w:cstheme="majorBidi"/>
                <w:sz w:val="20"/>
                <w:szCs w:val="20"/>
                <w:lang w:eastAsia="en-CA"/>
                <w14:ligatures w14:val="none"/>
              </w:rPr>
              <w:t xml:space="preserve"> (eligibility mapping to biomarker-treatment syntheses; central adjudication prioritization; handling of multi-arm/cluster trials per Cochrane guidance)</w:t>
            </w:r>
          </w:p>
        </w:tc>
      </w:tr>
      <w:tr w:rsidR="00872A7E" w14:paraId="34DD98A0" w14:textId="77777777">
        <w:trPr>
          <w:gridAfter w:val="2"/>
          <w:wAfter w:w="309" w:type="dxa"/>
          <w:trHeight w:val="48"/>
        </w:trPr>
        <w:tc>
          <w:tcPr>
            <w:tcW w:w="1429" w:type="dxa"/>
            <w:vMerge/>
            <w:tcBorders>
              <w:left w:val="single" w:sz="4" w:space="0" w:color="000000"/>
              <w:right w:val="single" w:sz="4" w:space="0" w:color="000000"/>
            </w:tcBorders>
          </w:tcPr>
          <w:p w14:paraId="34DD989B"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9C"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13b</w:t>
            </w:r>
          </w:p>
        </w:tc>
        <w:tc>
          <w:tcPr>
            <w:tcW w:w="4924" w:type="dxa"/>
            <w:tcBorders>
              <w:top w:val="single" w:sz="4" w:space="0" w:color="000000"/>
              <w:left w:val="single" w:sz="4" w:space="0" w:color="000000"/>
              <w:bottom w:val="single" w:sz="4" w:space="0" w:color="000000"/>
              <w:right w:val="single" w:sz="4" w:space="0" w:color="000000"/>
            </w:tcBorders>
          </w:tcPr>
          <w:p w14:paraId="34DD989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methods required to prepare the data for presentation or synthesis, such as handling of missing summary statistics, or data conversions.</w:t>
            </w:r>
          </w:p>
        </w:tc>
        <w:tc>
          <w:tcPr>
            <w:tcW w:w="1413" w:type="dxa"/>
            <w:tcBorders>
              <w:top w:val="single" w:sz="4" w:space="0" w:color="000000"/>
              <w:left w:val="single" w:sz="4" w:space="0" w:color="000000"/>
              <w:bottom w:val="single" w:sz="4" w:space="0" w:color="000000"/>
              <w:right w:val="single" w:sz="4" w:space="0" w:color="000000"/>
            </w:tcBorders>
          </w:tcPr>
          <w:p w14:paraId="34DD989E"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5-6/</w:t>
            </w:r>
            <w:r>
              <w:rPr>
                <w:rFonts w:asciiTheme="majorBidi" w:eastAsia="Times New Roman" w:hAnsiTheme="majorBidi" w:cstheme="majorBidi"/>
                <w:sz w:val="20"/>
                <w:szCs w:val="20"/>
                <w:lang w:val="en-CA" w:eastAsia="en-CA"/>
                <w14:ligatures w14:val="none"/>
              </w:rPr>
              <w:t>140-178</w:t>
            </w:r>
          </w:p>
        </w:tc>
        <w:tc>
          <w:tcPr>
            <w:tcW w:w="5461" w:type="dxa"/>
            <w:tcBorders>
              <w:top w:val="single" w:sz="4" w:space="0" w:color="000000"/>
              <w:left w:val="single" w:sz="4" w:space="0" w:color="000000"/>
              <w:bottom w:val="single" w:sz="4" w:space="0" w:color="000000"/>
              <w:right w:val="single" w:sz="4" w:space="0" w:color="000000"/>
            </w:tcBorders>
          </w:tcPr>
          <w:p w14:paraId="34DD989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2.5</w:t>
            </w:r>
            <w:proofErr w:type="gramEnd"/>
            <w:r>
              <w:rPr>
                <w:rFonts w:asciiTheme="majorBidi" w:eastAsia="Times New Roman" w:hAnsiTheme="majorBidi" w:cstheme="majorBidi"/>
                <w:sz w:val="20"/>
                <w:szCs w:val="20"/>
                <w:lang w:eastAsia="en-CA"/>
                <w14:ligatures w14:val="none"/>
              </w:rPr>
              <w:t xml:space="preserve"> </w:t>
            </w:r>
            <w:proofErr w:type="gramStart"/>
            <w:r>
              <w:rPr>
                <w:rFonts w:asciiTheme="majorBidi" w:eastAsia="Times New Roman" w:hAnsiTheme="majorBidi" w:cstheme="majorBidi"/>
                <w:sz w:val="20"/>
                <w:szCs w:val="20"/>
                <w:lang w:eastAsia="en-CA"/>
                <w14:ligatures w14:val="none"/>
              </w:rPr>
              <w:t>and  2.7</w:t>
            </w:r>
            <w:proofErr w:type="gramEnd"/>
            <w:r>
              <w:rPr>
                <w:rFonts w:asciiTheme="majorBidi" w:eastAsia="Times New Roman" w:hAnsiTheme="majorBidi" w:cstheme="majorBidi"/>
                <w:sz w:val="20"/>
                <w:szCs w:val="20"/>
                <w:lang w:eastAsia="en-CA"/>
                <w14:ligatures w14:val="none"/>
              </w:rPr>
              <w:t xml:space="preserve"> (KM-derived HR reconstruction; continuity corrections; GLMM/beta-binomial for sparse harms; OR-to-RR conversions)</w:t>
            </w:r>
          </w:p>
        </w:tc>
      </w:tr>
      <w:tr w:rsidR="00872A7E" w14:paraId="34DD98A6" w14:textId="77777777">
        <w:trPr>
          <w:gridAfter w:val="2"/>
          <w:wAfter w:w="309" w:type="dxa"/>
          <w:trHeight w:val="48"/>
        </w:trPr>
        <w:tc>
          <w:tcPr>
            <w:tcW w:w="1429" w:type="dxa"/>
            <w:vMerge/>
            <w:tcBorders>
              <w:left w:val="single" w:sz="4" w:space="0" w:color="000000"/>
              <w:right w:val="single" w:sz="4" w:space="0" w:color="000000"/>
            </w:tcBorders>
          </w:tcPr>
          <w:p w14:paraId="34DD98A1"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A2"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13c</w:t>
            </w:r>
          </w:p>
        </w:tc>
        <w:tc>
          <w:tcPr>
            <w:tcW w:w="4924" w:type="dxa"/>
            <w:tcBorders>
              <w:top w:val="single" w:sz="4" w:space="0" w:color="000000"/>
              <w:left w:val="single" w:sz="4" w:space="0" w:color="000000"/>
              <w:bottom w:val="single" w:sz="4" w:space="0" w:color="000000"/>
              <w:right w:val="single" w:sz="4" w:space="0" w:color="000000"/>
            </w:tcBorders>
          </w:tcPr>
          <w:p w14:paraId="34DD98A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methods used to tabulate or visually display results of individual studies and syntheses.</w:t>
            </w:r>
          </w:p>
        </w:tc>
        <w:tc>
          <w:tcPr>
            <w:tcW w:w="1413" w:type="dxa"/>
            <w:tcBorders>
              <w:top w:val="single" w:sz="4" w:space="0" w:color="000000"/>
              <w:left w:val="single" w:sz="4" w:space="0" w:color="000000"/>
              <w:bottom w:val="single" w:sz="4" w:space="0" w:color="000000"/>
              <w:right w:val="single" w:sz="4" w:space="0" w:color="000000"/>
            </w:tcBorders>
          </w:tcPr>
          <w:p w14:paraId="34DD98A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A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Results   3.2-3.6 (structured tables 1-6; forest plots described in Figure 2; funnel plots Figure 4; influence plots Figure 5)</w:t>
            </w:r>
          </w:p>
        </w:tc>
      </w:tr>
      <w:tr w:rsidR="00872A7E" w14:paraId="34DD98AC" w14:textId="77777777">
        <w:trPr>
          <w:gridAfter w:val="2"/>
          <w:wAfter w:w="309" w:type="dxa"/>
          <w:trHeight w:val="48"/>
        </w:trPr>
        <w:tc>
          <w:tcPr>
            <w:tcW w:w="1429" w:type="dxa"/>
            <w:vMerge/>
            <w:tcBorders>
              <w:left w:val="single" w:sz="4" w:space="0" w:color="000000"/>
              <w:right w:val="single" w:sz="4" w:space="0" w:color="000000"/>
            </w:tcBorders>
          </w:tcPr>
          <w:p w14:paraId="34DD98A7"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A8"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13d</w:t>
            </w:r>
          </w:p>
        </w:tc>
        <w:tc>
          <w:tcPr>
            <w:tcW w:w="4924" w:type="dxa"/>
            <w:tcBorders>
              <w:top w:val="single" w:sz="4" w:space="0" w:color="000000"/>
              <w:left w:val="single" w:sz="4" w:space="0" w:color="000000"/>
              <w:bottom w:val="single" w:sz="4" w:space="0" w:color="000000"/>
              <w:right w:val="single" w:sz="4" w:space="0" w:color="000000"/>
            </w:tcBorders>
          </w:tcPr>
          <w:p w14:paraId="34DD98A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methods used to synthesize results and provide a rationale for the choice(s). If meta-analysis was performed, describe the model(s), method(s) to identify the presence and extent of statistical heterogeneity, and software package(s) used.</w:t>
            </w:r>
          </w:p>
        </w:tc>
        <w:tc>
          <w:tcPr>
            <w:tcW w:w="1413" w:type="dxa"/>
            <w:tcBorders>
              <w:top w:val="single" w:sz="4" w:space="0" w:color="000000"/>
              <w:left w:val="single" w:sz="4" w:space="0" w:color="000000"/>
              <w:bottom w:val="single" w:sz="4" w:space="0" w:color="000000"/>
              <w:right w:val="single" w:sz="4" w:space="0" w:color="000000"/>
            </w:tcBorders>
          </w:tcPr>
          <w:p w14:paraId="34DD98A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A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xml:space="preserve"> (random-effects REML; fixed-effect sensitivity; </w:t>
            </w:r>
            <w:r>
              <w:rPr>
                <w:rFonts w:asciiTheme="majorBidi" w:eastAsia="Times New Roman" w:hAnsiTheme="majorBidi" w:cstheme="majorBidi"/>
                <w:sz w:val="20"/>
                <w:szCs w:val="20"/>
                <w:lang w:val="da-DK" w:eastAsia="en-CA"/>
                <w14:ligatures w14:val="none"/>
              </w:rPr>
              <w:t>τ</w:t>
            </w:r>
            <w:r>
              <w:rPr>
                <w:rFonts w:asciiTheme="majorBidi" w:eastAsia="Times New Roman" w:hAnsiTheme="majorBidi" w:cstheme="majorBidi"/>
                <w:sz w:val="20"/>
                <w:szCs w:val="20"/>
                <w:lang w:eastAsia="en-CA"/>
                <w14:ligatures w14:val="none"/>
              </w:rPr>
              <w:t>² estimators; Hartung-Knapp; heterogeneity metrics Q/I²/</w:t>
            </w:r>
            <w:r>
              <w:rPr>
                <w:rFonts w:asciiTheme="majorBidi" w:eastAsia="Times New Roman" w:hAnsiTheme="majorBidi" w:cstheme="majorBidi"/>
                <w:sz w:val="20"/>
                <w:szCs w:val="20"/>
                <w:lang w:val="da-DK" w:eastAsia="en-CA"/>
                <w14:ligatures w14:val="none"/>
              </w:rPr>
              <w:t>τ</w:t>
            </w:r>
            <w:r>
              <w:rPr>
                <w:rFonts w:asciiTheme="majorBidi" w:eastAsia="Times New Roman" w:hAnsiTheme="majorBidi" w:cstheme="majorBidi"/>
                <w:sz w:val="20"/>
                <w:szCs w:val="20"/>
                <w:lang w:eastAsia="en-CA"/>
                <w14:ligatures w14:val="none"/>
              </w:rPr>
              <w:t>²; prediction intervals; software: R [metafor, meta, robumeta, clubSandwich, survival, IPDfromKM, glmmTMB/lme4, dmetar], Jamovi)</w:t>
            </w:r>
          </w:p>
        </w:tc>
      </w:tr>
      <w:tr w:rsidR="00872A7E" w14:paraId="34DD98B2" w14:textId="77777777">
        <w:trPr>
          <w:gridAfter w:val="2"/>
          <w:wAfter w:w="309" w:type="dxa"/>
          <w:trHeight w:val="48"/>
        </w:trPr>
        <w:tc>
          <w:tcPr>
            <w:tcW w:w="1429" w:type="dxa"/>
            <w:vMerge/>
            <w:tcBorders>
              <w:left w:val="single" w:sz="4" w:space="0" w:color="000000"/>
              <w:right w:val="single" w:sz="4" w:space="0" w:color="000000"/>
            </w:tcBorders>
          </w:tcPr>
          <w:p w14:paraId="34DD98AD"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AE"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13e</w:t>
            </w:r>
          </w:p>
        </w:tc>
        <w:tc>
          <w:tcPr>
            <w:tcW w:w="4924" w:type="dxa"/>
            <w:tcBorders>
              <w:top w:val="single" w:sz="4" w:space="0" w:color="000000"/>
              <w:left w:val="single" w:sz="4" w:space="0" w:color="000000"/>
              <w:bottom w:val="single" w:sz="4" w:space="0" w:color="000000"/>
              <w:right w:val="single" w:sz="4" w:space="0" w:color="000000"/>
            </w:tcBorders>
          </w:tcPr>
          <w:p w14:paraId="34DD98A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methods used to explore possible causes of heterogeneity among study results (e.g. subgroup analysis, meta-regression).</w:t>
            </w:r>
          </w:p>
        </w:tc>
        <w:tc>
          <w:tcPr>
            <w:tcW w:w="1413" w:type="dxa"/>
            <w:tcBorders>
              <w:top w:val="single" w:sz="4" w:space="0" w:color="000000"/>
              <w:left w:val="single" w:sz="4" w:space="0" w:color="000000"/>
              <w:bottom w:val="single" w:sz="4" w:space="0" w:color="000000"/>
              <w:right w:val="single" w:sz="4" w:space="0" w:color="000000"/>
            </w:tcBorders>
          </w:tcPr>
          <w:p w14:paraId="34DD98B0"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B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xml:space="preserve"> (prespecified subgroup/meta-regression moderators including dose, line, comparator, assay modality, PD-L1, ECOG, age, geography; restricted cubic splines)</w:t>
            </w:r>
          </w:p>
        </w:tc>
      </w:tr>
      <w:tr w:rsidR="00872A7E" w14:paraId="34DD98B8" w14:textId="77777777">
        <w:trPr>
          <w:gridAfter w:val="2"/>
          <w:wAfter w:w="309" w:type="dxa"/>
          <w:trHeight w:val="50"/>
        </w:trPr>
        <w:tc>
          <w:tcPr>
            <w:tcW w:w="1429" w:type="dxa"/>
            <w:vMerge/>
            <w:tcBorders>
              <w:left w:val="single" w:sz="4" w:space="0" w:color="000000"/>
              <w:bottom w:val="single" w:sz="4" w:space="0" w:color="000000"/>
              <w:right w:val="single" w:sz="4" w:space="0" w:color="000000"/>
            </w:tcBorders>
          </w:tcPr>
          <w:p w14:paraId="34DD98B3"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B4"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13f</w:t>
            </w:r>
          </w:p>
        </w:tc>
        <w:tc>
          <w:tcPr>
            <w:tcW w:w="4924" w:type="dxa"/>
            <w:tcBorders>
              <w:top w:val="single" w:sz="4" w:space="0" w:color="000000"/>
              <w:left w:val="single" w:sz="4" w:space="0" w:color="000000"/>
              <w:bottom w:val="single" w:sz="4" w:space="0" w:color="000000"/>
              <w:right w:val="single" w:sz="4" w:space="0" w:color="000000"/>
            </w:tcBorders>
          </w:tcPr>
          <w:p w14:paraId="34DD98B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sensitivity analyses conducted to assess robustness of the synthesized results.</w:t>
            </w:r>
          </w:p>
        </w:tc>
        <w:tc>
          <w:tcPr>
            <w:tcW w:w="1413" w:type="dxa"/>
            <w:tcBorders>
              <w:top w:val="single" w:sz="4" w:space="0" w:color="000000"/>
              <w:left w:val="single" w:sz="4" w:space="0" w:color="000000"/>
              <w:bottom w:val="single" w:sz="4" w:space="0" w:color="000000"/>
              <w:right w:val="single" w:sz="4" w:space="0" w:color="000000"/>
            </w:tcBorders>
          </w:tcPr>
          <w:p w14:paraId="34DD98B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B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xml:space="preserve"> (model choices, adjudication harmonization, RCT-only restrictions, rare-event modeling, leave-one-out/Baujat)</w:t>
            </w:r>
          </w:p>
        </w:tc>
      </w:tr>
      <w:tr w:rsidR="00872A7E" w14:paraId="34DD98BE"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B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Reporting bias assessment</w:t>
            </w:r>
          </w:p>
        </w:tc>
        <w:tc>
          <w:tcPr>
            <w:tcW w:w="426" w:type="dxa"/>
            <w:tcBorders>
              <w:top w:val="single" w:sz="4" w:space="0" w:color="000000"/>
              <w:left w:val="single" w:sz="4" w:space="0" w:color="000000"/>
              <w:bottom w:val="single" w:sz="4" w:space="0" w:color="000000"/>
              <w:right w:val="single" w:sz="4" w:space="0" w:color="000000"/>
            </w:tcBorders>
          </w:tcPr>
          <w:p w14:paraId="34DD98BA"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14</w:t>
            </w:r>
          </w:p>
        </w:tc>
        <w:tc>
          <w:tcPr>
            <w:tcW w:w="4924" w:type="dxa"/>
            <w:tcBorders>
              <w:top w:val="single" w:sz="4" w:space="0" w:color="000000"/>
              <w:left w:val="single" w:sz="4" w:space="0" w:color="000000"/>
              <w:bottom w:val="single" w:sz="4" w:space="0" w:color="000000"/>
              <w:right w:val="single" w:sz="4" w:space="0" w:color="000000"/>
            </w:tcBorders>
          </w:tcPr>
          <w:p w14:paraId="34DD98B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methods used to assess risk of bias due to missing results in a synthesis (arising from reporting biases).</w:t>
            </w:r>
          </w:p>
        </w:tc>
        <w:tc>
          <w:tcPr>
            <w:tcW w:w="1413" w:type="dxa"/>
            <w:tcBorders>
              <w:top w:val="single" w:sz="4" w:space="0" w:color="000000"/>
              <w:left w:val="single" w:sz="4" w:space="0" w:color="000000"/>
              <w:bottom w:val="single" w:sz="4" w:space="0" w:color="000000"/>
              <w:right w:val="single" w:sz="4" w:space="0" w:color="000000"/>
            </w:tcBorders>
          </w:tcPr>
          <w:p w14:paraId="34DD98B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B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 xml:space="preserve">Methods 2.7 (contour-enhanced funnels; Egger/Harbord/Peters; trim-and-fill; selection models </w:t>
            </w:r>
            <w:r>
              <w:rPr>
                <w:rFonts w:asciiTheme="majorBidi" w:eastAsia="Times New Roman" w:hAnsiTheme="majorBidi" w:cstheme="majorBidi"/>
                <w:sz w:val="20"/>
                <w:szCs w:val="20"/>
                <w:cs/>
                <w:lang w:eastAsia="en-CA"/>
                <w14:ligatures w14:val="none"/>
              </w:rPr>
              <w:t>‎</w:t>
            </w:r>
            <w:r>
              <w:rPr>
                <w:rFonts w:asciiTheme="majorBidi" w:eastAsia="Times New Roman" w:hAnsiTheme="majorBidi" w:cstheme="majorBidi"/>
                <w:sz w:val="20"/>
                <w:szCs w:val="20"/>
                <w:lang w:eastAsia="en-CA"/>
                <w14:ligatures w14:val="none"/>
              </w:rPr>
              <w:t xml:space="preserve">exploratory); Supplementary Methods (Publication bias testing: exact </w:t>
            </w:r>
            <w:r>
              <w:rPr>
                <w:rFonts w:asciiTheme="majorBidi" w:eastAsia="Times New Roman" w:hAnsiTheme="majorBidi" w:cstheme="majorBidi"/>
                <w:sz w:val="20"/>
                <w:szCs w:val="20"/>
                <w:cs/>
                <w:lang w:eastAsia="en-CA"/>
                <w14:ligatures w14:val="none"/>
              </w:rPr>
              <w:t>‎</w:t>
            </w:r>
            <w:r>
              <w:rPr>
                <w:rFonts w:asciiTheme="majorBidi" w:eastAsia="Times New Roman" w:hAnsiTheme="majorBidi" w:cstheme="majorBidi"/>
                <w:sz w:val="20"/>
                <w:szCs w:val="20"/>
                <w:lang w:eastAsia="en-CA"/>
                <w14:ligatures w14:val="none"/>
              </w:rPr>
              <w:t xml:space="preserve">tests, effect-size metrics, software/functions, and k-threshold </w:t>
            </w:r>
            <w:r>
              <w:rPr>
                <w:rFonts w:asciiTheme="majorBidi" w:eastAsia="Times New Roman" w:hAnsiTheme="majorBidi" w:cstheme="majorBidi"/>
                <w:sz w:val="20"/>
                <w:szCs w:val="20"/>
                <w:cs/>
                <w:lang w:eastAsia="en-CA"/>
                <w14:ligatures w14:val="none"/>
              </w:rPr>
              <w:t>‎</w:t>
            </w:r>
            <w:r>
              <w:rPr>
                <w:rFonts w:asciiTheme="majorBidi" w:eastAsia="Times New Roman" w:hAnsiTheme="majorBidi" w:cstheme="majorBidi"/>
                <w:sz w:val="20"/>
                <w:szCs w:val="20"/>
                <w:lang w:eastAsia="en-CA"/>
                <w14:ligatures w14:val="none"/>
              </w:rPr>
              <w:t xml:space="preserve">eligibility) </w:t>
            </w:r>
            <w:r>
              <w:rPr>
                <w:rFonts w:asciiTheme="majorBidi" w:eastAsia="Times New Roman" w:hAnsiTheme="majorBidi" w:cstheme="majorBidi"/>
                <w:sz w:val="20"/>
                <w:szCs w:val="20"/>
                <w:cs/>
                <w:lang w:eastAsia="en-CA"/>
                <w14:ligatures w14:val="none"/>
              </w:rPr>
              <w:t>‎</w:t>
            </w:r>
          </w:p>
        </w:tc>
      </w:tr>
      <w:tr w:rsidR="00872A7E" w14:paraId="34DD98C4"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B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Certainty assessment</w:t>
            </w:r>
          </w:p>
        </w:tc>
        <w:tc>
          <w:tcPr>
            <w:tcW w:w="426" w:type="dxa"/>
            <w:tcBorders>
              <w:top w:val="single" w:sz="4" w:space="0" w:color="000000"/>
              <w:left w:val="single" w:sz="4" w:space="0" w:color="000000"/>
              <w:bottom w:val="single" w:sz="4" w:space="0" w:color="000000"/>
              <w:right w:val="single" w:sz="4" w:space="0" w:color="000000"/>
            </w:tcBorders>
          </w:tcPr>
          <w:p w14:paraId="34DD98C0"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15</w:t>
            </w:r>
          </w:p>
        </w:tc>
        <w:tc>
          <w:tcPr>
            <w:tcW w:w="4924" w:type="dxa"/>
            <w:tcBorders>
              <w:top w:val="single" w:sz="4" w:space="0" w:color="000000"/>
              <w:left w:val="single" w:sz="4" w:space="0" w:color="000000"/>
              <w:bottom w:val="single" w:sz="4" w:space="0" w:color="000000"/>
              <w:right w:val="single" w:sz="4" w:space="0" w:color="000000"/>
            </w:tcBorders>
          </w:tcPr>
          <w:p w14:paraId="34DD98C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any methods used to assess certainty (or confidence) in the body of evidence for an outcome.</w:t>
            </w:r>
          </w:p>
        </w:tc>
        <w:tc>
          <w:tcPr>
            <w:tcW w:w="1413" w:type="dxa"/>
            <w:tcBorders>
              <w:top w:val="single" w:sz="4" w:space="0" w:color="000000"/>
              <w:left w:val="single" w:sz="4" w:space="0" w:color="000000"/>
              <w:bottom w:val="single" w:sz="4" w:space="0" w:color="000000"/>
              <w:right w:val="single" w:sz="4" w:space="0" w:color="000000"/>
            </w:tcBorders>
          </w:tcPr>
          <w:p w14:paraId="34DD98C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C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xml:space="preserve"> (GRADE framework; translation to absolute effects and NNT/NNH; certainty judgments informed by RoB and heterogeneity)</w:t>
            </w:r>
          </w:p>
        </w:tc>
      </w:tr>
      <w:tr w:rsidR="00872A7E" w14:paraId="34DD98CA" w14:textId="77777777">
        <w:trPr>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8C5"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RESULTS </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8C6" w14:textId="77777777" w:rsidR="00872A7E" w:rsidRDefault="00872A7E">
            <w:pPr>
              <w:widowControl w:val="0"/>
              <w:autoSpaceDE w:val="0"/>
              <w:autoSpaceDN w:val="0"/>
              <w:adjustRightInd w:val="0"/>
              <w:spacing w:beforeLines="0" w:before="0" w:afterLines="0" w:after="0"/>
              <w:ind w:firstLine="0"/>
              <w:jc w:val="center"/>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8C7" w14:textId="77777777" w:rsidR="00872A7E" w:rsidRDefault="00872A7E">
            <w:pPr>
              <w:widowControl w:val="0"/>
              <w:autoSpaceDE w:val="0"/>
              <w:autoSpaceDN w:val="0"/>
              <w:adjustRightInd w:val="0"/>
              <w:spacing w:beforeLines="0" w:before="0" w:afterLines="0" w:after="0"/>
              <w:ind w:firstLine="0"/>
              <w:jc w:val="center"/>
              <w:rPr>
                <w:rFonts w:asciiTheme="majorBidi" w:eastAsia="Times New Roman" w:hAnsiTheme="majorBidi" w:cstheme="majorBidi"/>
                <w:sz w:val="20"/>
                <w:szCs w:val="20"/>
                <w:lang w:val="en-CA" w:eastAsia="en-CA"/>
                <w14:ligatures w14:val="none"/>
              </w:rPr>
            </w:pPr>
          </w:p>
        </w:tc>
        <w:tc>
          <w:tcPr>
            <w:tcW w:w="249" w:type="dxa"/>
          </w:tcPr>
          <w:p w14:paraId="34DD98C8"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c>
          <w:tcPr>
            <w:tcW w:w="60" w:type="dxa"/>
          </w:tcPr>
          <w:p w14:paraId="34DD98C9"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r>
      <w:tr w:rsidR="00872A7E" w14:paraId="34DD98D0" w14:textId="77777777">
        <w:trPr>
          <w:gridAfter w:val="2"/>
          <w:wAfter w:w="309" w:type="dxa"/>
          <w:trHeight w:val="48"/>
        </w:trPr>
        <w:tc>
          <w:tcPr>
            <w:tcW w:w="1429" w:type="dxa"/>
            <w:vMerge w:val="restart"/>
            <w:tcBorders>
              <w:top w:val="single" w:sz="4" w:space="0" w:color="000000"/>
              <w:left w:val="single" w:sz="4" w:space="0" w:color="000000"/>
              <w:right w:val="single" w:sz="4" w:space="0" w:color="000000"/>
            </w:tcBorders>
          </w:tcPr>
          <w:p w14:paraId="34DD98C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Study selection </w:t>
            </w:r>
          </w:p>
        </w:tc>
        <w:tc>
          <w:tcPr>
            <w:tcW w:w="426" w:type="dxa"/>
            <w:tcBorders>
              <w:top w:val="single" w:sz="4" w:space="0" w:color="000000"/>
              <w:left w:val="single" w:sz="4" w:space="0" w:color="000000"/>
              <w:bottom w:val="single" w:sz="4" w:space="0" w:color="000000"/>
              <w:right w:val="single" w:sz="4" w:space="0" w:color="000000"/>
            </w:tcBorders>
          </w:tcPr>
          <w:p w14:paraId="34DD98CC"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16a</w:t>
            </w:r>
          </w:p>
        </w:tc>
        <w:tc>
          <w:tcPr>
            <w:tcW w:w="4924" w:type="dxa"/>
            <w:tcBorders>
              <w:top w:val="single" w:sz="4" w:space="0" w:color="000000"/>
              <w:left w:val="single" w:sz="4" w:space="0" w:color="000000"/>
              <w:bottom w:val="single" w:sz="4" w:space="0" w:color="000000"/>
              <w:right w:val="single" w:sz="4" w:space="0" w:color="000000"/>
            </w:tcBorders>
          </w:tcPr>
          <w:p w14:paraId="34DD98C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the results of the search and selection process, from the number of records identified in the search to the number of studies included in the review, ideally using a flow diagram.</w:t>
            </w:r>
          </w:p>
        </w:tc>
        <w:tc>
          <w:tcPr>
            <w:tcW w:w="1413" w:type="dxa"/>
            <w:tcBorders>
              <w:top w:val="single" w:sz="4" w:space="0" w:color="000000"/>
              <w:left w:val="single" w:sz="4" w:space="0" w:color="000000"/>
              <w:bottom w:val="single" w:sz="4" w:space="0" w:color="000000"/>
              <w:right w:val="single" w:sz="4" w:space="0" w:color="000000"/>
            </w:tcBorders>
          </w:tcPr>
          <w:p w14:paraId="34DD98CE"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6/18</w:t>
            </w:r>
            <w:r>
              <w:rPr>
                <w:rFonts w:asciiTheme="majorBidi" w:eastAsia="Times New Roman" w:hAnsiTheme="majorBidi" w:cstheme="majorBidi"/>
                <w:sz w:val="20"/>
                <w:szCs w:val="20"/>
                <w:lang w:val="en-CA" w:eastAsia="en-CA"/>
                <w14:ligatures w14:val="none"/>
              </w:rPr>
              <w:t>2-186</w:t>
            </w:r>
          </w:p>
        </w:tc>
        <w:tc>
          <w:tcPr>
            <w:tcW w:w="5461" w:type="dxa"/>
            <w:tcBorders>
              <w:top w:val="single" w:sz="4" w:space="0" w:color="000000"/>
              <w:left w:val="single" w:sz="4" w:space="0" w:color="000000"/>
              <w:bottom w:val="single" w:sz="4" w:space="0" w:color="000000"/>
              <w:right w:val="single" w:sz="4" w:space="0" w:color="000000"/>
            </w:tcBorders>
          </w:tcPr>
          <w:p w14:paraId="34DD98C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Results  3.1</w:t>
            </w:r>
            <w:proofErr w:type="gramEnd"/>
            <w:r>
              <w:rPr>
                <w:rFonts w:asciiTheme="majorBidi" w:eastAsia="Times New Roman" w:hAnsiTheme="majorBidi" w:cstheme="majorBidi"/>
                <w:sz w:val="20"/>
                <w:szCs w:val="20"/>
                <w:lang w:eastAsia="en-CA"/>
                <w14:ligatures w14:val="none"/>
              </w:rPr>
              <w:t xml:space="preserve"> Study selection; Figure 1 PRISMA flow diagram (records identified, duplicates removed, screened, excluded with reasons, included)</w:t>
            </w:r>
          </w:p>
        </w:tc>
      </w:tr>
      <w:tr w:rsidR="00872A7E" w14:paraId="34DD98D6" w14:textId="77777777">
        <w:trPr>
          <w:gridAfter w:val="2"/>
          <w:wAfter w:w="309" w:type="dxa"/>
          <w:trHeight w:val="48"/>
        </w:trPr>
        <w:tc>
          <w:tcPr>
            <w:tcW w:w="1429" w:type="dxa"/>
            <w:vMerge/>
            <w:tcBorders>
              <w:left w:val="single" w:sz="4" w:space="0" w:color="000000"/>
              <w:bottom w:val="single" w:sz="4" w:space="0" w:color="000000"/>
              <w:right w:val="single" w:sz="4" w:space="0" w:color="000000"/>
            </w:tcBorders>
          </w:tcPr>
          <w:p w14:paraId="34DD98D1"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D2"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16b</w:t>
            </w:r>
          </w:p>
        </w:tc>
        <w:tc>
          <w:tcPr>
            <w:tcW w:w="4924" w:type="dxa"/>
            <w:tcBorders>
              <w:top w:val="single" w:sz="4" w:space="0" w:color="000000"/>
              <w:left w:val="single" w:sz="4" w:space="0" w:color="000000"/>
              <w:bottom w:val="single" w:sz="4" w:space="0" w:color="000000"/>
              <w:right w:val="single" w:sz="4" w:space="0" w:color="000000"/>
            </w:tcBorders>
          </w:tcPr>
          <w:p w14:paraId="34DD98D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Cite studies that might appear to meet the inclusion criteria, but which were excluded, and explain why they were excluded.</w:t>
            </w:r>
          </w:p>
        </w:tc>
        <w:tc>
          <w:tcPr>
            <w:tcW w:w="1413" w:type="dxa"/>
            <w:tcBorders>
              <w:top w:val="single" w:sz="4" w:space="0" w:color="000000"/>
              <w:left w:val="single" w:sz="4" w:space="0" w:color="000000"/>
              <w:bottom w:val="single" w:sz="4" w:space="0" w:color="000000"/>
              <w:right w:val="single" w:sz="4" w:space="0" w:color="000000"/>
            </w:tcBorders>
          </w:tcPr>
          <w:p w14:paraId="34DD98D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6/182-186</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D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Results  3.1</w:t>
            </w:r>
            <w:proofErr w:type="gramEnd"/>
            <w:r>
              <w:rPr>
                <w:rFonts w:asciiTheme="majorBidi" w:eastAsia="Times New Roman" w:hAnsiTheme="majorBidi" w:cstheme="majorBidi"/>
                <w:sz w:val="20"/>
                <w:szCs w:val="20"/>
                <w:lang w:eastAsia="en-CA"/>
                <w14:ligatures w14:val="none"/>
              </w:rPr>
              <w:t>; Figure 1 exclusion categories (e.g., grey literature/no extractable outcomes; nonclinical; secondary research; insufficient design/analysis; diagnostic-only; ineligible biomarker/therapy); Supplementary Table S2</w:t>
            </w:r>
          </w:p>
        </w:tc>
      </w:tr>
      <w:tr w:rsidR="00872A7E" w14:paraId="34DD98DC" w14:textId="77777777">
        <w:trPr>
          <w:gridAfter w:val="2"/>
          <w:wAfter w:w="309" w:type="dxa"/>
          <w:trHeight w:val="103"/>
        </w:trPr>
        <w:tc>
          <w:tcPr>
            <w:tcW w:w="1429" w:type="dxa"/>
            <w:tcBorders>
              <w:top w:val="single" w:sz="4" w:space="0" w:color="000000"/>
              <w:left w:val="single" w:sz="4" w:space="0" w:color="000000"/>
              <w:bottom w:val="single" w:sz="4" w:space="0" w:color="000000"/>
              <w:right w:val="single" w:sz="4" w:space="0" w:color="000000"/>
            </w:tcBorders>
          </w:tcPr>
          <w:p w14:paraId="34DD98D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Study characteristics </w:t>
            </w:r>
          </w:p>
        </w:tc>
        <w:tc>
          <w:tcPr>
            <w:tcW w:w="426" w:type="dxa"/>
            <w:tcBorders>
              <w:top w:val="single" w:sz="4" w:space="0" w:color="000000"/>
              <w:left w:val="single" w:sz="4" w:space="0" w:color="000000"/>
              <w:bottom w:val="single" w:sz="4" w:space="0" w:color="000000"/>
              <w:right w:val="single" w:sz="4" w:space="0" w:color="000000"/>
            </w:tcBorders>
          </w:tcPr>
          <w:p w14:paraId="34DD98D8"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17</w:t>
            </w:r>
          </w:p>
        </w:tc>
        <w:tc>
          <w:tcPr>
            <w:tcW w:w="4924" w:type="dxa"/>
            <w:tcBorders>
              <w:top w:val="single" w:sz="4" w:space="0" w:color="000000"/>
              <w:left w:val="single" w:sz="4" w:space="0" w:color="000000"/>
              <w:bottom w:val="single" w:sz="4" w:space="0" w:color="000000"/>
              <w:right w:val="single" w:sz="4" w:space="0" w:color="000000"/>
            </w:tcBorders>
          </w:tcPr>
          <w:p w14:paraId="34DD98D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Cite each included study and present its characteristics.</w:t>
            </w:r>
          </w:p>
        </w:tc>
        <w:tc>
          <w:tcPr>
            <w:tcW w:w="1413" w:type="dxa"/>
            <w:tcBorders>
              <w:top w:val="single" w:sz="4" w:space="0" w:color="000000"/>
              <w:left w:val="single" w:sz="4" w:space="0" w:color="000000"/>
              <w:bottom w:val="single" w:sz="4" w:space="0" w:color="000000"/>
              <w:right w:val="single" w:sz="4" w:space="0" w:color="000000"/>
            </w:tcBorders>
          </w:tcPr>
          <w:p w14:paraId="34DD98D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6-13/188-244</w:t>
            </w:r>
          </w:p>
        </w:tc>
        <w:tc>
          <w:tcPr>
            <w:tcW w:w="5461" w:type="dxa"/>
            <w:tcBorders>
              <w:top w:val="single" w:sz="4" w:space="0" w:color="000000"/>
              <w:left w:val="single" w:sz="4" w:space="0" w:color="000000"/>
              <w:bottom w:val="single" w:sz="4" w:space="0" w:color="000000"/>
              <w:right w:val="single" w:sz="4" w:space="0" w:color="000000"/>
            </w:tcBorders>
          </w:tcPr>
          <w:p w14:paraId="34DD98D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Results  3.2</w:t>
            </w:r>
            <w:proofErr w:type="gramEnd"/>
            <w:r>
              <w:rPr>
                <w:rFonts w:asciiTheme="majorBidi" w:eastAsia="Times New Roman" w:hAnsiTheme="majorBidi" w:cstheme="majorBidi"/>
                <w:sz w:val="20"/>
                <w:szCs w:val="20"/>
                <w:lang w:eastAsia="en-CA"/>
                <w14:ligatures w14:val="none"/>
              </w:rPr>
              <w:t xml:space="preserve"> Study characteristics; Tables 1-2; Supplementary Table S6 (design, setting, interventions, comparators, endpoints)</w:t>
            </w:r>
          </w:p>
        </w:tc>
      </w:tr>
      <w:tr w:rsidR="00872A7E" w14:paraId="34DD98E2"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D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Risk of bias in studies </w:t>
            </w:r>
          </w:p>
        </w:tc>
        <w:tc>
          <w:tcPr>
            <w:tcW w:w="426" w:type="dxa"/>
            <w:tcBorders>
              <w:top w:val="single" w:sz="4" w:space="0" w:color="000000"/>
              <w:left w:val="single" w:sz="4" w:space="0" w:color="000000"/>
              <w:bottom w:val="single" w:sz="4" w:space="0" w:color="000000"/>
              <w:right w:val="single" w:sz="4" w:space="0" w:color="000000"/>
            </w:tcBorders>
          </w:tcPr>
          <w:p w14:paraId="34DD98DE"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18</w:t>
            </w:r>
          </w:p>
        </w:tc>
        <w:tc>
          <w:tcPr>
            <w:tcW w:w="4924" w:type="dxa"/>
            <w:tcBorders>
              <w:top w:val="single" w:sz="4" w:space="0" w:color="000000"/>
              <w:left w:val="single" w:sz="4" w:space="0" w:color="000000"/>
              <w:bottom w:val="single" w:sz="4" w:space="0" w:color="000000"/>
              <w:right w:val="single" w:sz="4" w:space="0" w:color="000000"/>
            </w:tcBorders>
          </w:tcPr>
          <w:p w14:paraId="34DD98D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assessments of risk of bias for each included study.</w:t>
            </w:r>
          </w:p>
        </w:tc>
        <w:tc>
          <w:tcPr>
            <w:tcW w:w="1413" w:type="dxa"/>
            <w:tcBorders>
              <w:top w:val="single" w:sz="4" w:space="0" w:color="000000"/>
              <w:left w:val="single" w:sz="4" w:space="0" w:color="000000"/>
              <w:bottom w:val="single" w:sz="4" w:space="0" w:color="000000"/>
              <w:right w:val="single" w:sz="4" w:space="0" w:color="000000"/>
            </w:tcBorders>
          </w:tcPr>
          <w:p w14:paraId="34DD98E0"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37-41/365-391</w:t>
            </w:r>
          </w:p>
        </w:tc>
        <w:tc>
          <w:tcPr>
            <w:tcW w:w="5461" w:type="dxa"/>
            <w:tcBorders>
              <w:top w:val="single" w:sz="4" w:space="0" w:color="000000"/>
              <w:left w:val="single" w:sz="4" w:space="0" w:color="000000"/>
              <w:bottom w:val="single" w:sz="4" w:space="0" w:color="000000"/>
              <w:right w:val="single" w:sz="4" w:space="0" w:color="000000"/>
            </w:tcBorders>
          </w:tcPr>
          <w:p w14:paraId="34DD98E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Results  3.8</w:t>
            </w:r>
            <w:proofErr w:type="gramEnd"/>
            <w:r>
              <w:rPr>
                <w:rFonts w:asciiTheme="majorBidi" w:eastAsia="Times New Roman" w:hAnsiTheme="majorBidi" w:cstheme="majorBidi"/>
                <w:sz w:val="20"/>
                <w:szCs w:val="20"/>
                <w:lang w:eastAsia="en-CA"/>
                <w14:ligatures w14:val="none"/>
              </w:rPr>
              <w:t xml:space="preserve"> Risk of bias; Figure 3 traffic-light matrix and summary; Table 8 study-level RoB with justifications; Supplementary materials</w:t>
            </w:r>
          </w:p>
        </w:tc>
      </w:tr>
      <w:tr w:rsidR="00872A7E" w14:paraId="34DD98E8"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8E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lastRenderedPageBreak/>
              <w:t xml:space="preserve">Results of individual studies </w:t>
            </w:r>
          </w:p>
        </w:tc>
        <w:tc>
          <w:tcPr>
            <w:tcW w:w="426" w:type="dxa"/>
            <w:tcBorders>
              <w:top w:val="single" w:sz="4" w:space="0" w:color="000000"/>
              <w:left w:val="single" w:sz="4" w:space="0" w:color="000000"/>
              <w:bottom w:val="single" w:sz="4" w:space="0" w:color="000000"/>
              <w:right w:val="single" w:sz="4" w:space="0" w:color="000000"/>
            </w:tcBorders>
          </w:tcPr>
          <w:p w14:paraId="34DD98E4"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19</w:t>
            </w:r>
          </w:p>
        </w:tc>
        <w:tc>
          <w:tcPr>
            <w:tcW w:w="4924" w:type="dxa"/>
            <w:tcBorders>
              <w:top w:val="single" w:sz="4" w:space="0" w:color="000000"/>
              <w:left w:val="single" w:sz="4" w:space="0" w:color="000000"/>
              <w:bottom w:val="single" w:sz="4" w:space="0" w:color="000000"/>
              <w:right w:val="single" w:sz="4" w:space="0" w:color="000000"/>
            </w:tcBorders>
          </w:tcPr>
          <w:p w14:paraId="34DD98E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For all outcomes, present, for each study: (a) summary statistics for each group (where appropriate) and (b) an effect </w:t>
            </w:r>
            <w:proofErr w:type="gramStart"/>
            <w:r>
              <w:rPr>
                <w:rFonts w:asciiTheme="majorBidi" w:eastAsia="Times New Roman" w:hAnsiTheme="majorBidi" w:cstheme="majorBidi"/>
                <w:sz w:val="20"/>
                <w:szCs w:val="20"/>
                <w:lang w:val="en-CA" w:eastAsia="en-CA"/>
                <w14:ligatures w14:val="none"/>
              </w:rPr>
              <w:t>estimate</w:t>
            </w:r>
            <w:proofErr w:type="gramEnd"/>
            <w:r>
              <w:rPr>
                <w:rFonts w:asciiTheme="majorBidi" w:eastAsia="Times New Roman" w:hAnsiTheme="majorBidi" w:cstheme="majorBidi"/>
                <w:sz w:val="20"/>
                <w:szCs w:val="20"/>
                <w:lang w:val="en-CA" w:eastAsia="en-CA"/>
                <w14:ligatures w14:val="none"/>
              </w:rPr>
              <w:t xml:space="preserve"> and its precision (e.g. confidence/credible interval), ideally using structured tables or plots.</w:t>
            </w:r>
          </w:p>
        </w:tc>
        <w:tc>
          <w:tcPr>
            <w:tcW w:w="1413" w:type="dxa"/>
            <w:tcBorders>
              <w:top w:val="single" w:sz="4" w:space="0" w:color="000000"/>
              <w:left w:val="single" w:sz="4" w:space="0" w:color="000000"/>
              <w:bottom w:val="single" w:sz="4" w:space="0" w:color="000000"/>
              <w:right w:val="single" w:sz="4" w:space="0" w:color="000000"/>
            </w:tcBorders>
          </w:tcPr>
          <w:p w14:paraId="34DD98E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13-30/246-337</w:t>
            </w:r>
          </w:p>
        </w:tc>
        <w:tc>
          <w:tcPr>
            <w:tcW w:w="5461" w:type="dxa"/>
            <w:tcBorders>
              <w:top w:val="single" w:sz="4" w:space="0" w:color="000000"/>
              <w:left w:val="single" w:sz="4" w:space="0" w:color="000000"/>
              <w:bottom w:val="single" w:sz="4" w:space="0" w:color="000000"/>
              <w:right w:val="single" w:sz="4" w:space="0" w:color="000000"/>
            </w:tcBorders>
          </w:tcPr>
          <w:p w14:paraId="34DD98E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Results   3.3-3.6; Tables 3-6 (ORR, PFS, OS, DoR per study with HR/RR and 95% CI); Figure 2 (forest plot narrative)</w:t>
            </w:r>
          </w:p>
        </w:tc>
      </w:tr>
      <w:tr w:rsidR="00872A7E" w14:paraId="34DD98EE" w14:textId="77777777">
        <w:trPr>
          <w:gridAfter w:val="2"/>
          <w:wAfter w:w="309" w:type="dxa"/>
          <w:trHeight w:val="48"/>
        </w:trPr>
        <w:tc>
          <w:tcPr>
            <w:tcW w:w="1429" w:type="dxa"/>
            <w:vMerge w:val="restart"/>
            <w:tcBorders>
              <w:top w:val="single" w:sz="4" w:space="0" w:color="000000"/>
              <w:left w:val="single" w:sz="4" w:space="0" w:color="000000"/>
              <w:right w:val="single" w:sz="4" w:space="0" w:color="000000"/>
            </w:tcBorders>
          </w:tcPr>
          <w:p w14:paraId="34DD98E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Results of syntheses</w:t>
            </w:r>
          </w:p>
        </w:tc>
        <w:tc>
          <w:tcPr>
            <w:tcW w:w="426" w:type="dxa"/>
            <w:tcBorders>
              <w:top w:val="single" w:sz="4" w:space="0" w:color="000000"/>
              <w:left w:val="single" w:sz="4" w:space="0" w:color="000000"/>
              <w:bottom w:val="single" w:sz="4" w:space="0" w:color="000000"/>
              <w:right w:val="single" w:sz="4" w:space="0" w:color="000000"/>
            </w:tcBorders>
          </w:tcPr>
          <w:p w14:paraId="34DD98EA"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20a</w:t>
            </w:r>
          </w:p>
        </w:tc>
        <w:tc>
          <w:tcPr>
            <w:tcW w:w="4924" w:type="dxa"/>
            <w:tcBorders>
              <w:top w:val="single" w:sz="4" w:space="0" w:color="000000"/>
              <w:left w:val="single" w:sz="4" w:space="0" w:color="000000"/>
              <w:bottom w:val="single" w:sz="4" w:space="0" w:color="000000"/>
              <w:right w:val="single" w:sz="4" w:space="0" w:color="000000"/>
            </w:tcBorders>
          </w:tcPr>
          <w:p w14:paraId="34DD98E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For each synthesis, briefly summarise the characteristics and risk of bias among contributing studies.</w:t>
            </w:r>
          </w:p>
        </w:tc>
        <w:tc>
          <w:tcPr>
            <w:tcW w:w="1413" w:type="dxa"/>
            <w:tcBorders>
              <w:top w:val="single" w:sz="4" w:space="0" w:color="000000"/>
              <w:left w:val="single" w:sz="4" w:space="0" w:color="000000"/>
              <w:bottom w:val="single" w:sz="4" w:space="0" w:color="000000"/>
              <w:right w:val="single" w:sz="4" w:space="0" w:color="000000"/>
            </w:tcBorders>
          </w:tcPr>
          <w:p w14:paraId="34DD98E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13-41</w:t>
            </w: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/246-391</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E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Results   3.2-3.</w:t>
            </w:r>
            <w:proofErr w:type="gramStart"/>
            <w:r>
              <w:rPr>
                <w:rFonts w:asciiTheme="majorBidi" w:eastAsia="Times New Roman" w:hAnsiTheme="majorBidi" w:cstheme="majorBidi"/>
                <w:sz w:val="20"/>
                <w:szCs w:val="20"/>
                <w:lang w:eastAsia="en-CA"/>
                <w14:ligatures w14:val="none"/>
              </w:rPr>
              <w:t>6;  3.8</w:t>
            </w:r>
            <w:proofErr w:type="gramEnd"/>
            <w:r>
              <w:rPr>
                <w:rFonts w:asciiTheme="majorBidi" w:eastAsia="Times New Roman" w:hAnsiTheme="majorBidi" w:cstheme="majorBidi"/>
                <w:sz w:val="20"/>
                <w:szCs w:val="20"/>
                <w:lang w:eastAsia="en-CA"/>
                <w14:ligatures w14:val="none"/>
              </w:rPr>
              <w:t xml:space="preserve"> (mix of RCTs and nonrandomized; predominantly low risk in pivotal trials; observational limitations noted)</w:t>
            </w:r>
          </w:p>
        </w:tc>
      </w:tr>
      <w:tr w:rsidR="00872A7E" w14:paraId="34DD98F4" w14:textId="77777777">
        <w:trPr>
          <w:gridAfter w:val="2"/>
          <w:wAfter w:w="309" w:type="dxa"/>
          <w:trHeight w:val="203"/>
        </w:trPr>
        <w:tc>
          <w:tcPr>
            <w:tcW w:w="1429" w:type="dxa"/>
            <w:vMerge/>
            <w:tcBorders>
              <w:left w:val="single" w:sz="4" w:space="0" w:color="000000"/>
              <w:right w:val="single" w:sz="4" w:space="0" w:color="000000"/>
            </w:tcBorders>
          </w:tcPr>
          <w:p w14:paraId="34DD98EF"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F0"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20b</w:t>
            </w:r>
          </w:p>
        </w:tc>
        <w:tc>
          <w:tcPr>
            <w:tcW w:w="4924" w:type="dxa"/>
            <w:tcBorders>
              <w:top w:val="single" w:sz="4" w:space="0" w:color="000000"/>
              <w:left w:val="single" w:sz="4" w:space="0" w:color="000000"/>
              <w:bottom w:val="single" w:sz="4" w:space="0" w:color="000000"/>
              <w:right w:val="single" w:sz="4" w:space="0" w:color="000000"/>
            </w:tcBorders>
          </w:tcPr>
          <w:p w14:paraId="34DD98F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13" w:type="dxa"/>
            <w:tcBorders>
              <w:top w:val="single" w:sz="4" w:space="0" w:color="000000"/>
              <w:left w:val="single" w:sz="4" w:space="0" w:color="000000"/>
              <w:bottom w:val="single" w:sz="4" w:space="0" w:color="000000"/>
              <w:right w:val="single" w:sz="4" w:space="0" w:color="000000"/>
            </w:tcBorders>
          </w:tcPr>
          <w:p w14:paraId="34DD98F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rtl/>
                <w:lang w:val="en-CA" w:eastAsia="en-CA" w:bidi="ar-EG"/>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13-30/246-337</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8F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Results   3.2-3.6 (pooled RRs/HRs with 95% CIs; heterogeneity I²/</w:t>
            </w:r>
            <w:r>
              <w:rPr>
                <w:rFonts w:asciiTheme="majorBidi" w:eastAsia="Times New Roman" w:hAnsiTheme="majorBidi" w:cstheme="majorBidi"/>
                <w:sz w:val="20"/>
                <w:szCs w:val="20"/>
                <w:lang w:val="da-DK" w:eastAsia="en-CA"/>
                <w14:ligatures w14:val="none"/>
              </w:rPr>
              <w:t>τ</w:t>
            </w:r>
            <w:r>
              <w:rPr>
                <w:rFonts w:asciiTheme="majorBidi" w:eastAsia="Times New Roman" w:hAnsiTheme="majorBidi" w:cstheme="majorBidi"/>
                <w:sz w:val="20"/>
                <w:szCs w:val="20"/>
                <w:lang w:eastAsia="en-CA"/>
                <w14:ligatures w14:val="none"/>
              </w:rPr>
              <w:t>²/Q; RMST differences</w:t>
            </w:r>
            <w:proofErr w:type="gramStart"/>
            <w:r>
              <w:rPr>
                <w:rFonts w:asciiTheme="majorBidi" w:eastAsia="Times New Roman" w:hAnsiTheme="majorBidi" w:cstheme="majorBidi"/>
                <w:sz w:val="20"/>
                <w:szCs w:val="20"/>
                <w:lang w:eastAsia="en-CA"/>
                <w14:ligatures w14:val="none"/>
              </w:rPr>
              <w:t>);  3.11</w:t>
            </w:r>
            <w:proofErr w:type="gramEnd"/>
            <w:r>
              <w:rPr>
                <w:rFonts w:asciiTheme="majorBidi" w:eastAsia="Times New Roman" w:hAnsiTheme="majorBidi" w:cstheme="majorBidi"/>
                <w:sz w:val="20"/>
                <w:szCs w:val="20"/>
                <w:lang w:eastAsia="en-CA"/>
                <w14:ligatures w14:val="none"/>
              </w:rPr>
              <w:t xml:space="preserve"> Safety (pooled RRs, NNT/NNH)</w:t>
            </w:r>
          </w:p>
        </w:tc>
      </w:tr>
      <w:tr w:rsidR="00872A7E" w14:paraId="34DD98FA" w14:textId="77777777">
        <w:trPr>
          <w:gridAfter w:val="2"/>
          <w:wAfter w:w="309" w:type="dxa"/>
          <w:trHeight w:val="48"/>
        </w:trPr>
        <w:tc>
          <w:tcPr>
            <w:tcW w:w="1429" w:type="dxa"/>
            <w:vMerge/>
            <w:tcBorders>
              <w:left w:val="single" w:sz="4" w:space="0" w:color="000000"/>
              <w:right w:val="single" w:sz="4" w:space="0" w:color="000000"/>
            </w:tcBorders>
          </w:tcPr>
          <w:p w14:paraId="34DD98F5"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F6"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20c</w:t>
            </w:r>
          </w:p>
        </w:tc>
        <w:tc>
          <w:tcPr>
            <w:tcW w:w="4924" w:type="dxa"/>
            <w:tcBorders>
              <w:top w:val="single" w:sz="4" w:space="0" w:color="000000"/>
              <w:left w:val="single" w:sz="4" w:space="0" w:color="000000"/>
              <w:bottom w:val="single" w:sz="4" w:space="0" w:color="000000"/>
              <w:right w:val="single" w:sz="4" w:space="0" w:color="000000"/>
            </w:tcBorders>
          </w:tcPr>
          <w:p w14:paraId="34DD98F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results of all investigations of possible causes of heterogeneity among study results.</w:t>
            </w:r>
          </w:p>
        </w:tc>
        <w:tc>
          <w:tcPr>
            <w:tcW w:w="1413" w:type="dxa"/>
            <w:tcBorders>
              <w:top w:val="single" w:sz="4" w:space="0" w:color="000000"/>
              <w:left w:val="single" w:sz="4" w:space="0" w:color="000000"/>
              <w:bottom w:val="single" w:sz="4" w:space="0" w:color="000000"/>
              <w:right w:val="single" w:sz="4" w:space="0" w:color="000000"/>
            </w:tcBorders>
          </w:tcPr>
          <w:p w14:paraId="34DD98F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30-37/339-363</w:t>
            </w:r>
          </w:p>
        </w:tc>
        <w:tc>
          <w:tcPr>
            <w:tcW w:w="5461" w:type="dxa"/>
            <w:tcBorders>
              <w:top w:val="single" w:sz="4" w:space="0" w:color="000000"/>
              <w:left w:val="single" w:sz="4" w:space="0" w:color="000000"/>
              <w:bottom w:val="single" w:sz="4" w:space="0" w:color="000000"/>
              <w:right w:val="single" w:sz="4" w:space="0" w:color="000000"/>
            </w:tcBorders>
          </w:tcPr>
          <w:p w14:paraId="34DD98F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Results  3.7</w:t>
            </w:r>
            <w:proofErr w:type="gramEnd"/>
            <w:r>
              <w:rPr>
                <w:rFonts w:asciiTheme="majorBidi" w:eastAsia="Times New Roman" w:hAnsiTheme="majorBidi" w:cstheme="majorBidi"/>
                <w:sz w:val="20"/>
                <w:szCs w:val="20"/>
                <w:lang w:eastAsia="en-CA"/>
                <w14:ligatures w14:val="none"/>
              </w:rPr>
              <w:t xml:space="preserve"> Subgroups and meta-regression (dose, line, assay modality, geography, TMB thresholds; interaction p-values; </w:t>
            </w:r>
            <w:r>
              <w:rPr>
                <w:rFonts w:asciiTheme="majorBidi" w:eastAsia="Times New Roman" w:hAnsiTheme="majorBidi" w:cstheme="majorBidi"/>
                <w:sz w:val="20"/>
                <w:szCs w:val="20"/>
                <w:lang w:val="da-DK" w:eastAsia="en-CA"/>
                <w14:ligatures w14:val="none"/>
              </w:rPr>
              <w:t>β</w:t>
            </w:r>
            <w:r>
              <w:rPr>
                <w:rFonts w:asciiTheme="majorBidi" w:eastAsia="Times New Roman" w:hAnsiTheme="majorBidi" w:cstheme="majorBidi"/>
                <w:sz w:val="20"/>
                <w:szCs w:val="20"/>
                <w:lang w:eastAsia="en-CA"/>
                <w14:ligatures w14:val="none"/>
              </w:rPr>
              <w:t xml:space="preserve"> directions)</w:t>
            </w:r>
          </w:p>
        </w:tc>
      </w:tr>
      <w:tr w:rsidR="00872A7E" w14:paraId="34DD9900" w14:textId="77777777">
        <w:trPr>
          <w:gridAfter w:val="2"/>
          <w:wAfter w:w="309" w:type="dxa"/>
          <w:trHeight w:val="48"/>
        </w:trPr>
        <w:tc>
          <w:tcPr>
            <w:tcW w:w="1429" w:type="dxa"/>
            <w:vMerge/>
            <w:tcBorders>
              <w:left w:val="single" w:sz="4" w:space="0" w:color="000000"/>
              <w:bottom w:val="single" w:sz="4" w:space="0" w:color="000000"/>
              <w:right w:val="single" w:sz="4" w:space="0" w:color="000000"/>
            </w:tcBorders>
          </w:tcPr>
          <w:p w14:paraId="34DD98FB"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8FC"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20d</w:t>
            </w:r>
          </w:p>
        </w:tc>
        <w:tc>
          <w:tcPr>
            <w:tcW w:w="4924" w:type="dxa"/>
            <w:tcBorders>
              <w:top w:val="single" w:sz="4" w:space="0" w:color="000000"/>
              <w:left w:val="single" w:sz="4" w:space="0" w:color="000000"/>
              <w:bottom w:val="single" w:sz="4" w:space="0" w:color="000000"/>
              <w:right w:val="single" w:sz="4" w:space="0" w:color="000000"/>
            </w:tcBorders>
          </w:tcPr>
          <w:p w14:paraId="34DD98F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results of all sensitivity analyses conducted to assess the robustness of the synthesized results.</w:t>
            </w:r>
          </w:p>
        </w:tc>
        <w:tc>
          <w:tcPr>
            <w:tcW w:w="1413" w:type="dxa"/>
            <w:tcBorders>
              <w:top w:val="single" w:sz="4" w:space="0" w:color="000000"/>
              <w:left w:val="single" w:sz="4" w:space="0" w:color="000000"/>
              <w:bottom w:val="single" w:sz="4" w:space="0" w:color="000000"/>
              <w:right w:val="single" w:sz="4" w:space="0" w:color="000000"/>
            </w:tcBorders>
          </w:tcPr>
          <w:p w14:paraId="34DD98FE"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41-42/394-413</w:t>
            </w:r>
          </w:p>
        </w:tc>
        <w:tc>
          <w:tcPr>
            <w:tcW w:w="5461" w:type="dxa"/>
            <w:tcBorders>
              <w:top w:val="single" w:sz="4" w:space="0" w:color="000000"/>
              <w:left w:val="single" w:sz="4" w:space="0" w:color="000000"/>
              <w:bottom w:val="single" w:sz="4" w:space="0" w:color="000000"/>
              <w:right w:val="single" w:sz="4" w:space="0" w:color="000000"/>
            </w:tcBorders>
          </w:tcPr>
          <w:p w14:paraId="34DD98FF"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eastAsia="en-CA"/>
                <w14:ligatures w14:val="none"/>
              </w:rPr>
            </w:pPr>
            <w:proofErr w:type="gramStart"/>
            <w:r>
              <w:rPr>
                <w:rFonts w:asciiTheme="majorBidi" w:eastAsia="Times New Roman" w:hAnsiTheme="majorBidi" w:cstheme="majorBidi"/>
                <w:sz w:val="20"/>
                <w:szCs w:val="20"/>
                <w:lang w:eastAsia="en-CA"/>
                <w14:ligatures w14:val="none"/>
              </w:rPr>
              <w:t>Results  3.10</w:t>
            </w:r>
            <w:proofErr w:type="gramEnd"/>
            <w:r>
              <w:rPr>
                <w:rFonts w:asciiTheme="majorBidi" w:eastAsia="Times New Roman" w:hAnsiTheme="majorBidi" w:cstheme="majorBidi"/>
                <w:sz w:val="20"/>
                <w:szCs w:val="20"/>
                <w:lang w:eastAsia="en-CA"/>
                <w14:ligatures w14:val="none"/>
              </w:rPr>
              <w:t xml:space="preserve"> Sensitivity analyses; Figure 5; Supplementary Table S9 (influence, leave-one-out, scenario analyses)</w:t>
            </w:r>
          </w:p>
        </w:tc>
      </w:tr>
      <w:tr w:rsidR="00872A7E" w14:paraId="34DD9906"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90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Reporting biases</w:t>
            </w:r>
          </w:p>
        </w:tc>
        <w:tc>
          <w:tcPr>
            <w:tcW w:w="426" w:type="dxa"/>
            <w:tcBorders>
              <w:top w:val="single" w:sz="4" w:space="0" w:color="000000"/>
              <w:left w:val="single" w:sz="4" w:space="0" w:color="000000"/>
              <w:bottom w:val="single" w:sz="4" w:space="0" w:color="000000"/>
              <w:right w:val="single" w:sz="4" w:space="0" w:color="000000"/>
            </w:tcBorders>
          </w:tcPr>
          <w:p w14:paraId="34DD9902"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21</w:t>
            </w:r>
          </w:p>
        </w:tc>
        <w:tc>
          <w:tcPr>
            <w:tcW w:w="4924" w:type="dxa"/>
            <w:tcBorders>
              <w:top w:val="single" w:sz="4" w:space="0" w:color="000000"/>
              <w:left w:val="single" w:sz="4" w:space="0" w:color="000000"/>
              <w:bottom w:val="single" w:sz="4" w:space="0" w:color="000000"/>
              <w:right w:val="single" w:sz="4" w:space="0" w:color="000000"/>
            </w:tcBorders>
          </w:tcPr>
          <w:p w14:paraId="34DD990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assessments of risk of bias due to missing results (arising from reporting biases) for each synthesis assessed.</w:t>
            </w:r>
          </w:p>
        </w:tc>
        <w:tc>
          <w:tcPr>
            <w:tcW w:w="1413" w:type="dxa"/>
            <w:tcBorders>
              <w:top w:val="single" w:sz="4" w:space="0" w:color="000000"/>
              <w:left w:val="single" w:sz="4" w:space="0" w:color="000000"/>
              <w:bottom w:val="single" w:sz="4" w:space="0" w:color="000000"/>
              <w:right w:val="single" w:sz="4" w:space="0" w:color="000000"/>
            </w:tcBorders>
          </w:tcPr>
          <w:p w14:paraId="34DD990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41/381-392</w:t>
            </w:r>
          </w:p>
        </w:tc>
        <w:tc>
          <w:tcPr>
            <w:tcW w:w="5461" w:type="dxa"/>
            <w:tcBorders>
              <w:top w:val="single" w:sz="4" w:space="0" w:color="000000"/>
              <w:left w:val="single" w:sz="4" w:space="0" w:color="000000"/>
              <w:bottom w:val="single" w:sz="4" w:space="0" w:color="000000"/>
              <w:right w:val="single" w:sz="4" w:space="0" w:color="000000"/>
            </w:tcBorders>
          </w:tcPr>
          <w:p w14:paraId="34DD990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eastAsia="en-CA"/>
                <w14:ligatures w14:val="none"/>
              </w:rPr>
              <w:t xml:space="preserve">Results 3.9 Publication bias; Figure 4; Supplementary Table S8 (funnel tests; trim-and-fill); </w:t>
            </w:r>
            <w:r>
              <w:rPr>
                <w:rFonts w:asciiTheme="majorBidi" w:eastAsia="Times New Roman" w:hAnsiTheme="majorBidi" w:cstheme="majorBidi"/>
                <w:sz w:val="20"/>
                <w:szCs w:val="20"/>
                <w:cs/>
                <w:lang w:eastAsia="en-CA"/>
                <w14:ligatures w14:val="none"/>
              </w:rPr>
              <w:t>‎</w:t>
            </w:r>
            <w:r>
              <w:rPr>
                <w:rFonts w:asciiTheme="majorBidi" w:eastAsia="Times New Roman" w:hAnsiTheme="majorBidi" w:cstheme="majorBidi"/>
                <w:sz w:val="20"/>
                <w:szCs w:val="20"/>
                <w:lang w:eastAsia="en-CA"/>
                <w14:ligatures w14:val="none"/>
              </w:rPr>
              <w:t xml:space="preserve">explicit caution that formal funnel-based testing is unreliable </w:t>
            </w:r>
            <w:r>
              <w:rPr>
                <w:rFonts w:asciiTheme="majorBidi" w:eastAsia="Times New Roman" w:hAnsiTheme="majorBidi" w:cstheme="majorBidi"/>
                <w:sz w:val="20"/>
                <w:szCs w:val="20"/>
                <w:cs/>
                <w:lang w:eastAsia="en-CA"/>
                <w14:ligatures w14:val="none"/>
              </w:rPr>
              <w:t>‎</w:t>
            </w:r>
            <w:r>
              <w:rPr>
                <w:rFonts w:asciiTheme="majorBidi" w:eastAsia="Times New Roman" w:hAnsiTheme="majorBidi" w:cstheme="majorBidi"/>
                <w:sz w:val="20"/>
                <w:szCs w:val="20"/>
                <w:lang w:eastAsia="en-CA"/>
                <w14:ligatures w14:val="none"/>
              </w:rPr>
              <w:t>when k&lt;10</w:t>
            </w:r>
            <w:r>
              <w:rPr>
                <w:rFonts w:asciiTheme="majorBidi" w:eastAsia="Times New Roman" w:hAnsiTheme="majorBidi" w:cstheme="majorBidi"/>
                <w:sz w:val="20"/>
                <w:szCs w:val="20"/>
                <w:cs/>
                <w:lang w:eastAsia="en-CA"/>
                <w14:ligatures w14:val="none"/>
              </w:rPr>
              <w:t>‎</w:t>
            </w:r>
          </w:p>
        </w:tc>
      </w:tr>
      <w:tr w:rsidR="00872A7E" w14:paraId="34DD990D"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90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Certainty of evidence </w:t>
            </w:r>
          </w:p>
        </w:tc>
        <w:tc>
          <w:tcPr>
            <w:tcW w:w="426" w:type="dxa"/>
            <w:tcBorders>
              <w:top w:val="single" w:sz="4" w:space="0" w:color="000000"/>
              <w:left w:val="single" w:sz="4" w:space="0" w:color="000000"/>
              <w:bottom w:val="single" w:sz="4" w:space="0" w:color="000000"/>
              <w:right w:val="single" w:sz="4" w:space="0" w:color="000000"/>
            </w:tcBorders>
          </w:tcPr>
          <w:p w14:paraId="34DD9908"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22</w:t>
            </w:r>
          </w:p>
        </w:tc>
        <w:tc>
          <w:tcPr>
            <w:tcW w:w="4924" w:type="dxa"/>
            <w:tcBorders>
              <w:top w:val="single" w:sz="4" w:space="0" w:color="000000"/>
              <w:left w:val="single" w:sz="4" w:space="0" w:color="000000"/>
              <w:bottom w:val="single" w:sz="4" w:space="0" w:color="000000"/>
              <w:right w:val="single" w:sz="4" w:space="0" w:color="000000"/>
            </w:tcBorders>
          </w:tcPr>
          <w:p w14:paraId="34DD990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Present assessments of certainty (or confidence) in the body of evidence for each outcome assessed.</w:t>
            </w:r>
          </w:p>
        </w:tc>
        <w:tc>
          <w:tcPr>
            <w:tcW w:w="1413" w:type="dxa"/>
            <w:tcBorders>
              <w:top w:val="single" w:sz="4" w:space="0" w:color="000000"/>
              <w:left w:val="single" w:sz="4" w:space="0" w:color="000000"/>
              <w:bottom w:val="single" w:sz="4" w:space="0" w:color="000000"/>
              <w:right w:val="single" w:sz="4" w:space="0" w:color="000000"/>
            </w:tcBorders>
          </w:tcPr>
          <w:p w14:paraId="34DD990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bidi="ar-EG"/>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5-6/158-178</w:t>
            </w:r>
            <w:r>
              <w:rPr>
                <w:rFonts w:asciiTheme="majorBidi" w:eastAsia="Times New Roman" w:hAnsiTheme="majorBidi" w:cstheme="majorBidi"/>
                <w:sz w:val="20"/>
                <w:szCs w:val="20"/>
                <w:cs/>
                <w:lang w:val="en-CA" w:eastAsia="en-CA" w:bidi="ar-EG"/>
                <w14:ligatures w14:val="none"/>
              </w:rPr>
              <w:t>‎‎</w:t>
            </w:r>
          </w:p>
          <w:p w14:paraId="34DD990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13-30/246-337</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90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2.7</w:t>
            </w:r>
            <w:proofErr w:type="gramEnd"/>
            <w:r>
              <w:rPr>
                <w:rFonts w:asciiTheme="majorBidi" w:eastAsia="Times New Roman" w:hAnsiTheme="majorBidi" w:cstheme="majorBidi"/>
                <w:sz w:val="20"/>
                <w:szCs w:val="20"/>
                <w:lang w:eastAsia="en-CA"/>
                <w14:ligatures w14:val="none"/>
              </w:rPr>
              <w:t xml:space="preserve"> (GRADE planned); Results   3.2-3.6 (interpretation aligned with trial quality and heterogeneity); </w:t>
            </w:r>
            <w:proofErr w:type="gramStart"/>
            <w:r>
              <w:rPr>
                <w:rFonts w:asciiTheme="majorBidi" w:eastAsia="Times New Roman" w:hAnsiTheme="majorBidi" w:cstheme="majorBidi"/>
                <w:sz w:val="20"/>
                <w:szCs w:val="20"/>
                <w:lang w:eastAsia="en-CA"/>
                <w14:ligatures w14:val="none"/>
              </w:rPr>
              <w:t>Discussion  4</w:t>
            </w:r>
            <w:proofErr w:type="gramEnd"/>
            <w:r>
              <w:rPr>
                <w:rFonts w:asciiTheme="majorBidi" w:eastAsia="Times New Roman" w:hAnsiTheme="majorBidi" w:cstheme="majorBidi"/>
                <w:sz w:val="20"/>
                <w:szCs w:val="20"/>
                <w:lang w:eastAsia="en-CA"/>
                <w14:ligatures w14:val="none"/>
              </w:rPr>
              <w:t>; (certainty statements)</w:t>
            </w:r>
            <w:r>
              <w:rPr>
                <w:rFonts w:asciiTheme="majorBidi" w:eastAsia="Times New Roman" w:hAnsiTheme="majorBidi" w:cstheme="majorBidi"/>
                <w:sz w:val="20"/>
                <w:szCs w:val="20"/>
                <w:lang w:val="en-CA" w:eastAsia="en-CA"/>
                <w14:ligatures w14:val="none"/>
              </w:rPr>
              <w:t xml:space="preserve">; Table 10 (Summary of GRADE </w:t>
            </w:r>
            <w:r>
              <w:rPr>
                <w:rFonts w:asciiTheme="majorBidi" w:eastAsia="Times New Roman" w:hAnsiTheme="majorBidi" w:cstheme="majorBidi"/>
                <w:sz w:val="20"/>
                <w:szCs w:val="20"/>
                <w:cs/>
                <w:lang w:val="en-CA" w:eastAsia="en-CA"/>
                <w14:ligatures w14:val="none"/>
              </w:rPr>
              <w:t>‎</w:t>
            </w:r>
            <w:r>
              <w:rPr>
                <w:rFonts w:asciiTheme="majorBidi" w:eastAsia="Times New Roman" w:hAnsiTheme="majorBidi" w:cstheme="majorBidi"/>
                <w:sz w:val="20"/>
                <w:szCs w:val="20"/>
                <w:lang w:val="en-CA" w:eastAsia="en-CA"/>
                <w14:ligatures w14:val="none"/>
              </w:rPr>
              <w:t xml:space="preserve">Findings) </w:t>
            </w:r>
            <w:r>
              <w:rPr>
                <w:rFonts w:asciiTheme="majorBidi" w:eastAsia="Times New Roman" w:hAnsiTheme="majorBidi" w:cstheme="majorBidi"/>
                <w:sz w:val="20"/>
                <w:szCs w:val="20"/>
                <w:cs/>
                <w:lang w:val="en-CA" w:eastAsia="en-CA"/>
                <w14:ligatures w14:val="none"/>
              </w:rPr>
              <w:t>‎</w:t>
            </w:r>
          </w:p>
        </w:tc>
      </w:tr>
      <w:tr w:rsidR="00872A7E" w14:paraId="34DD9913" w14:textId="77777777">
        <w:trPr>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90E"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 xml:space="preserve">DISCUSSION </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90F" w14:textId="77777777" w:rsidR="00872A7E" w:rsidRDefault="00872A7E">
            <w:pPr>
              <w:widowControl w:val="0"/>
              <w:autoSpaceDE w:val="0"/>
              <w:autoSpaceDN w:val="0"/>
              <w:adjustRightInd w:val="0"/>
              <w:spacing w:beforeLines="0" w:before="0" w:afterLines="0" w:after="0"/>
              <w:ind w:firstLine="0"/>
              <w:jc w:val="center"/>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910" w14:textId="77777777" w:rsidR="00872A7E" w:rsidRDefault="00872A7E">
            <w:pPr>
              <w:widowControl w:val="0"/>
              <w:autoSpaceDE w:val="0"/>
              <w:autoSpaceDN w:val="0"/>
              <w:adjustRightInd w:val="0"/>
              <w:spacing w:beforeLines="0" w:before="0" w:afterLines="0" w:after="0"/>
              <w:ind w:firstLine="0"/>
              <w:jc w:val="center"/>
              <w:rPr>
                <w:rFonts w:asciiTheme="majorBidi" w:eastAsia="Times New Roman" w:hAnsiTheme="majorBidi" w:cstheme="majorBidi"/>
                <w:sz w:val="20"/>
                <w:szCs w:val="20"/>
                <w:lang w:val="en-CA" w:eastAsia="en-CA"/>
                <w14:ligatures w14:val="none"/>
              </w:rPr>
            </w:pPr>
          </w:p>
        </w:tc>
        <w:tc>
          <w:tcPr>
            <w:tcW w:w="249" w:type="dxa"/>
          </w:tcPr>
          <w:p w14:paraId="34DD9911"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c>
          <w:tcPr>
            <w:tcW w:w="60" w:type="dxa"/>
          </w:tcPr>
          <w:p w14:paraId="34DD9912"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r>
      <w:tr w:rsidR="00872A7E" w14:paraId="34DD9919" w14:textId="77777777">
        <w:trPr>
          <w:gridAfter w:val="2"/>
          <w:wAfter w:w="309" w:type="dxa"/>
          <w:trHeight w:val="48"/>
        </w:trPr>
        <w:tc>
          <w:tcPr>
            <w:tcW w:w="1429" w:type="dxa"/>
            <w:vMerge w:val="restart"/>
            <w:tcBorders>
              <w:top w:val="single" w:sz="4" w:space="0" w:color="000000"/>
              <w:left w:val="single" w:sz="4" w:space="0" w:color="000000"/>
              <w:right w:val="single" w:sz="4" w:space="0" w:color="000000"/>
            </w:tcBorders>
          </w:tcPr>
          <w:p w14:paraId="34DD991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Discussion </w:t>
            </w:r>
          </w:p>
        </w:tc>
        <w:tc>
          <w:tcPr>
            <w:tcW w:w="426" w:type="dxa"/>
            <w:tcBorders>
              <w:top w:val="single" w:sz="4" w:space="0" w:color="000000"/>
              <w:left w:val="single" w:sz="4" w:space="0" w:color="000000"/>
              <w:bottom w:val="single" w:sz="4" w:space="0" w:color="000000"/>
              <w:right w:val="single" w:sz="4" w:space="0" w:color="000000"/>
            </w:tcBorders>
          </w:tcPr>
          <w:p w14:paraId="34DD9915"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23a</w:t>
            </w:r>
          </w:p>
        </w:tc>
        <w:tc>
          <w:tcPr>
            <w:tcW w:w="4924" w:type="dxa"/>
            <w:tcBorders>
              <w:top w:val="single" w:sz="4" w:space="0" w:color="000000"/>
              <w:left w:val="single" w:sz="4" w:space="0" w:color="000000"/>
              <w:bottom w:val="single" w:sz="4" w:space="0" w:color="000000"/>
              <w:right w:val="single" w:sz="4" w:space="0" w:color="000000"/>
            </w:tcBorders>
          </w:tcPr>
          <w:p w14:paraId="34DD991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Provide a general interpretation of the results in the context of other evidence.</w:t>
            </w:r>
          </w:p>
        </w:tc>
        <w:tc>
          <w:tcPr>
            <w:tcW w:w="1413" w:type="dxa"/>
            <w:tcBorders>
              <w:top w:val="single" w:sz="4" w:space="0" w:color="000000"/>
              <w:left w:val="single" w:sz="4" w:space="0" w:color="000000"/>
              <w:bottom w:val="single" w:sz="4" w:space="0" w:color="000000"/>
              <w:right w:val="single" w:sz="4" w:space="0" w:color="000000"/>
            </w:tcBorders>
          </w:tcPr>
          <w:p w14:paraId="34DD991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bidi="ar-EG"/>
                <w14:ligatures w14:val="none"/>
              </w:rPr>
              <w:t>46-48/436-509</w:t>
            </w:r>
          </w:p>
        </w:tc>
        <w:tc>
          <w:tcPr>
            <w:tcW w:w="5461" w:type="dxa"/>
            <w:tcBorders>
              <w:top w:val="single" w:sz="4" w:space="0" w:color="000000"/>
              <w:left w:val="single" w:sz="4" w:space="0" w:color="000000"/>
              <w:bottom w:val="single" w:sz="4" w:space="0" w:color="000000"/>
              <w:right w:val="single" w:sz="4" w:space="0" w:color="000000"/>
            </w:tcBorders>
          </w:tcPr>
          <w:p w14:paraId="34DD991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Discussion  4</w:t>
            </w:r>
            <w:proofErr w:type="gramEnd"/>
            <w:r>
              <w:rPr>
                <w:rFonts w:asciiTheme="majorBidi" w:eastAsia="Times New Roman" w:hAnsiTheme="majorBidi" w:cstheme="majorBidi"/>
                <w:sz w:val="20"/>
                <w:szCs w:val="20"/>
                <w:lang w:eastAsia="en-CA"/>
                <w14:ligatures w14:val="none"/>
              </w:rPr>
              <w:t>, paragraphs 1-3 (alignment with anchor trials; absolute risk translations; practice implications)</w:t>
            </w:r>
          </w:p>
        </w:tc>
      </w:tr>
      <w:tr w:rsidR="00872A7E" w14:paraId="34DD991F" w14:textId="77777777">
        <w:trPr>
          <w:gridAfter w:val="2"/>
          <w:wAfter w:w="309" w:type="dxa"/>
          <w:trHeight w:val="48"/>
        </w:trPr>
        <w:tc>
          <w:tcPr>
            <w:tcW w:w="1429" w:type="dxa"/>
            <w:vMerge/>
            <w:tcBorders>
              <w:left w:val="single" w:sz="4" w:space="0" w:color="000000"/>
              <w:right w:val="single" w:sz="4" w:space="0" w:color="000000"/>
            </w:tcBorders>
          </w:tcPr>
          <w:p w14:paraId="34DD991A"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91B"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23b</w:t>
            </w:r>
          </w:p>
        </w:tc>
        <w:tc>
          <w:tcPr>
            <w:tcW w:w="4924" w:type="dxa"/>
            <w:tcBorders>
              <w:top w:val="single" w:sz="4" w:space="0" w:color="000000"/>
              <w:left w:val="single" w:sz="4" w:space="0" w:color="000000"/>
              <w:bottom w:val="single" w:sz="4" w:space="0" w:color="000000"/>
              <w:right w:val="single" w:sz="4" w:space="0" w:color="000000"/>
            </w:tcBorders>
          </w:tcPr>
          <w:p w14:paraId="34DD991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Discuss any limitations of the evidence included in the review.</w:t>
            </w:r>
          </w:p>
        </w:tc>
        <w:tc>
          <w:tcPr>
            <w:tcW w:w="1413" w:type="dxa"/>
            <w:tcBorders>
              <w:top w:val="single" w:sz="4" w:space="0" w:color="000000"/>
              <w:left w:val="single" w:sz="4" w:space="0" w:color="000000"/>
              <w:bottom w:val="single" w:sz="4" w:space="0" w:color="000000"/>
              <w:right w:val="single" w:sz="4" w:space="0" w:color="000000"/>
            </w:tcBorders>
          </w:tcPr>
          <w:p w14:paraId="34DD991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bidi="ar-EG"/>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46-48/436-509</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91E"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Discussion  4</w:t>
            </w:r>
            <w:proofErr w:type="gramEnd"/>
            <w:r>
              <w:rPr>
                <w:rFonts w:asciiTheme="majorBidi" w:eastAsia="Times New Roman" w:hAnsiTheme="majorBidi" w:cstheme="majorBidi"/>
                <w:sz w:val="20"/>
                <w:szCs w:val="20"/>
                <w:lang w:eastAsia="en-CA"/>
                <w14:ligatures w14:val="none"/>
              </w:rPr>
              <w:t>, “Strengths and limitations” (small study counts; assay heterogeneity; non-proportional hazards; residual confounding; sparse harms; crossover effects)</w:t>
            </w:r>
          </w:p>
        </w:tc>
      </w:tr>
      <w:tr w:rsidR="00872A7E" w14:paraId="34DD9925" w14:textId="77777777">
        <w:trPr>
          <w:gridAfter w:val="2"/>
          <w:wAfter w:w="309" w:type="dxa"/>
          <w:trHeight w:val="48"/>
        </w:trPr>
        <w:tc>
          <w:tcPr>
            <w:tcW w:w="1429" w:type="dxa"/>
            <w:vMerge/>
            <w:tcBorders>
              <w:left w:val="single" w:sz="4" w:space="0" w:color="000000"/>
              <w:right w:val="single" w:sz="4" w:space="0" w:color="000000"/>
            </w:tcBorders>
          </w:tcPr>
          <w:p w14:paraId="34DD9920"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auto"/>
              <w:right w:val="single" w:sz="4" w:space="0" w:color="000000"/>
            </w:tcBorders>
          </w:tcPr>
          <w:p w14:paraId="34DD9921"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23c</w:t>
            </w:r>
          </w:p>
        </w:tc>
        <w:tc>
          <w:tcPr>
            <w:tcW w:w="4924" w:type="dxa"/>
            <w:tcBorders>
              <w:top w:val="single" w:sz="4" w:space="0" w:color="000000"/>
              <w:left w:val="single" w:sz="4" w:space="0" w:color="000000"/>
              <w:bottom w:val="single" w:sz="4" w:space="0" w:color="000000"/>
              <w:right w:val="single" w:sz="4" w:space="0" w:color="000000"/>
            </w:tcBorders>
          </w:tcPr>
          <w:p w14:paraId="34DD992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Discuss any limitations of the review processes used.</w:t>
            </w:r>
          </w:p>
        </w:tc>
        <w:tc>
          <w:tcPr>
            <w:tcW w:w="1413" w:type="dxa"/>
            <w:tcBorders>
              <w:top w:val="single" w:sz="4" w:space="0" w:color="000000"/>
              <w:left w:val="single" w:sz="4" w:space="0" w:color="000000"/>
              <w:bottom w:val="single" w:sz="4" w:space="0" w:color="000000"/>
              <w:right w:val="single" w:sz="4" w:space="0" w:color="000000"/>
            </w:tcBorders>
          </w:tcPr>
          <w:p w14:paraId="34DD992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bidi="ar-EG"/>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46-48/436-509</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92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Discussion  4</w:t>
            </w:r>
            <w:proofErr w:type="gramEnd"/>
            <w:r>
              <w:rPr>
                <w:rFonts w:asciiTheme="majorBidi" w:eastAsia="Times New Roman" w:hAnsiTheme="majorBidi" w:cstheme="majorBidi"/>
                <w:sz w:val="20"/>
                <w:szCs w:val="20"/>
                <w:lang w:eastAsia="en-CA"/>
                <w14:ligatures w14:val="none"/>
              </w:rPr>
              <w:t xml:space="preserve"> (observational/</w:t>
            </w:r>
            <w:proofErr w:type="gramStart"/>
            <w:r>
              <w:rPr>
                <w:rFonts w:asciiTheme="majorBidi" w:eastAsia="Times New Roman" w:hAnsiTheme="majorBidi" w:cstheme="majorBidi"/>
                <w:sz w:val="20"/>
                <w:szCs w:val="20"/>
                <w:lang w:eastAsia="en-CA"/>
                <w14:ligatures w14:val="none"/>
              </w:rPr>
              <w:t>external-control</w:t>
            </w:r>
            <w:proofErr w:type="gramEnd"/>
            <w:r>
              <w:rPr>
                <w:rFonts w:asciiTheme="majorBidi" w:eastAsia="Times New Roman" w:hAnsiTheme="majorBidi" w:cstheme="majorBidi"/>
                <w:sz w:val="20"/>
                <w:szCs w:val="20"/>
                <w:lang w:eastAsia="en-CA"/>
                <w14:ligatures w14:val="none"/>
              </w:rPr>
              <w:t>/indirect design constraints; indirectness; measurement variability)</w:t>
            </w:r>
          </w:p>
        </w:tc>
      </w:tr>
      <w:tr w:rsidR="00872A7E" w14:paraId="34DD992B" w14:textId="77777777">
        <w:trPr>
          <w:gridAfter w:val="2"/>
          <w:wAfter w:w="309" w:type="dxa"/>
          <w:trHeight w:val="48"/>
        </w:trPr>
        <w:tc>
          <w:tcPr>
            <w:tcW w:w="1429" w:type="dxa"/>
            <w:vMerge/>
            <w:tcBorders>
              <w:left w:val="single" w:sz="4" w:space="0" w:color="000000"/>
              <w:bottom w:val="single" w:sz="4" w:space="0" w:color="auto"/>
              <w:right w:val="single" w:sz="4" w:space="0" w:color="000000"/>
            </w:tcBorders>
          </w:tcPr>
          <w:p w14:paraId="34DD9926"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auto"/>
              <w:left w:val="single" w:sz="4" w:space="0" w:color="000000"/>
              <w:bottom w:val="single" w:sz="4" w:space="0" w:color="auto"/>
              <w:right w:val="single" w:sz="4" w:space="0" w:color="auto"/>
            </w:tcBorders>
          </w:tcPr>
          <w:p w14:paraId="34DD9927"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23d</w:t>
            </w:r>
          </w:p>
        </w:tc>
        <w:tc>
          <w:tcPr>
            <w:tcW w:w="4924" w:type="dxa"/>
            <w:tcBorders>
              <w:top w:val="single" w:sz="4" w:space="0" w:color="000000"/>
              <w:left w:val="single" w:sz="4" w:space="0" w:color="auto"/>
              <w:bottom w:val="double" w:sz="4" w:space="0" w:color="000000"/>
              <w:right w:val="single" w:sz="4" w:space="0" w:color="000000"/>
            </w:tcBorders>
          </w:tcPr>
          <w:p w14:paraId="34DD992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Discuss implications of the results for practice, policy, and future research.</w:t>
            </w:r>
          </w:p>
        </w:tc>
        <w:tc>
          <w:tcPr>
            <w:tcW w:w="1413" w:type="dxa"/>
            <w:tcBorders>
              <w:top w:val="single" w:sz="4" w:space="0" w:color="000000"/>
              <w:left w:val="single" w:sz="4" w:space="0" w:color="000000"/>
              <w:bottom w:val="double" w:sz="4" w:space="0" w:color="000000"/>
              <w:right w:val="single" w:sz="4" w:space="0" w:color="000000"/>
            </w:tcBorders>
          </w:tcPr>
          <w:p w14:paraId="34DD9929"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rtl/>
                <w:lang w:val="en-CA" w:eastAsia="en-CA" w:bidi="ar-EG"/>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46-48/436-509</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double" w:sz="4" w:space="0" w:color="000000"/>
              <w:right w:val="single" w:sz="4" w:space="0" w:color="000000"/>
            </w:tcBorders>
          </w:tcPr>
          <w:p w14:paraId="34DD992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Discussion  4</w:t>
            </w:r>
            <w:proofErr w:type="gramEnd"/>
            <w:r>
              <w:rPr>
                <w:rFonts w:asciiTheme="majorBidi" w:eastAsia="Times New Roman" w:hAnsiTheme="majorBidi" w:cstheme="majorBidi"/>
                <w:sz w:val="20"/>
                <w:szCs w:val="20"/>
                <w:lang w:eastAsia="en-CA"/>
                <w14:ligatures w14:val="none"/>
              </w:rPr>
              <w:t xml:space="preserve">; </w:t>
            </w:r>
            <w:proofErr w:type="gramStart"/>
            <w:r>
              <w:rPr>
                <w:rFonts w:asciiTheme="majorBidi" w:eastAsia="Times New Roman" w:hAnsiTheme="majorBidi" w:cstheme="majorBidi"/>
                <w:sz w:val="20"/>
                <w:szCs w:val="20"/>
                <w:lang w:eastAsia="en-CA"/>
                <w14:ligatures w14:val="none"/>
              </w:rPr>
              <w:t>Conclusions  5</w:t>
            </w:r>
            <w:proofErr w:type="gramEnd"/>
            <w:r>
              <w:rPr>
                <w:rFonts w:asciiTheme="majorBidi" w:eastAsia="Times New Roman" w:hAnsiTheme="majorBidi" w:cstheme="majorBidi"/>
                <w:sz w:val="20"/>
                <w:szCs w:val="20"/>
                <w:lang w:eastAsia="en-CA"/>
                <w14:ligatures w14:val="none"/>
              </w:rPr>
              <w:t xml:space="preserve"> (assay validation; earlier-line use; ILD monitoring; need for head-to-head trials; TMB standardization; pragmatic registry trials)</w:t>
            </w:r>
          </w:p>
        </w:tc>
      </w:tr>
      <w:tr w:rsidR="00872A7E" w14:paraId="34DD9931" w14:textId="77777777">
        <w:trPr>
          <w:trHeight w:val="24"/>
        </w:trPr>
        <w:tc>
          <w:tcPr>
            <w:tcW w:w="677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DD992C" w14:textId="77777777" w:rsidR="00872A7E" w:rsidRDefault="00037403">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b/>
                <w:bCs/>
                <w:sz w:val="20"/>
                <w:szCs w:val="20"/>
                <w:lang w:val="en-CA" w:eastAsia="en-CA"/>
                <w14:ligatures w14:val="none"/>
              </w:rPr>
              <w:t>OTHER INFORMATION</w:t>
            </w:r>
          </w:p>
        </w:tc>
        <w:tc>
          <w:tcPr>
            <w:tcW w:w="1413" w:type="dxa"/>
            <w:tcBorders>
              <w:top w:val="double" w:sz="4" w:space="0" w:color="000000"/>
              <w:left w:val="single" w:sz="4" w:space="0" w:color="000000"/>
              <w:bottom w:val="single" w:sz="4" w:space="0" w:color="000000"/>
              <w:right w:val="single" w:sz="4" w:space="0" w:color="000000"/>
            </w:tcBorders>
            <w:shd w:val="clear" w:color="auto" w:fill="FFFFCC"/>
          </w:tcPr>
          <w:p w14:paraId="34DD992D" w14:textId="77777777" w:rsidR="00872A7E" w:rsidRDefault="00872A7E">
            <w:pPr>
              <w:widowControl w:val="0"/>
              <w:autoSpaceDE w:val="0"/>
              <w:autoSpaceDN w:val="0"/>
              <w:adjustRightInd w:val="0"/>
              <w:spacing w:beforeLines="0" w:before="0" w:afterLines="0" w:after="0"/>
              <w:ind w:firstLine="0"/>
              <w:jc w:val="center"/>
              <w:rPr>
                <w:rFonts w:asciiTheme="majorBidi" w:eastAsia="Times New Roman" w:hAnsiTheme="majorBidi" w:cstheme="majorBidi"/>
                <w:sz w:val="20"/>
                <w:szCs w:val="20"/>
                <w:lang w:val="en-CA" w:eastAsia="en-CA"/>
                <w14:ligatures w14:val="none"/>
              </w:rPr>
            </w:pPr>
          </w:p>
        </w:tc>
        <w:tc>
          <w:tcPr>
            <w:tcW w:w="5461" w:type="dxa"/>
            <w:tcBorders>
              <w:top w:val="double" w:sz="4" w:space="0" w:color="000000"/>
              <w:left w:val="single" w:sz="4" w:space="0" w:color="000000"/>
              <w:bottom w:val="single" w:sz="4" w:space="0" w:color="000000"/>
              <w:right w:val="single" w:sz="4" w:space="0" w:color="000000"/>
            </w:tcBorders>
            <w:shd w:val="clear" w:color="auto" w:fill="FFFFCC"/>
          </w:tcPr>
          <w:p w14:paraId="34DD992E" w14:textId="77777777" w:rsidR="00872A7E" w:rsidRDefault="00872A7E">
            <w:pPr>
              <w:widowControl w:val="0"/>
              <w:autoSpaceDE w:val="0"/>
              <w:autoSpaceDN w:val="0"/>
              <w:adjustRightInd w:val="0"/>
              <w:spacing w:beforeLines="0" w:before="0" w:afterLines="0" w:after="0"/>
              <w:ind w:firstLine="0"/>
              <w:jc w:val="center"/>
              <w:rPr>
                <w:rFonts w:asciiTheme="majorBidi" w:eastAsia="Times New Roman" w:hAnsiTheme="majorBidi" w:cstheme="majorBidi"/>
                <w:sz w:val="20"/>
                <w:szCs w:val="20"/>
                <w:lang w:val="en-CA" w:eastAsia="en-CA"/>
                <w14:ligatures w14:val="none"/>
              </w:rPr>
            </w:pPr>
          </w:p>
        </w:tc>
        <w:tc>
          <w:tcPr>
            <w:tcW w:w="249" w:type="dxa"/>
          </w:tcPr>
          <w:p w14:paraId="34DD992F"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c>
          <w:tcPr>
            <w:tcW w:w="60" w:type="dxa"/>
          </w:tcPr>
          <w:p w14:paraId="34DD9930" w14:textId="77777777" w:rsidR="00872A7E" w:rsidRDefault="00872A7E">
            <w:pPr>
              <w:spacing w:beforeLines="0" w:before="0" w:afterLines="0" w:after="0"/>
              <w:ind w:firstLine="0"/>
              <w:rPr>
                <w:rFonts w:asciiTheme="majorBidi" w:eastAsia="Times New Roman" w:hAnsiTheme="majorBidi" w:cstheme="majorBidi"/>
                <w:sz w:val="20"/>
                <w:szCs w:val="20"/>
                <w:lang w:val="en-CA" w:eastAsia="en-CA"/>
                <w14:ligatures w14:val="none"/>
              </w:rPr>
            </w:pPr>
          </w:p>
        </w:tc>
      </w:tr>
      <w:tr w:rsidR="00872A7E" w14:paraId="34DD9937" w14:textId="77777777">
        <w:trPr>
          <w:gridAfter w:val="2"/>
          <w:wAfter w:w="309" w:type="dxa"/>
          <w:trHeight w:val="48"/>
        </w:trPr>
        <w:tc>
          <w:tcPr>
            <w:tcW w:w="1429" w:type="dxa"/>
            <w:vMerge w:val="restart"/>
            <w:tcBorders>
              <w:top w:val="single" w:sz="4" w:space="0" w:color="000000"/>
              <w:left w:val="single" w:sz="4" w:space="0" w:color="000000"/>
              <w:right w:val="single" w:sz="4" w:space="0" w:color="000000"/>
            </w:tcBorders>
          </w:tcPr>
          <w:p w14:paraId="34DD993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Registration and protocol</w:t>
            </w:r>
          </w:p>
        </w:tc>
        <w:tc>
          <w:tcPr>
            <w:tcW w:w="426" w:type="dxa"/>
            <w:tcBorders>
              <w:top w:val="single" w:sz="4" w:space="0" w:color="000000"/>
              <w:left w:val="single" w:sz="4" w:space="0" w:color="000000"/>
              <w:bottom w:val="single" w:sz="4" w:space="0" w:color="000000"/>
              <w:right w:val="single" w:sz="4" w:space="0" w:color="000000"/>
            </w:tcBorders>
          </w:tcPr>
          <w:p w14:paraId="34DD9933"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24a</w:t>
            </w:r>
          </w:p>
        </w:tc>
        <w:tc>
          <w:tcPr>
            <w:tcW w:w="4924" w:type="dxa"/>
            <w:tcBorders>
              <w:top w:val="single" w:sz="4" w:space="0" w:color="000000"/>
              <w:left w:val="single" w:sz="4" w:space="0" w:color="000000"/>
              <w:bottom w:val="single" w:sz="4" w:space="0" w:color="000000"/>
              <w:right w:val="single" w:sz="4" w:space="0" w:color="000000"/>
            </w:tcBorders>
          </w:tcPr>
          <w:p w14:paraId="34DD993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Provide registration information for the review, including register name and registration number, or state that the review was not registered.</w:t>
            </w:r>
          </w:p>
        </w:tc>
        <w:tc>
          <w:tcPr>
            <w:tcW w:w="1413" w:type="dxa"/>
            <w:tcBorders>
              <w:top w:val="single" w:sz="4" w:space="0" w:color="000000"/>
              <w:left w:val="single" w:sz="4" w:space="0" w:color="000000"/>
              <w:bottom w:val="single" w:sz="4" w:space="0" w:color="000000"/>
              <w:right w:val="single" w:sz="4" w:space="0" w:color="000000"/>
            </w:tcBorders>
          </w:tcPr>
          <w:p w14:paraId="34DD9935"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eastAsia="en-CA"/>
                <w14:ligatures w14:val="none"/>
              </w:rPr>
            </w:pPr>
            <w:r>
              <w:rPr>
                <w:rFonts w:asciiTheme="majorBidi" w:eastAsia="Times New Roman" w:hAnsiTheme="majorBidi" w:cstheme="majorBidi"/>
                <w:sz w:val="20"/>
                <w:szCs w:val="20"/>
                <w:cs/>
                <w:lang w:val="en-CA" w:eastAsia="en-CA"/>
                <w14:ligatures w14:val="none"/>
              </w:rPr>
              <w:t>‎‎</w:t>
            </w:r>
            <w:r>
              <w:rPr>
                <w:rFonts w:asciiTheme="majorBidi" w:eastAsia="Times New Roman" w:hAnsiTheme="majorBidi" w:cstheme="majorBidi"/>
                <w:sz w:val="20"/>
                <w:szCs w:val="20"/>
                <w:lang w:val="en-CA" w:eastAsia="en-CA"/>
                <w14:ligatures w14:val="none"/>
              </w:rPr>
              <w:t>4/95-121</w:t>
            </w:r>
            <w:r>
              <w:rPr>
                <w:rFonts w:asciiTheme="majorBidi" w:eastAsia="Times New Roman" w:hAnsiTheme="majorBidi" w:cstheme="majorBidi"/>
                <w:sz w:val="20"/>
                <w:szCs w:val="20"/>
                <w:cs/>
                <w:lang w:val="en-CA" w:eastAsia="en-CA"/>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93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2.1</w:t>
            </w:r>
            <w:proofErr w:type="gramEnd"/>
            <w:r>
              <w:rPr>
                <w:rFonts w:asciiTheme="majorBidi" w:eastAsia="Times New Roman" w:hAnsiTheme="majorBidi" w:cstheme="majorBidi"/>
                <w:sz w:val="20"/>
                <w:szCs w:val="20"/>
                <w:lang w:eastAsia="en-CA"/>
                <w14:ligatures w14:val="none"/>
              </w:rPr>
              <w:t xml:space="preserve"> Protocol and registration (PROSPERO CRD420251235402)</w:t>
            </w:r>
          </w:p>
        </w:tc>
      </w:tr>
      <w:tr w:rsidR="00872A7E" w14:paraId="34DD993D" w14:textId="77777777">
        <w:trPr>
          <w:gridAfter w:val="2"/>
          <w:wAfter w:w="309" w:type="dxa"/>
          <w:trHeight w:val="57"/>
        </w:trPr>
        <w:tc>
          <w:tcPr>
            <w:tcW w:w="1429" w:type="dxa"/>
            <w:vMerge/>
            <w:tcBorders>
              <w:left w:val="single" w:sz="4" w:space="0" w:color="000000"/>
              <w:right w:val="single" w:sz="4" w:space="0" w:color="000000"/>
            </w:tcBorders>
          </w:tcPr>
          <w:p w14:paraId="34DD9938"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939"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24b</w:t>
            </w:r>
          </w:p>
        </w:tc>
        <w:tc>
          <w:tcPr>
            <w:tcW w:w="4924" w:type="dxa"/>
            <w:tcBorders>
              <w:top w:val="single" w:sz="4" w:space="0" w:color="000000"/>
              <w:left w:val="single" w:sz="4" w:space="0" w:color="000000"/>
              <w:bottom w:val="single" w:sz="4" w:space="0" w:color="000000"/>
              <w:right w:val="single" w:sz="4" w:space="0" w:color="000000"/>
            </w:tcBorders>
          </w:tcPr>
          <w:p w14:paraId="34DD993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Indicate where the review protocol can be accessed, or state that a protocol was not prepared.</w:t>
            </w:r>
          </w:p>
        </w:tc>
        <w:tc>
          <w:tcPr>
            <w:tcW w:w="1413" w:type="dxa"/>
            <w:tcBorders>
              <w:top w:val="single" w:sz="4" w:space="0" w:color="000000"/>
              <w:left w:val="single" w:sz="4" w:space="0" w:color="000000"/>
              <w:bottom w:val="single" w:sz="4" w:space="0" w:color="000000"/>
              <w:right w:val="single" w:sz="4" w:space="0" w:color="000000"/>
            </w:tcBorders>
          </w:tcPr>
          <w:p w14:paraId="34DD993B"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14:ligatures w14:val="none"/>
              </w:rPr>
              <w:t>‎‎</w:t>
            </w:r>
            <w:r>
              <w:rPr>
                <w:rFonts w:asciiTheme="majorBidi" w:eastAsia="Times New Roman" w:hAnsiTheme="majorBidi" w:cstheme="majorBidi"/>
                <w:sz w:val="20"/>
                <w:szCs w:val="20"/>
                <w:lang w:val="en-CA" w:eastAsia="en-CA"/>
                <w14:ligatures w14:val="none"/>
              </w:rPr>
              <w:t>4/102-121</w:t>
            </w:r>
            <w:r>
              <w:rPr>
                <w:rFonts w:asciiTheme="majorBidi" w:eastAsia="Times New Roman" w:hAnsiTheme="majorBidi" w:cstheme="majorBidi"/>
                <w:sz w:val="20"/>
                <w:szCs w:val="20"/>
                <w:cs/>
                <w:lang w:val="en-CA" w:eastAsia="en-CA"/>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93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2.1</w:t>
            </w:r>
            <w:proofErr w:type="gramEnd"/>
            <w:r>
              <w:rPr>
                <w:rFonts w:asciiTheme="majorBidi" w:eastAsia="Times New Roman" w:hAnsiTheme="majorBidi" w:cstheme="majorBidi"/>
                <w:sz w:val="20"/>
                <w:szCs w:val="20"/>
                <w:lang w:eastAsia="en-CA"/>
                <w14:ligatures w14:val="none"/>
              </w:rPr>
              <w:t>; Supplementary Materials (registered protocol details; prespecified analyses)</w:t>
            </w:r>
          </w:p>
        </w:tc>
      </w:tr>
      <w:tr w:rsidR="00872A7E" w14:paraId="34DD9943" w14:textId="77777777">
        <w:trPr>
          <w:gridAfter w:val="2"/>
          <w:wAfter w:w="309" w:type="dxa"/>
          <w:trHeight w:val="48"/>
        </w:trPr>
        <w:tc>
          <w:tcPr>
            <w:tcW w:w="1429" w:type="dxa"/>
            <w:vMerge/>
            <w:tcBorders>
              <w:left w:val="single" w:sz="4" w:space="0" w:color="000000"/>
              <w:bottom w:val="single" w:sz="4" w:space="0" w:color="000000"/>
              <w:right w:val="single" w:sz="4" w:space="0" w:color="000000"/>
            </w:tcBorders>
          </w:tcPr>
          <w:p w14:paraId="34DD993E" w14:textId="77777777" w:rsidR="00872A7E" w:rsidRDefault="00872A7E">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
        </w:tc>
        <w:tc>
          <w:tcPr>
            <w:tcW w:w="426" w:type="dxa"/>
            <w:tcBorders>
              <w:top w:val="single" w:sz="4" w:space="0" w:color="000000"/>
              <w:left w:val="single" w:sz="4" w:space="0" w:color="000000"/>
              <w:bottom w:val="single" w:sz="4" w:space="0" w:color="000000"/>
              <w:right w:val="single" w:sz="4" w:space="0" w:color="000000"/>
            </w:tcBorders>
          </w:tcPr>
          <w:p w14:paraId="34DD993F"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24c</w:t>
            </w:r>
          </w:p>
        </w:tc>
        <w:tc>
          <w:tcPr>
            <w:tcW w:w="4924" w:type="dxa"/>
            <w:tcBorders>
              <w:top w:val="single" w:sz="4" w:space="0" w:color="000000"/>
              <w:left w:val="single" w:sz="4" w:space="0" w:color="000000"/>
              <w:bottom w:val="single" w:sz="4" w:space="0" w:color="000000"/>
              <w:right w:val="single" w:sz="4" w:space="0" w:color="000000"/>
            </w:tcBorders>
          </w:tcPr>
          <w:p w14:paraId="34DD9940"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and explain any amendments to information provided at registration or in the protocol.</w:t>
            </w:r>
          </w:p>
        </w:tc>
        <w:tc>
          <w:tcPr>
            <w:tcW w:w="1413" w:type="dxa"/>
            <w:tcBorders>
              <w:top w:val="single" w:sz="4" w:space="0" w:color="000000"/>
              <w:left w:val="single" w:sz="4" w:space="0" w:color="000000"/>
              <w:bottom w:val="single" w:sz="4" w:space="0" w:color="000000"/>
              <w:right w:val="single" w:sz="4" w:space="0" w:color="000000"/>
            </w:tcBorders>
          </w:tcPr>
          <w:p w14:paraId="34DD9941"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cs/>
                <w:lang w:val="en-CA" w:eastAsia="en-CA" w:bidi="ar-EG"/>
                <w14:ligatures w14:val="none"/>
              </w:rPr>
              <w:t>‎‎</w:t>
            </w:r>
            <w:r>
              <w:rPr>
                <w:rFonts w:asciiTheme="majorBidi" w:eastAsia="Times New Roman" w:hAnsiTheme="majorBidi" w:cstheme="majorBidi"/>
                <w:sz w:val="20"/>
                <w:szCs w:val="20"/>
                <w:lang w:val="en-CA" w:eastAsia="en-CA" w:bidi="ar-EG"/>
                <w14:ligatures w14:val="none"/>
              </w:rPr>
              <w:t>4-5/102-131</w:t>
            </w:r>
            <w:r>
              <w:rPr>
                <w:rFonts w:asciiTheme="majorBidi" w:eastAsia="Times New Roman" w:hAnsiTheme="majorBidi" w:cstheme="majorBidi"/>
                <w:sz w:val="20"/>
                <w:szCs w:val="20"/>
                <w:cs/>
                <w:lang w:val="en-CA" w:eastAsia="en-CA" w:bidi="ar-EG"/>
                <w14:ligatures w14:val="none"/>
              </w:rPr>
              <w:t>‎</w:t>
            </w:r>
          </w:p>
        </w:tc>
        <w:tc>
          <w:tcPr>
            <w:tcW w:w="5461" w:type="dxa"/>
            <w:tcBorders>
              <w:top w:val="single" w:sz="4" w:space="0" w:color="000000"/>
              <w:left w:val="single" w:sz="4" w:space="0" w:color="000000"/>
              <w:bottom w:val="single" w:sz="4" w:space="0" w:color="000000"/>
              <w:right w:val="single" w:sz="4" w:space="0" w:color="000000"/>
            </w:tcBorders>
          </w:tcPr>
          <w:p w14:paraId="34DD994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Methods  2.3</w:t>
            </w:r>
            <w:proofErr w:type="gramEnd"/>
            <w:r>
              <w:rPr>
                <w:rFonts w:asciiTheme="majorBidi" w:eastAsia="Times New Roman" w:hAnsiTheme="majorBidi" w:cstheme="majorBidi"/>
                <w:sz w:val="20"/>
                <w:szCs w:val="20"/>
                <w:lang w:eastAsia="en-CA"/>
                <w14:ligatures w14:val="none"/>
              </w:rPr>
              <w:t xml:space="preserve"> (PRESS-revised search strategy June 10, 2025, refining HER2-low and TRK terms; noted in Supplementary Table S1)</w:t>
            </w:r>
          </w:p>
        </w:tc>
      </w:tr>
      <w:tr w:rsidR="00872A7E" w14:paraId="34DD9949"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94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Support</w:t>
            </w:r>
          </w:p>
        </w:tc>
        <w:tc>
          <w:tcPr>
            <w:tcW w:w="426" w:type="dxa"/>
            <w:tcBorders>
              <w:top w:val="single" w:sz="4" w:space="0" w:color="000000"/>
              <w:left w:val="single" w:sz="4" w:space="0" w:color="000000"/>
              <w:bottom w:val="single" w:sz="4" w:space="0" w:color="000000"/>
              <w:right w:val="single" w:sz="4" w:space="0" w:color="000000"/>
            </w:tcBorders>
          </w:tcPr>
          <w:p w14:paraId="34DD9945"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25</w:t>
            </w:r>
          </w:p>
        </w:tc>
        <w:tc>
          <w:tcPr>
            <w:tcW w:w="4924" w:type="dxa"/>
            <w:tcBorders>
              <w:top w:val="single" w:sz="4" w:space="0" w:color="000000"/>
              <w:left w:val="single" w:sz="4" w:space="0" w:color="000000"/>
              <w:bottom w:val="single" w:sz="4" w:space="0" w:color="000000"/>
              <w:right w:val="single" w:sz="4" w:space="0" w:color="000000"/>
            </w:tcBorders>
          </w:tcPr>
          <w:p w14:paraId="34DD9946"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Describe sources of financial or non-financial support for the review, and the role of the funders or sponsors in the review.</w:t>
            </w:r>
          </w:p>
        </w:tc>
        <w:tc>
          <w:tcPr>
            <w:tcW w:w="1413" w:type="dxa"/>
            <w:tcBorders>
              <w:top w:val="single" w:sz="4" w:space="0" w:color="000000"/>
              <w:left w:val="single" w:sz="4" w:space="0" w:color="000000"/>
              <w:bottom w:val="single" w:sz="4" w:space="0" w:color="000000"/>
              <w:right w:val="single" w:sz="4" w:space="0" w:color="000000"/>
            </w:tcBorders>
          </w:tcPr>
          <w:p w14:paraId="34DD9947"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rtl/>
                <w:lang w:val="en-CA" w:eastAsia="en-CA" w:bidi="ar-EG"/>
                <w14:ligatures w14:val="none"/>
              </w:rPr>
            </w:pPr>
            <w:r>
              <w:rPr>
                <w:rFonts w:asciiTheme="majorBidi" w:eastAsia="Times New Roman" w:hAnsiTheme="majorBidi" w:cstheme="majorBidi"/>
                <w:sz w:val="20"/>
                <w:szCs w:val="20"/>
                <w:lang w:val="en-CA" w:eastAsia="en-CA"/>
                <w14:ligatures w14:val="none"/>
              </w:rPr>
              <w:t>48/522-</w:t>
            </w:r>
            <w:r>
              <w:rPr>
                <w:rFonts w:asciiTheme="majorBidi" w:eastAsia="Times New Roman" w:hAnsiTheme="majorBidi" w:cstheme="majorBidi"/>
                <w:sz w:val="20"/>
                <w:szCs w:val="20"/>
                <w:cs/>
                <w:lang w:val="en-CA" w:eastAsia="en-CA"/>
                <w14:ligatures w14:val="none"/>
              </w:rPr>
              <w:t>‎</w:t>
            </w:r>
            <w:r>
              <w:rPr>
                <w:rFonts w:asciiTheme="majorBidi" w:eastAsia="Times New Roman" w:hAnsiTheme="majorBidi" w:cstheme="majorBidi"/>
                <w:sz w:val="20"/>
                <w:szCs w:val="20"/>
                <w:lang w:val="en-CA" w:eastAsia="en-CA"/>
                <w14:ligatures w14:val="none"/>
              </w:rPr>
              <w:t>5</w:t>
            </w:r>
            <w:r>
              <w:rPr>
                <w:rFonts w:asciiTheme="majorBidi" w:eastAsia="Times New Roman" w:hAnsiTheme="majorBidi" w:cstheme="majorBidi"/>
                <w:sz w:val="20"/>
                <w:szCs w:val="20"/>
                <w:cs/>
                <w:lang w:val="en-CA" w:eastAsia="en-CA"/>
                <w14:ligatures w14:val="none"/>
              </w:rPr>
              <w:t>43‎</w:t>
            </w:r>
          </w:p>
        </w:tc>
        <w:tc>
          <w:tcPr>
            <w:tcW w:w="5461" w:type="dxa"/>
            <w:tcBorders>
              <w:top w:val="single" w:sz="4" w:space="0" w:color="000000"/>
              <w:left w:val="single" w:sz="4" w:space="0" w:color="000000"/>
              <w:bottom w:val="single" w:sz="4" w:space="0" w:color="000000"/>
              <w:right w:val="single" w:sz="4" w:space="0" w:color="000000"/>
            </w:tcBorders>
          </w:tcPr>
          <w:p w14:paraId="34DD9948"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Statements  6</w:t>
            </w:r>
            <w:proofErr w:type="gramEnd"/>
            <w:r>
              <w:rPr>
                <w:rFonts w:asciiTheme="majorBidi" w:eastAsia="Times New Roman" w:hAnsiTheme="majorBidi" w:cstheme="majorBidi"/>
                <w:sz w:val="20"/>
                <w:szCs w:val="20"/>
                <w:lang w:eastAsia="en-CA"/>
                <w14:ligatures w14:val="none"/>
              </w:rPr>
              <w:t xml:space="preserve"> Funding Statement (PSAU/2025/03/25235; no role in design, analysis, or writing)</w:t>
            </w:r>
          </w:p>
        </w:tc>
      </w:tr>
      <w:tr w:rsidR="00872A7E" w14:paraId="34DD994F" w14:textId="77777777">
        <w:trPr>
          <w:gridAfter w:val="2"/>
          <w:wAfter w:w="309" w:type="dxa"/>
          <w:trHeight w:val="48"/>
        </w:trPr>
        <w:tc>
          <w:tcPr>
            <w:tcW w:w="1429" w:type="dxa"/>
            <w:tcBorders>
              <w:top w:val="single" w:sz="4" w:space="0" w:color="000000"/>
              <w:left w:val="single" w:sz="4" w:space="0" w:color="000000"/>
              <w:bottom w:val="single" w:sz="4" w:space="0" w:color="000000"/>
              <w:right w:val="single" w:sz="4" w:space="0" w:color="000000"/>
            </w:tcBorders>
          </w:tcPr>
          <w:p w14:paraId="34DD994A"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Competing interests</w:t>
            </w:r>
          </w:p>
        </w:tc>
        <w:tc>
          <w:tcPr>
            <w:tcW w:w="426" w:type="dxa"/>
            <w:tcBorders>
              <w:top w:val="single" w:sz="4" w:space="0" w:color="000000"/>
              <w:left w:val="single" w:sz="4" w:space="0" w:color="000000"/>
              <w:bottom w:val="single" w:sz="4" w:space="0" w:color="000000"/>
              <w:right w:val="single" w:sz="4" w:space="0" w:color="000000"/>
            </w:tcBorders>
          </w:tcPr>
          <w:p w14:paraId="34DD994B"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26</w:t>
            </w:r>
          </w:p>
        </w:tc>
        <w:tc>
          <w:tcPr>
            <w:tcW w:w="4924" w:type="dxa"/>
            <w:tcBorders>
              <w:top w:val="single" w:sz="4" w:space="0" w:color="000000"/>
              <w:left w:val="single" w:sz="4" w:space="0" w:color="000000"/>
              <w:bottom w:val="single" w:sz="4" w:space="0" w:color="000000"/>
              <w:right w:val="single" w:sz="4" w:space="0" w:color="000000"/>
            </w:tcBorders>
          </w:tcPr>
          <w:p w14:paraId="34DD994C"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Declare any competing interests of review authors.</w:t>
            </w:r>
          </w:p>
        </w:tc>
        <w:tc>
          <w:tcPr>
            <w:tcW w:w="1413" w:type="dxa"/>
            <w:tcBorders>
              <w:top w:val="single" w:sz="4" w:space="0" w:color="000000"/>
              <w:left w:val="single" w:sz="4" w:space="0" w:color="000000"/>
              <w:bottom w:val="single" w:sz="4" w:space="0" w:color="000000"/>
              <w:right w:val="single" w:sz="4" w:space="0" w:color="000000"/>
            </w:tcBorders>
          </w:tcPr>
          <w:p w14:paraId="34DD994D"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48/522-</w:t>
            </w:r>
            <w:r>
              <w:rPr>
                <w:rFonts w:asciiTheme="majorBidi" w:eastAsia="Times New Roman" w:hAnsiTheme="majorBidi" w:cstheme="majorBidi"/>
                <w:sz w:val="20"/>
                <w:szCs w:val="20"/>
                <w:cs/>
                <w:lang w:val="en-CA" w:eastAsia="en-CA"/>
                <w14:ligatures w14:val="none"/>
              </w:rPr>
              <w:t>‎</w:t>
            </w:r>
            <w:r>
              <w:rPr>
                <w:rFonts w:asciiTheme="majorBidi" w:eastAsia="Times New Roman" w:hAnsiTheme="majorBidi" w:cstheme="majorBidi"/>
                <w:sz w:val="20"/>
                <w:szCs w:val="20"/>
                <w:lang w:val="en-CA" w:eastAsia="en-CA"/>
                <w14:ligatures w14:val="none"/>
              </w:rPr>
              <w:t>5</w:t>
            </w:r>
            <w:r>
              <w:rPr>
                <w:rFonts w:asciiTheme="majorBidi" w:eastAsia="Times New Roman" w:hAnsiTheme="majorBidi" w:cstheme="majorBidi"/>
                <w:sz w:val="20"/>
                <w:szCs w:val="20"/>
                <w:cs/>
                <w:lang w:val="en-CA" w:eastAsia="en-CA"/>
                <w14:ligatures w14:val="none"/>
              </w:rPr>
              <w:t>43‎</w:t>
            </w:r>
          </w:p>
        </w:tc>
        <w:tc>
          <w:tcPr>
            <w:tcW w:w="5461" w:type="dxa"/>
            <w:tcBorders>
              <w:top w:val="single" w:sz="4" w:space="0" w:color="000000"/>
              <w:left w:val="single" w:sz="4" w:space="0" w:color="000000"/>
              <w:bottom w:val="single" w:sz="4" w:space="0" w:color="000000"/>
              <w:right w:val="single" w:sz="4" w:space="0" w:color="000000"/>
            </w:tcBorders>
          </w:tcPr>
          <w:p w14:paraId="34DD994E"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Statements  6</w:t>
            </w:r>
            <w:proofErr w:type="gramEnd"/>
            <w:r>
              <w:rPr>
                <w:rFonts w:asciiTheme="majorBidi" w:eastAsia="Times New Roman" w:hAnsiTheme="majorBidi" w:cstheme="majorBidi"/>
                <w:sz w:val="20"/>
                <w:szCs w:val="20"/>
                <w:lang w:eastAsia="en-CA"/>
                <w14:ligatures w14:val="none"/>
              </w:rPr>
              <w:t xml:space="preserve"> Conflicts of Interest (authors declare no conflicts)</w:t>
            </w:r>
          </w:p>
        </w:tc>
      </w:tr>
      <w:tr w:rsidR="00872A7E" w14:paraId="34DD9955" w14:textId="77777777">
        <w:trPr>
          <w:gridAfter w:val="2"/>
          <w:wAfter w:w="309" w:type="dxa"/>
          <w:trHeight w:val="219"/>
        </w:trPr>
        <w:tc>
          <w:tcPr>
            <w:tcW w:w="1429" w:type="dxa"/>
            <w:tcBorders>
              <w:top w:val="single" w:sz="4" w:space="0" w:color="000000"/>
              <w:left w:val="single" w:sz="4" w:space="0" w:color="000000"/>
              <w:bottom w:val="double" w:sz="4" w:space="0" w:color="000000"/>
              <w:right w:val="single" w:sz="4" w:space="0" w:color="000000"/>
            </w:tcBorders>
          </w:tcPr>
          <w:p w14:paraId="34DD9950"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Availability of data, code and other materials</w:t>
            </w:r>
          </w:p>
        </w:tc>
        <w:tc>
          <w:tcPr>
            <w:tcW w:w="426" w:type="dxa"/>
            <w:tcBorders>
              <w:top w:val="single" w:sz="4" w:space="0" w:color="000000"/>
              <w:left w:val="single" w:sz="4" w:space="0" w:color="000000"/>
              <w:bottom w:val="double" w:sz="4" w:space="0" w:color="000000"/>
              <w:right w:val="single" w:sz="4" w:space="0" w:color="000000"/>
            </w:tcBorders>
          </w:tcPr>
          <w:p w14:paraId="34DD9951" w14:textId="77777777" w:rsidR="00872A7E" w:rsidRDefault="00037403">
            <w:pPr>
              <w:widowControl w:val="0"/>
              <w:autoSpaceDE w:val="0"/>
              <w:autoSpaceDN w:val="0"/>
              <w:adjustRightInd w:val="0"/>
              <w:spacing w:beforeLines="0" w:afterLines="0"/>
              <w:ind w:firstLine="0"/>
              <w:jc w:val="right"/>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27</w:t>
            </w:r>
          </w:p>
        </w:tc>
        <w:tc>
          <w:tcPr>
            <w:tcW w:w="4924" w:type="dxa"/>
            <w:tcBorders>
              <w:top w:val="single" w:sz="4" w:space="0" w:color="000000"/>
              <w:left w:val="single" w:sz="4" w:space="0" w:color="000000"/>
              <w:bottom w:val="double" w:sz="4" w:space="0" w:color="000000"/>
              <w:right w:val="single" w:sz="4" w:space="0" w:color="000000"/>
            </w:tcBorders>
          </w:tcPr>
          <w:p w14:paraId="34DD9952"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 xml:space="preserve">Report which of the following are publicly available and where they can be </w:t>
            </w:r>
            <w:proofErr w:type="gramStart"/>
            <w:r>
              <w:rPr>
                <w:rFonts w:asciiTheme="majorBidi" w:eastAsia="Times New Roman" w:hAnsiTheme="majorBidi" w:cstheme="majorBidi"/>
                <w:sz w:val="20"/>
                <w:szCs w:val="20"/>
                <w:lang w:val="en-CA" w:eastAsia="en-CA"/>
                <w14:ligatures w14:val="none"/>
              </w:rPr>
              <w:t>found:</w:t>
            </w:r>
            <w:proofErr w:type="gramEnd"/>
            <w:r>
              <w:rPr>
                <w:rFonts w:asciiTheme="majorBidi" w:eastAsia="Times New Roman" w:hAnsiTheme="majorBidi" w:cstheme="majorBidi"/>
                <w:sz w:val="20"/>
                <w:szCs w:val="20"/>
                <w:lang w:val="en-CA" w:eastAsia="en-CA"/>
                <w14:ligatures w14:val="none"/>
              </w:rPr>
              <w:t xml:space="preserve"> template data collection forms; data extracted from included studies; data used for all analyses; analytic code; any other materials used in the review.</w:t>
            </w:r>
          </w:p>
        </w:tc>
        <w:tc>
          <w:tcPr>
            <w:tcW w:w="1413" w:type="dxa"/>
            <w:tcBorders>
              <w:top w:val="single" w:sz="4" w:space="0" w:color="000000"/>
              <w:left w:val="single" w:sz="4" w:space="0" w:color="000000"/>
              <w:bottom w:val="double" w:sz="4" w:space="0" w:color="000000"/>
              <w:right w:val="single" w:sz="4" w:space="0" w:color="000000"/>
            </w:tcBorders>
          </w:tcPr>
          <w:p w14:paraId="34DD9953"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r>
              <w:rPr>
                <w:rFonts w:asciiTheme="majorBidi" w:eastAsia="Times New Roman" w:hAnsiTheme="majorBidi" w:cstheme="majorBidi"/>
                <w:sz w:val="20"/>
                <w:szCs w:val="20"/>
                <w:lang w:val="en-CA" w:eastAsia="en-CA"/>
                <w14:ligatures w14:val="none"/>
              </w:rPr>
              <w:t>48/522-</w:t>
            </w:r>
            <w:r>
              <w:rPr>
                <w:rFonts w:asciiTheme="majorBidi" w:eastAsia="Times New Roman" w:hAnsiTheme="majorBidi" w:cstheme="majorBidi"/>
                <w:sz w:val="20"/>
                <w:szCs w:val="20"/>
                <w:cs/>
                <w:lang w:val="en-CA" w:eastAsia="en-CA"/>
                <w14:ligatures w14:val="none"/>
              </w:rPr>
              <w:t>‎</w:t>
            </w:r>
            <w:r>
              <w:rPr>
                <w:rFonts w:asciiTheme="majorBidi" w:eastAsia="Times New Roman" w:hAnsiTheme="majorBidi" w:cstheme="majorBidi"/>
                <w:sz w:val="20"/>
                <w:szCs w:val="20"/>
                <w:lang w:val="en-CA" w:eastAsia="en-CA"/>
                <w14:ligatures w14:val="none"/>
              </w:rPr>
              <w:t>5</w:t>
            </w:r>
            <w:r>
              <w:rPr>
                <w:rFonts w:asciiTheme="majorBidi" w:eastAsia="Times New Roman" w:hAnsiTheme="majorBidi" w:cstheme="majorBidi"/>
                <w:sz w:val="20"/>
                <w:szCs w:val="20"/>
                <w:cs/>
                <w:lang w:val="en-CA" w:eastAsia="en-CA"/>
                <w14:ligatures w14:val="none"/>
              </w:rPr>
              <w:t>43‎</w:t>
            </w:r>
          </w:p>
        </w:tc>
        <w:tc>
          <w:tcPr>
            <w:tcW w:w="5461" w:type="dxa"/>
            <w:tcBorders>
              <w:top w:val="single" w:sz="4" w:space="0" w:color="000000"/>
              <w:left w:val="single" w:sz="4" w:space="0" w:color="000000"/>
              <w:bottom w:val="double" w:sz="4" w:space="0" w:color="000000"/>
              <w:right w:val="single" w:sz="4" w:space="0" w:color="000000"/>
            </w:tcBorders>
          </w:tcPr>
          <w:p w14:paraId="34DD9954" w14:textId="77777777" w:rsidR="00872A7E" w:rsidRDefault="00037403">
            <w:pPr>
              <w:widowControl w:val="0"/>
              <w:autoSpaceDE w:val="0"/>
              <w:autoSpaceDN w:val="0"/>
              <w:adjustRightInd w:val="0"/>
              <w:spacing w:beforeLines="0" w:afterLines="0"/>
              <w:ind w:firstLine="0"/>
              <w:rPr>
                <w:rFonts w:asciiTheme="majorBidi" w:eastAsia="Times New Roman" w:hAnsiTheme="majorBidi" w:cstheme="majorBidi"/>
                <w:sz w:val="20"/>
                <w:szCs w:val="20"/>
                <w:lang w:val="en-CA" w:eastAsia="en-CA"/>
                <w14:ligatures w14:val="none"/>
              </w:rPr>
            </w:pPr>
            <w:proofErr w:type="gramStart"/>
            <w:r>
              <w:rPr>
                <w:rFonts w:asciiTheme="majorBidi" w:eastAsia="Times New Roman" w:hAnsiTheme="majorBidi" w:cstheme="majorBidi"/>
                <w:sz w:val="20"/>
                <w:szCs w:val="20"/>
                <w:lang w:eastAsia="en-CA"/>
                <w14:ligatures w14:val="none"/>
              </w:rPr>
              <w:t>Statements  6</w:t>
            </w:r>
            <w:proofErr w:type="gramEnd"/>
            <w:r>
              <w:rPr>
                <w:rFonts w:asciiTheme="majorBidi" w:eastAsia="Times New Roman" w:hAnsiTheme="majorBidi" w:cstheme="majorBidi"/>
                <w:sz w:val="20"/>
                <w:szCs w:val="20"/>
                <w:lang w:eastAsia="en-CA"/>
                <w14:ligatures w14:val="none"/>
              </w:rPr>
              <w:t xml:space="preserve"> Availability of Data and Materials (all data within article/Supplementary; statistical code available from corresponding author upon request; Supplementary includes PRISMA checklist, search strategies, deduplication audit trail, risk-of-bias matrices, funnel statistics, sensitivity analyses)</w:t>
            </w:r>
          </w:p>
        </w:tc>
      </w:tr>
    </w:tbl>
    <w:p w14:paraId="34DD9956" w14:textId="77777777" w:rsidR="00872A7E" w:rsidRDefault="00872A7E">
      <w:pPr>
        <w:widowControl w:val="0"/>
        <w:autoSpaceDE w:val="0"/>
        <w:autoSpaceDN w:val="0"/>
        <w:adjustRightInd w:val="0"/>
        <w:spacing w:beforeLines="0" w:before="0" w:afterLines="0" w:after="0"/>
        <w:ind w:firstLine="0"/>
        <w:rPr>
          <w:rFonts w:asciiTheme="majorBidi" w:eastAsia="Times New Roman" w:hAnsiTheme="majorBidi" w:cstheme="majorBidi"/>
          <w:sz w:val="20"/>
          <w:szCs w:val="20"/>
          <w:lang w:val="en-CA" w:eastAsia="en-CA"/>
          <w14:ligatures w14:val="none"/>
        </w:rPr>
      </w:pPr>
    </w:p>
    <w:p w14:paraId="34DD9957" w14:textId="77777777" w:rsidR="00872A7E" w:rsidRDefault="00037403">
      <w:pPr>
        <w:widowControl w:val="0"/>
        <w:autoSpaceDE w:val="0"/>
        <w:autoSpaceDN w:val="0"/>
        <w:adjustRightInd w:val="0"/>
        <w:spacing w:beforeLines="0" w:before="0" w:afterLines="0" w:after="0" w:line="183" w:lineRule="atLeast"/>
        <w:ind w:firstLine="0"/>
        <w:jc w:val="both"/>
        <w:rPr>
          <w:rFonts w:asciiTheme="majorBidi" w:eastAsia="Times New Roman" w:hAnsiTheme="majorBidi" w:cstheme="majorBidi"/>
          <w:sz w:val="20"/>
          <w:szCs w:val="20"/>
          <w:lang w:eastAsia="en-CA"/>
          <w14:ligatures w14:val="none"/>
        </w:rPr>
      </w:pPr>
      <w:r>
        <w:rPr>
          <w:rFonts w:asciiTheme="majorBidi" w:eastAsia="Times New Roman" w:hAnsiTheme="majorBidi" w:cstheme="majorBidi"/>
          <w:noProof/>
          <w:sz w:val="20"/>
          <w:szCs w:val="20"/>
          <w:lang w:val="en-CA" w:eastAsia="en-CA"/>
          <w14:ligatures w14:val="none"/>
        </w:rPr>
        <mc:AlternateContent>
          <mc:Choice Requires="wps">
            <w:drawing>
              <wp:anchor distT="0" distB="0" distL="114300" distR="114300" simplePos="0" relativeHeight="251659264" behindDoc="0" locked="0" layoutInCell="1" allowOverlap="1" wp14:anchorId="34DD9D3E" wp14:editId="34DD9D3F">
                <wp:simplePos x="0" y="0"/>
                <wp:positionH relativeFrom="page">
                  <wp:posOffset>433705</wp:posOffset>
                </wp:positionH>
                <wp:positionV relativeFrom="paragraph">
                  <wp:posOffset>238760</wp:posOffset>
                </wp:positionV>
                <wp:extent cx="9239885" cy="455295"/>
                <wp:effectExtent l="14605" t="7620" r="13335" b="13335"/>
                <wp:wrapTopAndBottom/>
                <wp:docPr id="190471840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ln>
                      </wps:spPr>
                      <wps:txbx>
                        <w:txbxContent>
                          <w:p w14:paraId="34DD9D4A" w14:textId="77777777" w:rsidR="00872A7E" w:rsidRDefault="00037403">
                            <w:pPr>
                              <w:spacing w:before="96" w:after="96"/>
                              <w:rPr>
                                <w:rFonts w:ascii="Minion Pro" w:hAnsi="Minion Pro"/>
                                <w:sz w:val="20"/>
                                <w:szCs w:val="18"/>
                              </w:rPr>
                            </w:pPr>
                            <w:r>
                              <w:rPr>
                                <w:rFonts w:ascii="Minion Pro" w:hAnsi="Minion Pro" w:cs="Times New Roman"/>
                                <w:sz w:val="20"/>
                                <w:szCs w:val="18"/>
                              </w:rP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anchor>
            </w:drawing>
          </mc:Choice>
          <mc:Fallback>
            <w:pict>
              <v:shapetype w14:anchorId="34DD9D3E" id="_x0000_t202" coordsize="21600,21600" o:spt="202" path="m,l,21600r21600,l21600,xe">
                <v:stroke joinstyle="miter"/>
                <v:path gradientshapeok="t" o:connecttype="rect"/>
              </v:shapetype>
              <v:shape id="Text Box 1" o:spid="_x0000_s1026" type="#_x0000_t202" style="position:absolute;left:0;text-align:left;margin-left:34.15pt;margin-top:18.8pt;width:727.55pt;height:35.85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" filled="f" strokecolor="blue" strokeweight="1pt">
                <v:textbox inset="0,0,0,0">
                  <w:txbxContent>
                    <w:p w14:paraId="34DD9D4A" w14:textId="77777777" w:rsidR="00872A7E" w:rsidRDefault="00037403">
                      <w:pPr>
                        <w:spacing w:before="96" w:after="96"/>
                        <w:rPr>
                          <w:rFonts w:ascii="Minion Pro" w:hAnsi="Minion Pro"/>
                          <w:sz w:val="20"/>
                          <w:szCs w:val="18"/>
                        </w:rPr>
                      </w:pPr>
                      <w:r>
                        <w:rPr>
                          <w:rFonts w:ascii="Minion Pro" w:hAnsi="Minion Pro" w:cs="Times New Roman"/>
                          <w:sz w:val="20"/>
                          <w:szCs w:val="18"/>
                        </w:rP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p w14:paraId="34DD9958" w14:textId="77777777" w:rsidR="00872A7E" w:rsidRDefault="00872A7E">
      <w:pPr>
        <w:widowControl w:val="0"/>
        <w:autoSpaceDE w:val="0"/>
        <w:autoSpaceDN w:val="0"/>
        <w:adjustRightInd w:val="0"/>
        <w:spacing w:beforeLines="0" w:before="0" w:afterLines="0" w:after="0" w:line="183" w:lineRule="atLeast"/>
        <w:ind w:firstLine="0"/>
        <w:jc w:val="both"/>
        <w:rPr>
          <w:rFonts w:asciiTheme="majorBidi" w:eastAsia="Times New Roman" w:hAnsiTheme="majorBidi" w:cstheme="majorBidi"/>
          <w:sz w:val="20"/>
          <w:szCs w:val="20"/>
          <w:lang w:eastAsia="en-CA"/>
          <w14:ligatures w14:val="none"/>
        </w:rPr>
      </w:pPr>
    </w:p>
    <w:p w14:paraId="34DD9959" w14:textId="77777777" w:rsidR="00872A7E" w:rsidRDefault="00872A7E">
      <w:pPr>
        <w:widowControl w:val="0"/>
        <w:autoSpaceDE w:val="0"/>
        <w:autoSpaceDN w:val="0"/>
        <w:adjustRightInd w:val="0"/>
        <w:spacing w:beforeLines="0" w:before="0" w:afterLines="0" w:after="0" w:line="183" w:lineRule="atLeast"/>
        <w:ind w:firstLine="0"/>
        <w:jc w:val="both"/>
        <w:rPr>
          <w:rFonts w:asciiTheme="majorBidi" w:eastAsia="Times New Roman" w:hAnsiTheme="majorBidi" w:cstheme="majorBidi"/>
          <w:sz w:val="20"/>
          <w:szCs w:val="20"/>
          <w:lang w:eastAsia="en-CA"/>
          <w14:ligatures w14:val="none"/>
        </w:rPr>
      </w:pPr>
    </w:p>
    <w:p w14:paraId="2F829AF2" w14:textId="77777777" w:rsidR="00245D71" w:rsidRDefault="00245D71">
      <w:pPr>
        <w:spacing w:beforeLines="0" w:before="100" w:beforeAutospacing="1" w:afterLines="0" w:after="100" w:afterAutospacing="1"/>
        <w:ind w:firstLine="0"/>
        <w:rPr>
          <w:rFonts w:asciiTheme="majorBidi" w:hAnsiTheme="majorBidi" w:cstheme="majorBidi"/>
          <w:b/>
          <w:bCs/>
          <w:sz w:val="20"/>
          <w:szCs w:val="20"/>
        </w:rPr>
      </w:pPr>
    </w:p>
    <w:p w14:paraId="34DD995A" w14:textId="5522B4E5"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lastRenderedPageBreak/>
        <w:t>Supplementary Methods: Information Sources, Search Strategies, Date Stamps, and Deduplication</w:t>
      </w:r>
    </w:p>
    <w:p w14:paraId="34DD995B" w14:textId="77777777" w:rsidR="00872A7E" w:rsidRDefault="00872A7E">
      <w:pPr>
        <w:spacing w:beforeLines="0" w:before="100" w:beforeAutospacing="1" w:afterLines="0" w:after="100" w:afterAutospacing="1"/>
        <w:rPr>
          <w:rFonts w:asciiTheme="majorBidi" w:hAnsiTheme="majorBidi" w:cstheme="majorBidi"/>
          <w:b/>
          <w:bCs/>
          <w:sz w:val="20"/>
          <w:szCs w:val="20"/>
        </w:rPr>
      </w:pPr>
    </w:p>
    <w:p w14:paraId="34DD995C"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1. Sources of information and coverage periods</w:t>
      </w:r>
    </w:p>
    <w:p w14:paraId="34DD995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The search included various bibliographic databases, such as MEDLINE via PubMed (2000 to the search date); Cochrane CENTRAL (from inception to present); Web of Science Core Collection and Scopus (from 2000 onward); and OpenAlex (January 1, 2000, to the search date). It also covered clinical trial registries like ClinicalTrials.gov, the EU Clinical Trials Register (EudraCT/EU CTR), and WHO ICTRP. Additionally, conference proceedings and society publications, such as the ASCO Annual Meeting, ESMO Congress, an</w:t>
      </w:r>
      <w:r>
        <w:rPr>
          <w:rFonts w:asciiTheme="majorBidi" w:hAnsiTheme="majorBidi" w:cstheme="majorBidi"/>
          <w:sz w:val="20"/>
          <w:szCs w:val="20"/>
        </w:rPr>
        <w:t>d AACR Annual Meeting, were reviewed. To find grey literature, preprint servers including medRxiv, bioRxiv, ProQuest, Google Scholar, CrossRef, Semantic Scholar, and LENS.org were examined. The inclusion period ranged from January 1, 2000, through the date of the last comprehensive search; earlier studies were included only if their biomarker definitions and therapeutic agents matched current standards.</w:t>
      </w:r>
    </w:p>
    <w:p w14:paraId="34DD995E" w14:textId="77777777" w:rsidR="00872A7E" w:rsidRDefault="00872A7E">
      <w:pPr>
        <w:spacing w:beforeLines="0" w:before="100" w:beforeAutospacing="1" w:afterLines="0" w:after="100" w:afterAutospacing="1"/>
        <w:rPr>
          <w:rFonts w:asciiTheme="majorBidi" w:hAnsiTheme="majorBidi" w:cstheme="majorBidi"/>
          <w:b/>
          <w:bCs/>
          <w:sz w:val="20"/>
          <w:szCs w:val="20"/>
        </w:rPr>
      </w:pPr>
    </w:p>
    <w:p w14:paraId="34DD995F"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2. Search strategy development and peer review (PRESS)</w:t>
      </w:r>
    </w:p>
    <w:p w14:paraId="34DD996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The strategy construction involved a clinician-information specialist team developing multi-concept queries that integrated biomarker terms, therapeutic agents, disease contexts, and comparative study filters. Synonym expansion and ontology terms were employed to enhance recall. An experienced health sciences information specialist peer-reviewed the entire strategies on June 10, 2025. Revisions made during the review included adding HER2-low terminology and ERBB2 synonyms, incorporating next-generation TRK </w:t>
      </w:r>
      <w:r>
        <w:rPr>
          <w:rFonts w:asciiTheme="majorBidi" w:hAnsiTheme="majorBidi" w:cstheme="majorBidi"/>
          <w:sz w:val="20"/>
          <w:szCs w:val="20"/>
        </w:rPr>
        <w:t xml:space="preserve">inhibitors such as selitrectinib and repotrectinib, expanding tumor mutational burden synonyms, such as hypermutated, and correcting field tags. Additionally, proximity operators were refined for greater precision, particularly in Web of Science and Scopus databases. </w:t>
      </w:r>
    </w:p>
    <w:p w14:paraId="34DD9961"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62"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63"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3. Database-specific strategies</w:t>
      </w:r>
    </w:p>
    <w:p w14:paraId="34DD9964"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6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The structures below illustrate Boolean logic and concept blocks used across sources. Searches covered January 1, 2000, through October 21, 2025. No language restrictions were applied during the search; human subjects filters were used where appropriate.</w:t>
      </w:r>
    </w:p>
    <w:p w14:paraId="63A386C5" w14:textId="77777777" w:rsidR="00245D71" w:rsidRDefault="00245D71">
      <w:pPr>
        <w:spacing w:beforeLines="0" w:before="100" w:beforeAutospacing="1" w:afterLines="0" w:after="100" w:afterAutospacing="1"/>
        <w:ind w:firstLine="0"/>
        <w:rPr>
          <w:rFonts w:asciiTheme="majorBidi" w:hAnsiTheme="majorBidi" w:cstheme="majorBidi"/>
          <w:b/>
          <w:bCs/>
          <w:sz w:val="20"/>
          <w:szCs w:val="20"/>
          <w:lang w:val="da-DK"/>
        </w:rPr>
      </w:pPr>
    </w:p>
    <w:p w14:paraId="34DD9966" w14:textId="407F0304" w:rsidR="00872A7E" w:rsidRDefault="00037403">
      <w:pPr>
        <w:spacing w:beforeLines="0" w:before="100" w:beforeAutospacing="1" w:afterLines="0" w:after="100" w:afterAutospacing="1"/>
        <w:ind w:firstLine="0"/>
        <w:rPr>
          <w:rFonts w:asciiTheme="majorBidi" w:hAnsiTheme="majorBidi" w:cstheme="majorBidi"/>
          <w:b/>
          <w:bCs/>
          <w:sz w:val="20"/>
          <w:szCs w:val="20"/>
          <w:lang w:val="da-DK"/>
        </w:rPr>
      </w:pPr>
      <w:r>
        <w:rPr>
          <w:rFonts w:asciiTheme="majorBidi" w:hAnsiTheme="majorBidi" w:cstheme="majorBidi"/>
          <w:b/>
          <w:bCs/>
          <w:sz w:val="20"/>
          <w:szCs w:val="20"/>
          <w:lang w:val="da-DK"/>
        </w:rPr>
        <w:lastRenderedPageBreak/>
        <w:t>- MEDLINE (via PubMed)</w:t>
      </w:r>
    </w:p>
    <w:p w14:paraId="34DD9967" w14:textId="77777777" w:rsidR="00872A7E" w:rsidRDefault="00037403">
      <w:pPr>
        <w:spacing w:beforeLines="0" w:before="100" w:beforeAutospacing="1" w:afterLines="0" w:after="100" w:afterAutospacing="1"/>
        <w:rPr>
          <w:rFonts w:asciiTheme="majorBidi" w:hAnsiTheme="majorBidi" w:cstheme="majorBidi"/>
          <w:sz w:val="20"/>
          <w:szCs w:val="20"/>
          <w:lang w:val="da-DK"/>
        </w:rPr>
      </w:pPr>
      <w:r>
        <w:rPr>
          <w:rFonts w:asciiTheme="majorBidi" w:hAnsiTheme="majorBidi" w:cstheme="majorBidi"/>
          <w:sz w:val="20"/>
          <w:szCs w:val="20"/>
          <w:lang w:val="da-DK"/>
        </w:rPr>
        <w:t>- Platform: PubMed (MEDLINE)</w:t>
      </w:r>
    </w:p>
    <w:p w14:paraId="34DD9968"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2000-01-01 to 2025-10-21</w:t>
      </w:r>
    </w:p>
    <w:p w14:paraId="34DD996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applied at search: Humans; publication date from 2000/01/01 to 2025/10/21; no language restriction</w:t>
      </w:r>
    </w:p>
    <w:p w14:paraId="34DD996A"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search string:</w:t>
      </w:r>
    </w:p>
    <w:p w14:paraId="34DD996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("Neoplasms"[Mesh] OR neoplasm[tiab] OR tumor[tiab] OR carcinoma[tiab] OR "solid tumor"[tiab]) AND ( ("Microsatellite Instability"[Mesh] OR "DNA Mismatch Repair"[Mesh] OR microsatellite instab[tiab] OR MSI-H[tiab] OR dMMR[tiab] OR "mismatch repair deficien"[tiab]) OR ("Tumor Mutational Burden"[tiab] OR TMB[tiab] OR hypermutat[tiab] OR "mutational burden"[tiab]) OR (NTRK1[tiab] OR NTRK2[tiab] OR NTRK3[tiab] OR "neurotrophic tyrosine receptor kinase"[tiab] OR "TRK fusion"[tiab] OR ("Gene Fusion"[Mesh] AND (TR</w:t>
      </w:r>
      <w:r>
        <w:rPr>
          <w:rFonts w:asciiTheme="majorBidi" w:hAnsiTheme="majorBidi" w:cstheme="majorBidi"/>
          <w:sz w:val="20"/>
          <w:szCs w:val="20"/>
        </w:rPr>
        <w:t>K[tiab] OR NTRK[tiab]))) OR ("Proto-Oncogene Proteins B-raf"[Mesh] OR BRAF[tiab] OR "BRAF V600E"[tiab] OR "BRAF V600K"[tiab] OR "BRAF V600R"[tiab] OR "BRAF V600D"[tiab]) OR ("Receptor, ErbB-2"[Mesh] OR HER2[tiab] OR ERBB2[tiab] OR "HER2-low"[tiab] OR "IHC 1+"[tiab] OR "IHC 2+"[tiab]) ) AND ( pembrolizumab[tiab] OR dostarlimab[tiab] OR nivolumab[tiab] OR ipilimumab[tiab] OR larotrectinib[tiab] OR entrectinib[tiab] OR selitrectinib[tiab] OR repotrectinib[tiab] OR encorafenib[tiab] OR binimetinib[tiab] OR cetu</w:t>
      </w:r>
      <w:r>
        <w:rPr>
          <w:rFonts w:asciiTheme="majorBidi" w:hAnsiTheme="majorBidi" w:cstheme="majorBidi"/>
          <w:sz w:val="20"/>
          <w:szCs w:val="20"/>
        </w:rPr>
        <w:t xml:space="preserve">ximab[tiab] OR dabrafenib[tiab] OR trametinib[tiab] OR vemurafenib[tiab] OR "trastuzumab deruxtecan"[tiab] OR T-DXd[tiab] OR "trastuzumab emtansine"[tiab] OR T-DM1[tiab] OR "antibody-drug conjugate"[tiab] ) AND ( randomized[tiab] OR randomised[tiab] OR trial[tiab] OR "phase 2"[tiab] OR "phase II"[tiab] OR "phase 3"[tiab] OR "phase III"[tiab] OR cohort[tiab] OR "case-control"[tiab] OR observational[tiab] OR comparative[tiab] OR controlled[tiab] ) </w:t>
      </w:r>
    </w:p>
    <w:p w14:paraId="34DD996C" w14:textId="77777777" w:rsidR="00872A7E" w:rsidRDefault="00872A7E">
      <w:pPr>
        <w:spacing w:beforeLines="0" w:before="100" w:beforeAutospacing="1" w:afterLines="0" w:after="100" w:afterAutospacing="1"/>
        <w:ind w:firstLine="0"/>
        <w:rPr>
          <w:rFonts w:asciiTheme="majorBidi" w:hAnsiTheme="majorBidi" w:cstheme="majorBidi"/>
          <w:b/>
          <w:bCs/>
          <w:sz w:val="20"/>
          <w:szCs w:val="20"/>
        </w:rPr>
      </w:pPr>
    </w:p>
    <w:p w14:paraId="34DD996D"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xml:space="preserve">- Cochrane CENTRAL </w:t>
      </w:r>
    </w:p>
    <w:p w14:paraId="34DD996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Cochrane Library (CENTRAL)</w:t>
      </w:r>
    </w:p>
    <w:p w14:paraId="34DD996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Inception to 2025-10-21</w:t>
      </w:r>
    </w:p>
    <w:p w14:paraId="34DD997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Trials only (inherent to CENTRAL); no language limits</w:t>
      </w:r>
    </w:p>
    <w:p w14:paraId="34DD997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search string (Advanced Search):</w:t>
      </w:r>
    </w:p>
    <w:p w14:paraId="34DD9972"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(Neoplasm OR tumor OR carcinoma OR "solid tumor") AND ( "microsatellite instab" OR MSI-H OR dMMR OR "mismatch repair deficien" OR "tumor mutational burden" OR TMB OR hypermutat OR NTRK1 OR NTRK2 OR NTRK3 OR "neurotrophic tyrosine receptor kinase" OR "TRK fusion" OR BRAF OR "BRAF V600E" OR "BRAF V600K" OR "BRAF V600R" OR "BRAF V600D" OR HER2 OR ERBB2 OR "HER2-low" OR "IHC 1+" OR "IHC 2+" ) AND ( pembrolizumab OR dostarlimab </w:t>
      </w:r>
      <w:r>
        <w:rPr>
          <w:rFonts w:asciiTheme="majorBidi" w:hAnsiTheme="majorBidi" w:cstheme="majorBidi"/>
          <w:sz w:val="20"/>
          <w:szCs w:val="20"/>
        </w:rPr>
        <w:lastRenderedPageBreak/>
        <w:t xml:space="preserve">OR nivolumab OR ipilimumab OR larotrectinib OR entrectinib OR selitrectinib OR repotrectinib OR encorafenib OR binimetinib OR cetuximab OR dabrafenib OR trametinib OR vemurafenib OR "trastuzumab deruxtecan" OR T-DXd OR "trastuzumab emtansine" OR T-DM1 OR "antibody-drug conjugate" ) </w:t>
      </w:r>
    </w:p>
    <w:p w14:paraId="34DD9973" w14:textId="77777777" w:rsidR="00872A7E" w:rsidRDefault="00872A7E">
      <w:pPr>
        <w:spacing w:beforeLines="0" w:before="100" w:beforeAutospacing="1" w:afterLines="0" w:after="100" w:afterAutospacing="1"/>
        <w:ind w:firstLine="0"/>
        <w:rPr>
          <w:rFonts w:asciiTheme="majorBidi" w:hAnsiTheme="majorBidi" w:cstheme="majorBidi"/>
          <w:b/>
          <w:bCs/>
          <w:sz w:val="20"/>
          <w:szCs w:val="20"/>
        </w:rPr>
      </w:pPr>
    </w:p>
    <w:p w14:paraId="34DD9974"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Web of Science Core Collection</w:t>
      </w:r>
    </w:p>
    <w:p w14:paraId="34DD997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Platform/Indexes: SCI-EXPANDED; SSCI; ESCI</w:t>
      </w:r>
    </w:p>
    <w:p w14:paraId="34DD997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2000-01-01 to 2025-10-20</w:t>
      </w:r>
    </w:p>
    <w:p w14:paraId="34DD997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Document types = Article OR Article in Press OR Proceedings Paper; Year ≥2000; no language limits</w:t>
      </w:r>
    </w:p>
    <w:p w14:paraId="34DD9978"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search string (Advanced Search; Topic = TS; proximity NEAR/x):</w:t>
      </w:r>
    </w:p>
    <w:p w14:paraId="34DD997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TS=( (neoplasm OR tumor OR carcinoma OR "solid tumor") AND ( ("microsatellite instab" OR MSI-H OR dMMR OR "mismatch repair deficien") OR ("tumor mutational burden" OR TMB OR hypermutat) OR (NTRK1 OR NTRK2 OR NTRK3 OR "neurotrophic tyrosine receptor kinase" OR "TRK fusion") OR (BRAF OR "BRAF V600E" OR "BRAF V600K" OR "BRAF V600R" OR "BRAF V600D") OR (HER2 OR ERBB2 OR "HER2-low" OR "IHC 1+" OR "IHC 2+") ) AND ( pembrolizumab OR dostarlimab OR nivolumab OR ipilimumab OR larotrectinib OR entrectinib OR selitrec</w:t>
      </w:r>
      <w:r>
        <w:rPr>
          <w:rFonts w:asciiTheme="majorBidi" w:hAnsiTheme="majorBidi" w:cstheme="majorBidi"/>
          <w:sz w:val="20"/>
          <w:szCs w:val="20"/>
        </w:rPr>
        <w:t xml:space="preserve">tinib OR repotrectinib OR encorafenib OR binimetinib OR cetuximab OR dabrafenib OR trametinib OR vemurafenib OR "trastuzumab deruxtecan" OR T-DXd OR "trastuzumab emtansine" OR T-DM1 OR "antibody-drug conjugate" ) AND ( random OR trial OR phase NEAR/2 (II OR III OR 2 OR 3) OR cohort OR "case-control" OR observational OR comparative OR controlled ) ) </w:t>
      </w:r>
    </w:p>
    <w:p w14:paraId="34DD997A" w14:textId="77777777" w:rsidR="00872A7E" w:rsidRDefault="00872A7E">
      <w:pPr>
        <w:spacing w:beforeLines="0" w:before="100" w:beforeAutospacing="1" w:afterLines="0" w:after="100" w:afterAutospacing="1"/>
        <w:ind w:firstLine="0"/>
        <w:rPr>
          <w:rFonts w:asciiTheme="majorBidi" w:hAnsiTheme="majorBidi" w:cstheme="majorBidi"/>
          <w:b/>
          <w:bCs/>
          <w:sz w:val="20"/>
          <w:szCs w:val="20"/>
        </w:rPr>
      </w:pPr>
    </w:p>
    <w:p w14:paraId="34DD997B"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Scopus (Elsevier)</w:t>
      </w:r>
    </w:p>
    <w:p w14:paraId="34DD997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Scopus</w:t>
      </w:r>
    </w:p>
    <w:p w14:paraId="34DD997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2000-01-01 to 2025-10-20</w:t>
      </w:r>
    </w:p>
    <w:p w14:paraId="34DD997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Document type = Article OR Article-in-Press OR Conference Paper; Year ≥2000; no language limits</w:t>
      </w:r>
    </w:p>
    <w:p w14:paraId="34DD997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search string (TITLE-ABS-KEY):</w:t>
      </w:r>
    </w:p>
    <w:p w14:paraId="34DD998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TITLE-ABS-KEY( (neoplasm OR tumor OR carcinoma OR "solid tumor") AND ( ("microsatellite W/2 instab" OR MSI-H OR dMMR OR "mismatch W/2 repair W/2 deficien") OR ("tumor W/2 mutational W/2 burden" OR TMB OR hypermutat) OR (NTRK1 OR NTRK2 OR NTRK3 OR "neurotrophic W/2 tyrosine W/2 receptor W/2 </w:t>
      </w:r>
      <w:r>
        <w:rPr>
          <w:rFonts w:asciiTheme="majorBidi" w:hAnsiTheme="majorBidi" w:cstheme="majorBidi"/>
          <w:sz w:val="20"/>
          <w:szCs w:val="20"/>
        </w:rPr>
        <w:lastRenderedPageBreak/>
        <w:t>kinase" OR "TRK W/2 fusion") OR (BRAF OR "BRAF W/1 V600E" OR "BRAF W/1 V600K" OR "BRAF W/1 V600R" OR "BRAF W/1 V600D") OR (HER2 OR ERBB2 OR "HER2-low" OR "IHC W/1 1+" OR "IHC W/1 2+") ) AND ( pembrolizumab OR dostarlimab OR nivolumab OR ipilimumab OR larotrectinib OR entrectinib OR selitrectinib OR repotrectinib OR encorafenib OR binimetinib OR cetuximab OR dabrafenib OR trametinib OR vemurafenib OR "trastuzumab W/1 deruxtecan" OR T-DXd OR "trastuzumab W/1 emtansine" OR T-DM1 OR "antibody-drug W/1 conjugate</w:t>
      </w:r>
      <w:r>
        <w:rPr>
          <w:rFonts w:asciiTheme="majorBidi" w:hAnsiTheme="majorBidi" w:cstheme="majorBidi"/>
          <w:sz w:val="20"/>
          <w:szCs w:val="20"/>
        </w:rPr>
        <w:t xml:space="preserve">" ) AND ( random OR trial OR phase W/2 (II OR III OR 2 OR 3) OR cohort OR "case-control" OR observational OR comparative OR controlled ) ) </w:t>
      </w:r>
    </w:p>
    <w:p w14:paraId="34DD9981" w14:textId="77777777" w:rsidR="00872A7E" w:rsidRDefault="00872A7E">
      <w:pPr>
        <w:spacing w:beforeLines="0" w:before="100" w:beforeAutospacing="1" w:afterLines="0" w:after="100" w:afterAutospacing="1"/>
        <w:ind w:firstLine="0"/>
        <w:rPr>
          <w:rFonts w:asciiTheme="majorBidi" w:hAnsiTheme="majorBidi" w:cstheme="majorBidi"/>
          <w:b/>
          <w:bCs/>
          <w:sz w:val="20"/>
          <w:szCs w:val="20"/>
        </w:rPr>
      </w:pPr>
    </w:p>
    <w:p w14:paraId="34DD9982"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OpenAlex</w:t>
      </w:r>
    </w:p>
    <w:p w14:paraId="34DD9983"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 Platform: OpenAlex </w:t>
      </w:r>
    </w:p>
    <w:p w14:paraId="34DD998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2000-01-01 to 2025-10-20</w:t>
      </w:r>
    </w:p>
    <w:p w14:paraId="34DD998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 type = journal-article; human</w:t>
      </w:r>
      <w:r>
        <w:rPr>
          <w:rFonts w:asciiTheme="majorBidi" w:hAnsiTheme="majorBidi" w:cstheme="majorBidi"/>
          <w:sz w:val="20"/>
          <w:szCs w:val="20"/>
          <w:cs/>
        </w:rPr>
        <w:t>‎</w:t>
      </w:r>
      <w:r>
        <w:rPr>
          <w:rFonts w:asciiTheme="majorBidi" w:hAnsiTheme="majorBidi" w:cstheme="majorBidi"/>
          <w:sz w:val="20"/>
          <w:szCs w:val="20"/>
        </w:rPr>
        <w:t>; no language limits</w:t>
      </w:r>
    </w:p>
    <w:p w14:paraId="34DD998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w:t>
      </w:r>
    </w:p>
    <w:p w14:paraId="34DD998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(neoplasm OR tumor OR carcinoma OR "solid tumor") AND ("microsatellite instab" OR MSI-H OR dMMR OR "mismatch repair deficien" OR "tumor mutational burden" OR TMB OR hypermutat OR NTRK1 OR NTRK2 OR NTRK3 OR "neurotrophic tyrosine receptor kinase" OR "TRK fusion" OR BRAF OR "BRAF V600E" OR "BRAF V600K" OR "BRAF V600R" OR "BRAF V600D" OR HER2 OR ERBB2 OR "HER2-low" OR "IHC 1+" OR "IHC 2+") AND (pembrolizumab OR dostarlimab OR nivolumab OR ipilimumab OR larotrectinib OR entrectinib OR selitrectinib OR repotrect</w:t>
      </w:r>
      <w:r>
        <w:rPr>
          <w:rFonts w:asciiTheme="majorBidi" w:hAnsiTheme="majorBidi" w:cstheme="majorBidi"/>
          <w:sz w:val="20"/>
          <w:szCs w:val="20"/>
        </w:rPr>
        <w:t>inib OR encorafenib OR binimetinib OR cetuximab OR dabrafenib OR trametinib OR vemurafenib OR "trastuzumab deruxtecan" OR T-DXd OR "trastuzumab emtansine" OR T-DM1 OR "antibody-drug conjugate")</w:t>
      </w:r>
    </w:p>
    <w:p w14:paraId="34DD9989"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8A"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ClinicalTrials.gov</w:t>
      </w:r>
    </w:p>
    <w:p w14:paraId="34DD998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ClinicalTrials.gov Advanced Search</w:t>
      </w:r>
    </w:p>
    <w:p w14:paraId="34DD998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8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Study type = Interventional OR Observational; Recruitment = All; Results = All; Age = Child, Adult, Older Adult</w:t>
      </w:r>
    </w:p>
    <w:p w14:paraId="34DD998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 Verbatim query </w:t>
      </w:r>
    </w:p>
    <w:p w14:paraId="34DD998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lastRenderedPageBreak/>
        <w:t>Condition/Disease: neoplasm OR "solid tumor"</w:t>
      </w:r>
    </w:p>
    <w:p w14:paraId="34DD999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Other Terms:</w:t>
      </w:r>
    </w:p>
    <w:p w14:paraId="34DD999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 MSI-H OR dMMR OR "microsatellite instability" OR "mismatch repair deficiency" OR "tumor mutational burden" OR TMB OR hypermutat OR NTRK1 OR NTRK2 OR NTRK3 OR "TRK fusion" OR "BRAF V600E" OR "BRAF V600K" OR "BRAF V600R" OR "BRAF V600D" OR HER2 OR ERBB2 OR "HER2-low" ) AND ( pembrolizumab OR dostarlimab OR nivolumab OR ipilimumab OR larotrectinib OR entrectinib OR selitrectinib OR repotrectinib OR encorafenib OR binimetinib OR cetuximab OR dabrafenib OR trametinib OR vemurafenib OR "trastuzumab deruxtecan" </w:t>
      </w:r>
      <w:r>
        <w:rPr>
          <w:rFonts w:asciiTheme="majorBidi" w:hAnsiTheme="majorBidi" w:cstheme="majorBidi"/>
          <w:sz w:val="20"/>
          <w:szCs w:val="20"/>
        </w:rPr>
        <w:t xml:space="preserve">OR T-DXd OR "trastuzumab emtansine" OR T-DM1 OR "antibody-drug conjugate" ) </w:t>
      </w:r>
    </w:p>
    <w:p w14:paraId="34DD9992"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34DD9993" w14:textId="77777777" w:rsidR="00872A7E" w:rsidRPr="001F6E82" w:rsidRDefault="00037403">
      <w:pPr>
        <w:spacing w:beforeLines="0" w:before="100" w:beforeAutospacing="1" w:afterLines="0" w:after="100" w:afterAutospacing="1"/>
        <w:ind w:firstLine="0"/>
        <w:rPr>
          <w:rFonts w:asciiTheme="majorBidi" w:hAnsiTheme="majorBidi" w:cstheme="majorBidi"/>
          <w:b/>
          <w:bCs/>
          <w:sz w:val="20"/>
          <w:szCs w:val="20"/>
          <w:lang w:val="pt-BR"/>
        </w:rPr>
      </w:pPr>
      <w:r w:rsidRPr="001F6E82">
        <w:rPr>
          <w:rFonts w:asciiTheme="majorBidi" w:hAnsiTheme="majorBidi" w:cstheme="majorBidi"/>
          <w:b/>
          <w:bCs/>
          <w:sz w:val="20"/>
          <w:szCs w:val="20"/>
          <w:lang w:val="pt-BR"/>
        </w:rPr>
        <w:t>-EU Clinical Trials Register (EudraCT/EU CTR)</w:t>
      </w:r>
    </w:p>
    <w:p w14:paraId="34DD999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EU CTR</w:t>
      </w:r>
    </w:p>
    <w:p w14:paraId="34DD999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9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Recruitment status = All; Phase II-III prioritized (no formal phase filter applied); no language limits</w:t>
      </w:r>
    </w:p>
    <w:p w14:paraId="34DD999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w:t>
      </w:r>
    </w:p>
    <w:p w14:paraId="34DD9998"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(neoplasm OR "solid tumour" OR carcinoma) AND ( "microsatellite instability" OR MSI-H OR dMMR OR "mismatch repair deficiency" OR "tumour mutational burden" OR TMB OR hypermutat OR NTRK1 OR NTRK2 OR NTRK3 OR "TRK fusion" OR "BRAF V600E" OR "BRAF V600K" OR "BRAF V600R" OR "BRAF V600D" OR HER2 OR ERBB2 OR "HER2-low" ) AND ( pembrolizumab OR dostarlimab OR nivolumab OR ipilimumab OR larotrectinib OR entrectinib OR selitrectinib OR repotrectinib OR encorafenib OR binimetinib OR cetuximab OR dabrafenib OR trameti</w:t>
      </w:r>
      <w:r>
        <w:rPr>
          <w:rFonts w:asciiTheme="majorBidi" w:hAnsiTheme="majorBidi" w:cstheme="majorBidi"/>
          <w:sz w:val="20"/>
          <w:szCs w:val="20"/>
        </w:rPr>
        <w:t xml:space="preserve">nib OR vemurafenib OR "trastuzumab deruxtecan" OR T-DXd OR "trastuzumab emtansine" OR T-DM1 OR "antibody-drug conjugate" ) </w:t>
      </w:r>
    </w:p>
    <w:p w14:paraId="34DD9999"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34DD999A"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WHO ICTRP (International Clinical Trials Registry Platform)</w:t>
      </w:r>
    </w:p>
    <w:p w14:paraId="34DD999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WHO ICTRP Search Portal</w:t>
      </w:r>
    </w:p>
    <w:p w14:paraId="34DD999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9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lastRenderedPageBreak/>
        <w:t>- Filters/limits: Aggregator across registries; no language limits</w:t>
      </w:r>
    </w:p>
    <w:p w14:paraId="34DD999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w:t>
      </w:r>
    </w:p>
    <w:p w14:paraId="34DD999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Condition: neoplasm OR "solid tumor" OR carcinoma</w:t>
      </w:r>
    </w:p>
    <w:p w14:paraId="34DD99A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Intervention:</w:t>
      </w:r>
    </w:p>
    <w:p w14:paraId="34DD99A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(pembrolizumab OR dostarlimab OR nivolumab OR ipilimumab OR larotrectinib OR entrectinib OR selitrectinib OR repotrectinib OR encorafenib OR binimetinib OR cetuximab OR dabrafenib OR trametinib OR vemurafenib OR "trastuzumab deruxtecan" OR T-DXd OR "trastuzumab emtansine" OR T-DM1 OR "antibody-drug conjugate") </w:t>
      </w:r>
    </w:p>
    <w:p w14:paraId="34DD99A2"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Keywords:</w:t>
      </w:r>
    </w:p>
    <w:p w14:paraId="34DD99A3"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MSI-H OR dMMR OR "microsatellite instability" OR "mismatch repair deficiency" OR "tumor mutational burden" OR TMB OR hypermutat</w:t>
      </w:r>
    </w:p>
    <w:p w14:paraId="34DD99A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OR NTRK1 OR NTRK2 OR NTRK3 OR "TRK fusion"</w:t>
      </w:r>
    </w:p>
    <w:p w14:paraId="34DD99A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OR "BRAF V600E" OR "BRAF V600K" OR "BRAF V600R" OR "BRAF V600D"</w:t>
      </w:r>
    </w:p>
    <w:p w14:paraId="34DD99A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OR HER2 OR ERBB2 OR "HER2-low"</w:t>
      </w:r>
    </w:p>
    <w:p w14:paraId="34DD99A7"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A8"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xml:space="preserve">- ASCO Annual Meeting </w:t>
      </w:r>
    </w:p>
    <w:p w14:paraId="34DD99A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ASCO Meeting Library and site-restricted Google queries</w:t>
      </w:r>
    </w:p>
    <w:p w14:paraId="34DD99AA"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2015-2025</w:t>
      </w:r>
    </w:p>
    <w:p w14:paraId="34DD99A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Abstracts; screened for comparative content</w:t>
      </w:r>
    </w:p>
    <w:p w14:paraId="34DD99A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site-restricted query (Google):</w:t>
      </w:r>
    </w:p>
    <w:p w14:paraId="34DD99AD" w14:textId="77777777" w:rsidR="00872A7E" w:rsidRDefault="00037403">
      <w:pPr>
        <w:spacing w:beforeLines="0" w:before="100" w:beforeAutospacing="1" w:afterLines="0" w:after="100" w:afterAutospacing="1"/>
        <w:rPr>
          <w:rFonts w:asciiTheme="majorBidi" w:hAnsiTheme="majorBidi" w:cstheme="majorBidi"/>
          <w:sz w:val="20"/>
          <w:szCs w:val="20"/>
        </w:rPr>
      </w:pPr>
      <w:proofErr w:type="gramStart"/>
      <w:r>
        <w:rPr>
          <w:rFonts w:asciiTheme="majorBidi" w:hAnsiTheme="majorBidi" w:cstheme="majorBidi"/>
          <w:sz w:val="20"/>
          <w:szCs w:val="20"/>
        </w:rPr>
        <w:t>site:meetinglibrary.asco.org</w:t>
      </w:r>
      <w:proofErr w:type="gramEnd"/>
    </w:p>
    <w:p w14:paraId="34DD99A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lastRenderedPageBreak/>
        <w:t>("pembrolizumab" OR "dostarlimab" OR "nivolumab" OR "ipilimumab" OR "larotrectinib" OR "entrectinib" OR "selitrectinib" OR "repotrectinib" OR "encorafenib" OR "binimetinib" OR "cetuximab" OR "dabrafenib" OR "trametinib" OR "vemurafenib" OR "trastuzumab deruxtecan" OR "T-DXd" OR "trastuzumab emtansine" OR "T-DM1") AND ("MSI" OR "dMMR" OR "microsatellite instability" OR "TMB" OR "hypermutated" OR "NTRK" OR "TRK fusion" OR "BRAF V600" OR "HER2" OR "HER2-low") AND (random OR trial OR phase OR cohort OR comparat</w:t>
      </w:r>
      <w:r>
        <w:rPr>
          <w:rFonts w:asciiTheme="majorBidi" w:hAnsiTheme="majorBidi" w:cstheme="majorBidi"/>
          <w:sz w:val="20"/>
          <w:szCs w:val="20"/>
        </w:rPr>
        <w:t xml:space="preserve">ive OR controlled) </w:t>
      </w:r>
    </w:p>
    <w:p w14:paraId="34DD99AF"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B0"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ESMO Annual Congress</w:t>
      </w:r>
    </w:p>
    <w:p w14:paraId="34DD99B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ESMO websites and site-restricted Google queries</w:t>
      </w:r>
    </w:p>
    <w:p w14:paraId="34DD99B2"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2015-2025</w:t>
      </w:r>
    </w:p>
    <w:p w14:paraId="34DD99B3"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site-restricted query (Google):</w:t>
      </w:r>
    </w:p>
    <w:p w14:paraId="34DD99B4" w14:textId="77777777" w:rsidR="00872A7E" w:rsidRDefault="00037403">
      <w:pPr>
        <w:spacing w:beforeLines="0" w:before="100" w:beforeAutospacing="1" w:afterLines="0" w:after="100" w:afterAutospacing="1"/>
        <w:rPr>
          <w:rFonts w:asciiTheme="majorBidi" w:hAnsiTheme="majorBidi" w:cstheme="majorBidi"/>
          <w:sz w:val="20"/>
          <w:szCs w:val="20"/>
        </w:rPr>
      </w:pPr>
      <w:proofErr w:type="gramStart"/>
      <w:r>
        <w:rPr>
          <w:rFonts w:asciiTheme="majorBidi" w:hAnsiTheme="majorBidi" w:cstheme="majorBidi"/>
          <w:sz w:val="20"/>
          <w:szCs w:val="20"/>
        </w:rPr>
        <w:t>site:esmo.org</w:t>
      </w:r>
      <w:proofErr w:type="gramEnd"/>
      <w:r>
        <w:rPr>
          <w:rFonts w:asciiTheme="majorBidi" w:hAnsiTheme="majorBidi" w:cstheme="majorBidi"/>
          <w:sz w:val="20"/>
          <w:szCs w:val="20"/>
        </w:rPr>
        <w:t xml:space="preserve"> OR </w:t>
      </w:r>
      <w:proofErr w:type="gramStart"/>
      <w:r>
        <w:rPr>
          <w:rFonts w:asciiTheme="majorBidi" w:hAnsiTheme="majorBidi" w:cstheme="majorBidi"/>
          <w:sz w:val="20"/>
          <w:szCs w:val="20"/>
        </w:rPr>
        <w:t>site:oncologypro.esmo.org</w:t>
      </w:r>
      <w:proofErr w:type="gramEnd"/>
    </w:p>
    <w:p w14:paraId="34DD99B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("trastuzumab deruxtecan" OR "T-DXd</w:t>
      </w:r>
      <w:r>
        <w:rPr>
          <w:rFonts w:asciiTheme="majorBidi" w:hAnsiTheme="majorBidi" w:cstheme="majorBidi"/>
          <w:sz w:val="20"/>
          <w:szCs w:val="20"/>
        </w:rPr>
        <w:t xml:space="preserve">" OR "pembrolizumab" OR "dostarlimab" OR "nivolumab" OR "larotrectinib" OR "entrectinib" OR "encorafenib" OR "dabrafenib" OR "trametinib") AND ("MSI" OR "dMMR" OR "microsatellite instability" OR "TMB" OR "hypermutated" OR "NTRK" OR "TRK fusion" OR "BRAF V600" OR "HER2" OR "HER2-low") AND (random OR trial OR phase OR cohort OR comparative OR controlled) </w:t>
      </w:r>
    </w:p>
    <w:p w14:paraId="34DD99B6"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B7"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xml:space="preserve">- AACR Annual Meeting </w:t>
      </w:r>
    </w:p>
    <w:p w14:paraId="34DD99B8"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AACR websites and site-restricted Google queries</w:t>
      </w:r>
    </w:p>
    <w:p w14:paraId="34DD99B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2015-2025</w:t>
      </w:r>
    </w:p>
    <w:p w14:paraId="34DD99BA"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site-restricted query (Google):</w:t>
      </w:r>
    </w:p>
    <w:p w14:paraId="34DD99BB" w14:textId="77777777" w:rsidR="00872A7E" w:rsidRDefault="00037403">
      <w:pPr>
        <w:spacing w:beforeLines="0" w:before="100" w:beforeAutospacing="1" w:afterLines="0" w:after="100" w:afterAutospacing="1"/>
        <w:rPr>
          <w:rFonts w:asciiTheme="majorBidi" w:hAnsiTheme="majorBidi" w:cstheme="majorBidi"/>
          <w:sz w:val="20"/>
          <w:szCs w:val="20"/>
        </w:rPr>
      </w:pPr>
      <w:proofErr w:type="gramStart"/>
      <w:r>
        <w:rPr>
          <w:rFonts w:asciiTheme="majorBidi" w:hAnsiTheme="majorBidi" w:cstheme="majorBidi"/>
          <w:sz w:val="20"/>
          <w:szCs w:val="20"/>
        </w:rPr>
        <w:t>site:aacr.org</w:t>
      </w:r>
      <w:proofErr w:type="gramEnd"/>
      <w:r>
        <w:rPr>
          <w:rFonts w:asciiTheme="majorBidi" w:hAnsiTheme="majorBidi" w:cstheme="majorBidi"/>
          <w:sz w:val="20"/>
          <w:szCs w:val="20"/>
        </w:rPr>
        <w:t xml:space="preserve"> OR </w:t>
      </w:r>
      <w:proofErr w:type="gramStart"/>
      <w:r>
        <w:rPr>
          <w:rFonts w:asciiTheme="majorBidi" w:hAnsiTheme="majorBidi" w:cstheme="majorBidi"/>
          <w:sz w:val="20"/>
          <w:szCs w:val="20"/>
        </w:rPr>
        <w:t>site:abstractsonline.com</w:t>
      </w:r>
      <w:proofErr w:type="gramEnd"/>
    </w:p>
    <w:p w14:paraId="34DD99B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("pembrolizumab" OR "dostarlimab" OR "nivolumab" OR "ipilimumab" OR "larotrectinib" OR "entrectinib" OR "selitrectinib" OR "repotrectinib" OR "encorafenib" OR "binimetinib" OR "cetuximab" OR "dabrafenib" OR "trametinib" OR "trastuzumab deruxtecan" OR "T-DXd") AND ("MSI" OR "dMMR" OR </w:t>
      </w:r>
      <w:r>
        <w:rPr>
          <w:rFonts w:asciiTheme="majorBidi" w:hAnsiTheme="majorBidi" w:cstheme="majorBidi"/>
          <w:sz w:val="20"/>
          <w:szCs w:val="20"/>
        </w:rPr>
        <w:lastRenderedPageBreak/>
        <w:t xml:space="preserve">"microsatellite instability" OR "TMB" OR "hypermutated" OR "NTRK" OR "TRK fusion" OR "BRAF V600" OR "HER2" OR "HER2-low") AND (random OR trial OR cohort OR comparative OR controlled) </w:t>
      </w:r>
    </w:p>
    <w:p w14:paraId="34DD99BD"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34DD99BE"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medRxiv</w:t>
      </w:r>
    </w:p>
    <w:p w14:paraId="34DD99B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medRxiv.org search</w:t>
      </w:r>
    </w:p>
    <w:p w14:paraId="34DD99C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Inception to 2025-10-21</w:t>
      </w:r>
    </w:p>
    <w:p w14:paraId="34DD99C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Preprints; screened for comparative study-level data</w:t>
      </w:r>
    </w:p>
    <w:p w14:paraId="34DD99C2"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 (site search):</w:t>
      </w:r>
    </w:p>
    <w:p w14:paraId="34DD99C3"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("pembrolizumab" OR "dostarlimab" OR "nivolumab" OR "larotrectinib" OR "entrectinib" OR "encorafenib" OR "cetuximab" OR "dabrafenib" OR "trametinib" OR "trastuzumab deruxtecan" OR "T-DXd") AND ("MSI" OR "dMMR" OR "microsatellite instability" OR "TMB" OR "hypermutated" OR "NTRK" OR "TRK fusion" OR "BRAF V600" OR "HER2" OR "HER2-low") AND (random OR trial OR cohort OR comparative OR controlled) </w:t>
      </w:r>
    </w:p>
    <w:p w14:paraId="34DD99C5"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34DD99C6"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bioRxiv</w:t>
      </w:r>
    </w:p>
    <w:p w14:paraId="34DD99C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bioRxiv.org search</w:t>
      </w:r>
    </w:p>
    <w:p w14:paraId="34DD99C8"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Inception to 2025-10-21</w:t>
      </w:r>
    </w:p>
    <w:p w14:paraId="34DD99C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Preprints; screened for comparative study-level data</w:t>
      </w:r>
    </w:p>
    <w:p w14:paraId="34DD99CA"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w:t>
      </w:r>
    </w:p>
    <w:p w14:paraId="34DD99C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("pembrolizumab" OR "dostarlimab" OR "nivolumab" OR "larotrectinib" OR "entrectinib" OR "encorafenib" OR "cetuximab" OR "dabrafenib" OR "trametinib" OR "trastuzumab deruxtecan" OR "T-DXd") AND ("MSI" OR "dMMR" OR "microsatellite instability" OR "TMB" OR "hypermutated" OR "NTRK" OR "TRK fusion" OR "BRAF V600" OR "HER2" OR "HER2-low") AND (random OR trial OR cohort OR comparative OR controlled) </w:t>
      </w:r>
    </w:p>
    <w:p w14:paraId="34DD99CD"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lastRenderedPageBreak/>
        <w:t>- ProQuest</w:t>
      </w:r>
    </w:p>
    <w:p w14:paraId="34DD99C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ProQuest (multi-database; scholarly works)</w:t>
      </w:r>
    </w:p>
    <w:p w14:paraId="34DD99C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D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Keyword and proximity operators; comparative-study terms retained; no language limits</w:t>
      </w:r>
    </w:p>
    <w:p w14:paraId="34DD99D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 Verbatim search string </w:t>
      </w:r>
    </w:p>
    <w:p w14:paraId="34DD99D2"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((neoplasm OR tumor OR carcinoma OR "solid tumor") AND ( ("microsatellite NEAR/3 instab" OR MSI-H OR dMMR OR "mismatch NEAR/3 repair NEAR/3 deficien") OR ("tumor NEAR/3 mutational NEAR/3 burden" OR TMB OR hypermutat) OR (NTRK1 OR NTRK2 OR NTRK3 OR "neurotrophic NEAR/3 tyrosine NEAR/3 receptor NEAR/3 kinase" OR "TRK NEAR/2 fusion") OR (BRAF OR "BRAF NEAR/1 V600E" OR "BRAF NEAR/1 V600K" OR "BRAF NEAR/1 V600R" OR "BRAF NEAR/1 V600D") OR (HER2 OR ERBB2 OR "HER2-low" OR "IHC NEAR/1 1+" OR "IHC NEAR/1 2+") ) AND </w:t>
      </w:r>
      <w:r>
        <w:rPr>
          <w:rFonts w:asciiTheme="majorBidi" w:hAnsiTheme="majorBidi" w:cstheme="majorBidi"/>
          <w:sz w:val="20"/>
          <w:szCs w:val="20"/>
        </w:rPr>
        <w:t xml:space="preserve">( pembrolizumab OR dostarlimab OR nivolumab OR ipilimumab OR larotrectinib OR entrectinib OR selitrectinib OR repotrectinib OR encorafenib OR binimetinib OR cetuximab OR dabrafenib OR trametinib OR vemurafenib OR "trastuzumab NEAR/1 deruxtecan" OR T-DXd OR "trastuzumab NEAR/1 emtansine" OR T-DM1 OR "antibody-drug NEAR/1 conjugate" ) AND ( random OR trial OR phase NEAR/2 (II OR III OR 2 OR 3) OR cohort OR "case-control" OR observational OR comparative OR controlled )) </w:t>
      </w:r>
    </w:p>
    <w:p w14:paraId="34DD99D3"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34DD99D4"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Google Scholar</w:t>
      </w:r>
    </w:p>
    <w:p w14:paraId="34DD99D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Google Scholar</w:t>
      </w:r>
    </w:p>
    <w:p w14:paraId="34DD99D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D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None; first 1000 records screened; date filter applied manually when needed</w:t>
      </w:r>
    </w:p>
    <w:p w14:paraId="34DD99D8"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w:t>
      </w:r>
    </w:p>
    <w:p w14:paraId="34DD99D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"solid tumor" OR neoplasm OR carcinoma ("microsatellite instability" OR MSI-H OR dMMR OR "mismatch repair deficiency" OR "tumor mutational burden" OR TMB OR hypermutated OR NTRK OR "TRK fusion" OR "BRAF V600" OR HER2 OR ERBB2 OR "HER2-low") ("pembrolizumab" OR "dostarlimab" OR "nivolumab" OR "ipilimumab" OR "larotrectinib" OR "entrectinib" OR "selitrectinib" OR "repotrectinib" OR "encorafenib" OR "binimetinib" OR "cetuximab" OR "dabrafenib" OR "trametinib" OR "trastuzumab deruxtecan" OR "T-DXd" OR "trastuzu</w:t>
      </w:r>
      <w:r>
        <w:rPr>
          <w:rFonts w:asciiTheme="majorBidi" w:hAnsiTheme="majorBidi" w:cstheme="majorBidi"/>
          <w:sz w:val="20"/>
          <w:szCs w:val="20"/>
        </w:rPr>
        <w:t xml:space="preserve">mab emtansine" OR "T-DM1") randomized OR randomised OR trial OR cohort OR "case-control" OR comparative </w:t>
      </w:r>
    </w:p>
    <w:p w14:paraId="34DD99DB"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lastRenderedPageBreak/>
        <w:t xml:space="preserve">- CrossRef </w:t>
      </w:r>
    </w:p>
    <w:p w14:paraId="34DD99D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 Platform: CrossRef </w:t>
      </w:r>
    </w:p>
    <w:p w14:paraId="34DD99D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D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first 1000 records screened; type=journal-article; no language limits</w:t>
      </w:r>
    </w:p>
    <w:p w14:paraId="34DD99D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w:t>
      </w:r>
    </w:p>
    <w:p w14:paraId="34DD99E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(neoplasm OR "solid tumor" OR carcinoma) AND ("microsatellite instability" OR MSI-H OR dMMR OR "mismatch repair deficiency" OR "tumor mutational burden" OR TMB OR hypermutated OR NTRK OR "TRK fusion" OR "BRAF V600" OR HER2 OR ERBB2 OR "HER2-low") AND (pembrolizumab OR dostarlimab OR nivolumab OR ipilimumab OR larotrectinib OR entrectinib OR selitrectinib OR repotrectinib OR encorafenib OR binimetinib OR cetuximab OR dabrafenib OR trametinib OR vemurafenib OR "trastuzumab deruxtecan" OR T-DXd OR "trastuzumab</w:t>
      </w:r>
      <w:r>
        <w:rPr>
          <w:rFonts w:asciiTheme="majorBidi" w:hAnsiTheme="majorBidi" w:cstheme="majorBidi"/>
          <w:sz w:val="20"/>
          <w:szCs w:val="20"/>
        </w:rPr>
        <w:t xml:space="preserve"> emtansine" OR T-DM1)</w:t>
      </w:r>
    </w:p>
    <w:p w14:paraId="34DD99E1"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E2"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Semantic Scholar</w:t>
      </w:r>
    </w:p>
    <w:p w14:paraId="34DD99E3"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 Platform: Semantic Scholar </w:t>
      </w:r>
    </w:p>
    <w:p w14:paraId="34DD99E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E5"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Keyword-based; no language limits</w:t>
      </w:r>
    </w:p>
    <w:p w14:paraId="34DD99E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w:t>
      </w:r>
    </w:p>
    <w:p w14:paraId="34DD99E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("solid tumor" OR neoplasm OR carcinoma) AND ("microsatellite instability" OR MSI-H OR dMMR OR "mismatch repair deficiency" OR "tumor mutational burden" OR TMB OR hypermutated OR NTRK OR "TRK fusion" OR "BRAF V600" OR HER2 OR ERBB2 OR "HER2-low") AND ("pembrolizumab" OR "dostarlimab" OR "nivolumab" OR "ipilimumab" OR "larotrectinib" OR "entrectinib" OR "selitrectinib" OR "repotrectinib" OR "encorafenib" OR "binimetinib" OR "cetuximab" OR "dabrafenib" OR "trametinib" OR "trastuzumab deruxtecan" OR "T-DXd" OR</w:t>
      </w:r>
      <w:r>
        <w:rPr>
          <w:rFonts w:asciiTheme="majorBidi" w:hAnsiTheme="majorBidi" w:cstheme="majorBidi"/>
          <w:sz w:val="20"/>
          <w:szCs w:val="20"/>
        </w:rPr>
        <w:t xml:space="preserve"> "trastuzumab emtansine" OR "T-DM1") AND (randomized OR trial OR cohort OR "case-control" OR comparative) </w:t>
      </w:r>
    </w:p>
    <w:p w14:paraId="34DD99E8"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532562A8" w14:textId="77777777" w:rsidR="00245D71" w:rsidRDefault="00245D71">
      <w:pPr>
        <w:spacing w:beforeLines="0" w:before="100" w:beforeAutospacing="1" w:afterLines="0" w:after="100" w:afterAutospacing="1"/>
        <w:ind w:firstLine="0"/>
        <w:rPr>
          <w:rFonts w:asciiTheme="majorBidi" w:hAnsiTheme="majorBidi" w:cstheme="majorBidi"/>
          <w:sz w:val="20"/>
          <w:szCs w:val="20"/>
        </w:rPr>
      </w:pPr>
    </w:p>
    <w:p w14:paraId="34DD99E9"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lastRenderedPageBreak/>
        <w:t>- LENS.org (Scholarly Works)</w:t>
      </w:r>
    </w:p>
    <w:p w14:paraId="34DD99EA"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Platform: LENS.org (Scholarly Works)</w:t>
      </w:r>
    </w:p>
    <w:p w14:paraId="34DD99E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Coverage window: All years to 2025-10-21</w:t>
      </w:r>
    </w:p>
    <w:p w14:paraId="34DD99E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Filters/limits: Scholarly works; keyword-based search; no language limits</w:t>
      </w:r>
    </w:p>
    <w:p w14:paraId="34DD99E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Verbatim query:</w:t>
      </w:r>
    </w:p>
    <w:p w14:paraId="34DD99E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(neoplasm OR "solid tumor" OR carcinoma) AND ("microsatellite instability" OR MSI-H OR dMMR OR "mismatch repair deficiency" OR "tumor mutational burden" OR TMB OR hypermutated OR NTRK OR "TRK fusion" OR "BRAF V600" OR HER2 OR ERBB2 OR "HER2-low") AND (pembrolizumab OR dostarlimab OR nivolumab OR ipilimumab  OR larotrectinib OR entrectinib OR selitrectinib OR repotrectinib  OR encorafenib OR binimetinib OR cetuximab OR dabrafenib OR trametinib OR vemurafenib  OR "trastuzumab deruxtecan" OR T-DXd OR "trastuzu</w:t>
      </w:r>
      <w:r>
        <w:rPr>
          <w:rFonts w:asciiTheme="majorBidi" w:hAnsiTheme="majorBidi" w:cstheme="majorBidi"/>
          <w:sz w:val="20"/>
          <w:szCs w:val="20"/>
        </w:rPr>
        <w:t xml:space="preserve">mab emtansine" OR T-DM1) AND (randomized OR trial OR cohort OR "case-control" OR comparative OR controlled) </w:t>
      </w:r>
    </w:p>
    <w:p w14:paraId="34DD99EF"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F0"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Peer review of the search (PRESS) was completed on June 10, 2025, by a health sciences information specialist. Revisions included the addition of HER2-low terminology and ERBB2 synonyms such as “HER2-low” and “ERBB2,” the inclusion of next-generation TRK inhibitors like selitrectinib and repotrectinib, and expanded TMB-related synonyms like “hypermutated.” Field tags were corrected, examples include PubMed [Mesh], [tiab]; Scopus TITLE-ABS-KEY; and Web of Science TS=. Proximity operators in Web of Science (N</w:t>
      </w:r>
      <w:r>
        <w:rPr>
          <w:rFonts w:asciiTheme="majorBidi" w:hAnsiTheme="majorBidi" w:cstheme="majorBidi"/>
          <w:sz w:val="20"/>
          <w:szCs w:val="20"/>
        </w:rPr>
        <w:t xml:space="preserve">EAR/x) and Scopus (W/n) were refined for better precision. </w:t>
      </w:r>
    </w:p>
    <w:p w14:paraId="34DD99F1"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F2"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The search strategy emphasized including trial- and observational-comparative terms to increase precision while maintaining recall; single-arm evidence was not excluded. Queries jointly captured biomarkers and agents such as PD-1 inhibitors (pembrolizumab, dostarlimab, nivolumab, ipilimumab) for MSI-H/dMMR and TMB-high, TRK inhibitors (larotrectinib, entrectinib; additionally, selitrectinib and repotrectinib in resistance contexts), BRAF-directed regimens (encorafenib with or without cetuximab and chemother</w:t>
      </w:r>
      <w:r>
        <w:rPr>
          <w:rFonts w:asciiTheme="majorBidi" w:hAnsiTheme="majorBidi" w:cstheme="majorBidi"/>
          <w:sz w:val="20"/>
          <w:szCs w:val="20"/>
        </w:rPr>
        <w:t xml:space="preserve">apy; dabrafenib plus trametinib; vemurafenib), and HER2-targeted antibody-drug conjugates like trastuzumab deruxtecan, including HER2-low. </w:t>
      </w:r>
    </w:p>
    <w:p w14:paraId="34DD99F3"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F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The date limits were uniformly applied across bibliographic databases. No language restrictions were imposed during searching; translation was performed when feasible. Broad condition terms such as “neoplasm” and “solid tumor” were combined with biomarker and agent keywords in registry searches, encompassing interventional and observational studies across all recruitment statuses. Grey literature sources were accessed via site-restricted queries to ensure retrieval from meeting libraries; these </w:t>
      </w:r>
      <w:r>
        <w:rPr>
          <w:rFonts w:asciiTheme="majorBidi" w:hAnsiTheme="majorBidi" w:cstheme="majorBidi"/>
          <w:sz w:val="20"/>
          <w:szCs w:val="20"/>
        </w:rPr>
        <w:lastRenderedPageBreak/>
        <w:t xml:space="preserve">strategies are documented to ensure reproducibility. Deduplication was performed using EndNote and Rayyan, applying exact and fuzzy matching on titles, authors, DOI/registry IDs, years, and sources; near-duplicates were verified manually. </w:t>
      </w:r>
    </w:p>
    <w:p w14:paraId="34DD99F5"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F6"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Limitations included challenges with Google Scholar reproducibility, mitigated through documented date stamps and query strings, primarily used for targeted citation checks and screening the first 1000 results. Resource constraints prevented systematic searches of regional databases like CNKI, acknowledging potential language bias in the manuscript. Embase was not systematically searched; however, coverage was partially addressed via Scopus and Web of Science.</w:t>
      </w:r>
    </w:p>
    <w:p w14:paraId="34DD99F7"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F8"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4. Date stamps and update procedures</w:t>
      </w:r>
    </w:p>
    <w:p w14:paraId="34DD99F9"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Final comprehensive database searches were completed by October 20, 2025, including MEDLINE, CENTRAL, Web of Science, and Scopus. Registries and grey literature sources, including ClinicalTrials.gov, EU CTR, WHO ICTRP, conferences, preprint servers, and grey literature platforms, were searched by October 21, 2025. The analysis lock was also set on October 21, 2025. Weekly monitoring of key biomarker-agent pairs will continue until the analysis lock. </w:t>
      </w:r>
    </w:p>
    <w:p w14:paraId="34DD99FA"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9FB"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5. Record yields by source (searches through 2025-10-21)</w:t>
      </w:r>
    </w:p>
    <w:p w14:paraId="34DD99F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The sources and screening process for the collected records from MEDLINE via PubMed yielded 1,839 records from 2000 to the search date, focusing on human studies published since January 1, 2000. Cochrane CENTRAL contributed 1,517 trial records from inception to the search date. The Web of Science Core Collection provided 3,993 records, including SCI-EXPANDED, SSCI, and ESCI documents from 2000 onward. Scopus added 5,903 records, covering Articles, Articles in Press, and Conference Papers from 2000 onward. O</w:t>
      </w:r>
      <w:r>
        <w:rPr>
          <w:rFonts w:asciiTheme="majorBidi" w:hAnsiTheme="majorBidi" w:cstheme="majorBidi"/>
          <w:sz w:val="20"/>
          <w:szCs w:val="20"/>
        </w:rPr>
        <w:t>penAlex retrieved 1,545 journal articles published between 2000 and October 20, 2025. ClinicalTrials.gov listed 91 records, including interventional and observational studies, with recruitment and results data, across all age groups. EU CTR supplied 85 records, emphasizing Phase II-III trials with various recruitment statuses. WHO ICTRP presented 42 records from its aggregated search. The ASCO Annual Meeting contributed 385 records from 2015 to 2025, while ESMO and AACR contributed 125 and 726 records, resp</w:t>
      </w:r>
      <w:r>
        <w:rPr>
          <w:rFonts w:asciiTheme="majorBidi" w:hAnsiTheme="majorBidi" w:cstheme="majorBidi"/>
          <w:sz w:val="20"/>
          <w:szCs w:val="20"/>
        </w:rPr>
        <w:t>ectively, from the same period. MedRxiv yielded 28 records, and bioRxiv listed 112, both from inception to the search date. ProQuest returned 52,102 records using broad keywords and proximity filters across all years. Google Scholar and CrossRef provided the first 1,000 records each, screened for relevance. Semantic Scholar contributed 2,678 records focused on keyword-based comparative studies, and LENS.org contributed 44,054 records from scholarly works. In total, 117,225 records were identified across all</w:t>
      </w:r>
      <w:r>
        <w:rPr>
          <w:rFonts w:asciiTheme="majorBidi" w:hAnsiTheme="majorBidi" w:cstheme="majorBidi"/>
          <w:sz w:val="20"/>
          <w:szCs w:val="20"/>
        </w:rPr>
        <w:t xml:space="preserve"> sources. Before screening, 35,249 duplicates were removed, leaving 81,976 records. Titles and abstracts were screened, with 1,511 identified as potentially eligible for full-text review. Four records were not retrieved, and 1,507 full texts were assessed. Exclusions at this stage totaled 1,469, resulting in 38 studies included in the review.</w:t>
      </w:r>
    </w:p>
    <w:p w14:paraId="34DD99FD" w14:textId="77777777" w:rsidR="00872A7E" w:rsidRDefault="00872A7E">
      <w:pPr>
        <w:spacing w:beforeLines="0" w:before="100" w:beforeAutospacing="1" w:afterLines="0" w:after="100" w:afterAutospacing="1"/>
        <w:rPr>
          <w:rFonts w:asciiTheme="majorBidi" w:hAnsiTheme="majorBidi" w:cstheme="majorBidi"/>
          <w:sz w:val="20"/>
          <w:szCs w:val="20"/>
        </w:rPr>
      </w:pPr>
    </w:p>
    <w:p w14:paraId="1D84F1F4" w14:textId="77777777" w:rsidR="00245D71" w:rsidRDefault="00245D71">
      <w:pPr>
        <w:spacing w:beforeLines="0" w:before="100" w:beforeAutospacing="1" w:afterLines="0" w:after="100" w:afterAutospacing="1"/>
        <w:rPr>
          <w:rFonts w:asciiTheme="majorBidi" w:hAnsiTheme="majorBidi" w:cstheme="majorBidi"/>
          <w:sz w:val="20"/>
          <w:szCs w:val="20"/>
        </w:rPr>
      </w:pPr>
    </w:p>
    <w:p w14:paraId="34DD99FE"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lastRenderedPageBreak/>
        <w:t>Supplementary Table S1. Record Yields by Source (Oct 21, 2025)</w:t>
      </w:r>
    </w:p>
    <w:p w14:paraId="34DD99FF"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4"/>
        <w:gridCol w:w="1590"/>
        <w:gridCol w:w="1341"/>
      </w:tblGrid>
      <w:tr w:rsidR="00872A7E" w14:paraId="34DD9A03" w14:textId="77777777">
        <w:tc>
          <w:tcPr>
            <w:tcW w:w="0" w:type="auto"/>
            <w:tcBorders>
              <w:top w:val="single" w:sz="4" w:space="0" w:color="auto"/>
              <w:bottom w:val="single" w:sz="4" w:space="0" w:color="auto"/>
            </w:tcBorders>
          </w:tcPr>
          <w:p w14:paraId="34DD9A0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Source </w:t>
            </w:r>
          </w:p>
        </w:tc>
        <w:tc>
          <w:tcPr>
            <w:tcW w:w="0" w:type="auto"/>
            <w:tcBorders>
              <w:top w:val="single" w:sz="4" w:space="0" w:color="auto"/>
              <w:bottom w:val="single" w:sz="4" w:space="0" w:color="auto"/>
            </w:tcBorders>
          </w:tcPr>
          <w:p w14:paraId="34DD9A0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Platform </w:t>
            </w:r>
          </w:p>
        </w:tc>
        <w:tc>
          <w:tcPr>
            <w:tcW w:w="0" w:type="auto"/>
            <w:tcBorders>
              <w:top w:val="single" w:sz="4" w:space="0" w:color="auto"/>
              <w:bottom w:val="single" w:sz="4" w:space="0" w:color="auto"/>
            </w:tcBorders>
          </w:tcPr>
          <w:p w14:paraId="34DD9A02"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Records Yielded </w:t>
            </w:r>
          </w:p>
        </w:tc>
      </w:tr>
      <w:tr w:rsidR="00872A7E" w14:paraId="34DD9A07" w14:textId="77777777">
        <w:tc>
          <w:tcPr>
            <w:tcW w:w="0" w:type="auto"/>
          </w:tcPr>
          <w:p w14:paraId="34DD9A0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MEDLINE </w:t>
            </w:r>
          </w:p>
        </w:tc>
        <w:tc>
          <w:tcPr>
            <w:tcW w:w="0" w:type="auto"/>
          </w:tcPr>
          <w:p w14:paraId="34DD9A0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PubMed </w:t>
            </w:r>
          </w:p>
        </w:tc>
        <w:tc>
          <w:tcPr>
            <w:tcW w:w="0" w:type="auto"/>
          </w:tcPr>
          <w:p w14:paraId="34DD9A0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1,839 </w:t>
            </w:r>
          </w:p>
        </w:tc>
      </w:tr>
      <w:tr w:rsidR="00872A7E" w14:paraId="34DD9A0B" w14:textId="77777777">
        <w:tc>
          <w:tcPr>
            <w:tcW w:w="0" w:type="auto"/>
          </w:tcPr>
          <w:p w14:paraId="34DD9A0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CENTRAL </w:t>
            </w:r>
          </w:p>
        </w:tc>
        <w:tc>
          <w:tcPr>
            <w:tcW w:w="0" w:type="auto"/>
          </w:tcPr>
          <w:p w14:paraId="34DD9A0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Cochrane Library </w:t>
            </w:r>
          </w:p>
        </w:tc>
        <w:tc>
          <w:tcPr>
            <w:tcW w:w="0" w:type="auto"/>
          </w:tcPr>
          <w:p w14:paraId="34DD9A0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1,517 </w:t>
            </w:r>
          </w:p>
        </w:tc>
      </w:tr>
      <w:tr w:rsidR="00872A7E" w14:paraId="34DD9A0F" w14:textId="77777777">
        <w:tc>
          <w:tcPr>
            <w:tcW w:w="0" w:type="auto"/>
          </w:tcPr>
          <w:p w14:paraId="34DD9A0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Web of Science </w:t>
            </w:r>
          </w:p>
        </w:tc>
        <w:tc>
          <w:tcPr>
            <w:tcW w:w="0" w:type="auto"/>
          </w:tcPr>
          <w:p w14:paraId="34DD9A0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Core Collection </w:t>
            </w:r>
          </w:p>
        </w:tc>
        <w:tc>
          <w:tcPr>
            <w:tcW w:w="0" w:type="auto"/>
          </w:tcPr>
          <w:p w14:paraId="34DD9A0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3,993 </w:t>
            </w:r>
          </w:p>
        </w:tc>
      </w:tr>
      <w:tr w:rsidR="00872A7E" w14:paraId="34DD9A13" w14:textId="77777777">
        <w:tc>
          <w:tcPr>
            <w:tcW w:w="0" w:type="auto"/>
          </w:tcPr>
          <w:p w14:paraId="34DD9A1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Scopus </w:t>
            </w:r>
          </w:p>
        </w:tc>
        <w:tc>
          <w:tcPr>
            <w:tcW w:w="0" w:type="auto"/>
          </w:tcPr>
          <w:p w14:paraId="34DD9A1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Elsevier </w:t>
            </w:r>
          </w:p>
        </w:tc>
        <w:tc>
          <w:tcPr>
            <w:tcW w:w="0" w:type="auto"/>
          </w:tcPr>
          <w:p w14:paraId="34DD9A1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5,903 </w:t>
            </w:r>
          </w:p>
        </w:tc>
      </w:tr>
      <w:tr w:rsidR="00872A7E" w14:paraId="34DD9A17" w14:textId="77777777">
        <w:tc>
          <w:tcPr>
            <w:tcW w:w="0" w:type="auto"/>
          </w:tcPr>
          <w:p w14:paraId="34DD9A1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OpenAlex </w:t>
            </w:r>
          </w:p>
        </w:tc>
        <w:tc>
          <w:tcPr>
            <w:tcW w:w="0" w:type="auto"/>
          </w:tcPr>
          <w:p w14:paraId="34DD9A1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OpenAlex </w:t>
            </w:r>
          </w:p>
        </w:tc>
        <w:tc>
          <w:tcPr>
            <w:tcW w:w="0" w:type="auto"/>
          </w:tcPr>
          <w:p w14:paraId="34DD9A1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1,545 </w:t>
            </w:r>
          </w:p>
        </w:tc>
      </w:tr>
      <w:tr w:rsidR="00872A7E" w14:paraId="34DD9A1B" w14:textId="77777777">
        <w:tc>
          <w:tcPr>
            <w:tcW w:w="0" w:type="auto"/>
          </w:tcPr>
          <w:p w14:paraId="34DD9A1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Grey Literature </w:t>
            </w:r>
          </w:p>
        </w:tc>
        <w:tc>
          <w:tcPr>
            <w:tcW w:w="0" w:type="auto"/>
          </w:tcPr>
          <w:p w14:paraId="34DD9A1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ProQuest / LENS.org </w:t>
            </w:r>
          </w:p>
        </w:tc>
        <w:tc>
          <w:tcPr>
            <w:tcW w:w="0" w:type="auto"/>
          </w:tcPr>
          <w:p w14:paraId="34DD9A1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96,156 </w:t>
            </w:r>
          </w:p>
        </w:tc>
      </w:tr>
      <w:tr w:rsidR="00872A7E" w14:paraId="34DD9A1F" w14:textId="77777777">
        <w:tc>
          <w:tcPr>
            <w:tcW w:w="0" w:type="auto"/>
          </w:tcPr>
          <w:p w14:paraId="34DD9A1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Registries </w:t>
            </w:r>
          </w:p>
        </w:tc>
        <w:tc>
          <w:tcPr>
            <w:tcW w:w="0" w:type="auto"/>
          </w:tcPr>
          <w:p w14:paraId="34DD9A1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CT.gov / EU CTR </w:t>
            </w:r>
          </w:p>
        </w:tc>
        <w:tc>
          <w:tcPr>
            <w:tcW w:w="0" w:type="auto"/>
          </w:tcPr>
          <w:p w14:paraId="34DD9A1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218 </w:t>
            </w:r>
          </w:p>
        </w:tc>
      </w:tr>
      <w:tr w:rsidR="00872A7E" w14:paraId="34DD9A23" w14:textId="77777777">
        <w:tc>
          <w:tcPr>
            <w:tcW w:w="0" w:type="auto"/>
          </w:tcPr>
          <w:p w14:paraId="34DD9A2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Conferences </w:t>
            </w:r>
          </w:p>
        </w:tc>
        <w:tc>
          <w:tcPr>
            <w:tcW w:w="0" w:type="auto"/>
          </w:tcPr>
          <w:p w14:paraId="34DD9A2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ASCO / ESMO </w:t>
            </w:r>
          </w:p>
        </w:tc>
        <w:tc>
          <w:tcPr>
            <w:tcW w:w="0" w:type="auto"/>
          </w:tcPr>
          <w:p w14:paraId="34DD9A2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1,236 </w:t>
            </w:r>
          </w:p>
        </w:tc>
      </w:tr>
      <w:tr w:rsidR="00872A7E" w14:paraId="34DD9A27" w14:textId="77777777">
        <w:tc>
          <w:tcPr>
            <w:tcW w:w="0" w:type="auto"/>
          </w:tcPr>
          <w:p w14:paraId="34DD9A2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TOTAL </w:t>
            </w:r>
          </w:p>
        </w:tc>
        <w:tc>
          <w:tcPr>
            <w:tcW w:w="0" w:type="auto"/>
          </w:tcPr>
          <w:p w14:paraId="34DD9A25" w14:textId="77777777" w:rsidR="00872A7E" w:rsidRDefault="00872A7E">
            <w:pPr>
              <w:spacing w:before="96" w:after="96"/>
              <w:ind w:firstLine="0"/>
              <w:rPr>
                <w:rFonts w:asciiTheme="majorBidi" w:hAnsiTheme="majorBidi" w:cstheme="majorBidi"/>
                <w:sz w:val="16"/>
                <w:szCs w:val="16"/>
              </w:rPr>
            </w:pPr>
          </w:p>
        </w:tc>
        <w:tc>
          <w:tcPr>
            <w:tcW w:w="0" w:type="auto"/>
          </w:tcPr>
          <w:p w14:paraId="34DD9A2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117,225 </w:t>
            </w:r>
          </w:p>
        </w:tc>
      </w:tr>
    </w:tbl>
    <w:p w14:paraId="34DD9A2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ASCO, American Society of Clinical Oncology; CT.gov, ClinicalTrials.gov; ESMO, European Society for Medical Oncology; EU CTR, EU Clinical Trials Register.</w:t>
      </w:r>
    </w:p>
    <w:p w14:paraId="34DD9A29"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2A"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6- Deduplication, consolidation, and audit trail</w:t>
      </w:r>
    </w:p>
    <w:p w14:paraId="34DD9A2B"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The software and workflow employed involved the sequential use of EndNote and Rayyan, followed by manual verification to identify near-duplicates and to perform series-level consolidations. Matching logic included exact matches based on title, first author, DOI or registry identifier, publication year, and source database or platform. Fuzzy matching techniques, such as Levenshtein distance on titles and author-string similarity, were applied to identify near-duplicates, along with considerations of variant </w:t>
      </w:r>
      <w:r>
        <w:rPr>
          <w:rFonts w:asciiTheme="majorBidi" w:hAnsiTheme="majorBidi" w:cstheme="majorBidi"/>
          <w:sz w:val="20"/>
          <w:szCs w:val="20"/>
        </w:rPr>
        <w:t>DOIs (e.g., early-access versus version-of-record), conference abstracts versus journal articles, and registry records linked to publications.</w:t>
      </w:r>
    </w:p>
    <w:p w14:paraId="34DD9A2C"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2D"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For multi-source consolidation, registry-to-publication mappings used NCT and EudraCT identifiers linked to journal articles. Preference was given to the most complete, peer-reviewed report for each outcome and time point, with interim analyses retained only when final reports did not supersede them. In cases of multiple reports and overlapping cohorts, the largest and least biased dataset was chosen, including multiple reports from a common registry that spanned distinct time periods or sites. Harmonizatio</w:t>
      </w:r>
      <w:r>
        <w:rPr>
          <w:rFonts w:asciiTheme="majorBidi" w:hAnsiTheme="majorBidi" w:cstheme="majorBidi"/>
          <w:sz w:val="20"/>
          <w:szCs w:val="20"/>
        </w:rPr>
        <w:t>n of ahead-of-print versions and version-of-record content ensured the latter replaced early-access data, with citation corrections and errata flagged accordingly.</w:t>
      </w:r>
    </w:p>
    <w:p w14:paraId="34DD9A2E"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2F"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Regarding counts reconciliation and documentation, deduplication reduced the initial 117,225 records to 81,976 unique items before screening. PRISMA flow counts and source-specific yields were documented contemporaneously in search spreadsheets. </w:t>
      </w:r>
    </w:p>
    <w:p w14:paraId="34DD9A30"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3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Quality control measures included random audits of deduplication sets to verify the removal of true duplicates and ensure </w:t>
      </w:r>
      <w:proofErr w:type="gramStart"/>
      <w:r>
        <w:rPr>
          <w:rFonts w:asciiTheme="majorBidi" w:hAnsiTheme="majorBidi" w:cstheme="majorBidi"/>
          <w:sz w:val="20"/>
          <w:szCs w:val="20"/>
        </w:rPr>
        <w:t>near-duplicates</w:t>
      </w:r>
      <w:proofErr w:type="gramEnd"/>
      <w:r>
        <w:rPr>
          <w:rFonts w:asciiTheme="majorBidi" w:hAnsiTheme="majorBidi" w:cstheme="majorBidi"/>
          <w:sz w:val="20"/>
          <w:szCs w:val="20"/>
        </w:rPr>
        <w:t xml:space="preserve"> were retained only when genuinely distinct. Trial registry entries were cross-verified with publication metadata to prevent double-counting across different sources.</w:t>
      </w:r>
    </w:p>
    <w:p w14:paraId="34DD9A32"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33"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 xml:space="preserve">7- Deviations and </w:t>
      </w:r>
      <w:r>
        <w:rPr>
          <w:rFonts w:asciiTheme="majorBidi" w:hAnsiTheme="majorBidi" w:cstheme="majorBidi"/>
          <w:b/>
          <w:bCs/>
          <w:sz w:val="20"/>
          <w:szCs w:val="20"/>
          <w:cs/>
        </w:rPr>
        <w:t>‎</w:t>
      </w:r>
      <w:r>
        <w:rPr>
          <w:rFonts w:asciiTheme="majorBidi" w:hAnsiTheme="majorBidi" w:cstheme="majorBidi"/>
          <w:b/>
          <w:bCs/>
          <w:sz w:val="20"/>
          <w:szCs w:val="20"/>
          <w:rtl/>
          <w:cs/>
        </w:rPr>
        <w:t xml:space="preserve"> </w:t>
      </w:r>
      <w:r>
        <w:rPr>
          <w:rFonts w:asciiTheme="majorBidi" w:hAnsiTheme="majorBidi" w:cstheme="majorBidi"/>
          <w:b/>
          <w:bCs/>
          <w:sz w:val="20"/>
          <w:szCs w:val="20"/>
        </w:rPr>
        <w:t>limitations</w:t>
      </w:r>
    </w:p>
    <w:p w14:paraId="34DD9A3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There were no significant deviations from the original protocol. Minor changes were made before screening, such as adding HER2-low/ERBB2 terminology and including OpenAlex to enhance citation discovery; these adjustments are recorded in the protocol amendment log. Limitations include that Google Scholar retrieval is not fully reproducible, as it was used for targeted forward citation checks with recorded query strings and timestamps. Also, comprehensive searches of regional databases like CNKI were not cond</w:t>
      </w:r>
      <w:r>
        <w:rPr>
          <w:rFonts w:asciiTheme="majorBidi" w:hAnsiTheme="majorBidi" w:cstheme="majorBidi"/>
          <w:sz w:val="20"/>
          <w:szCs w:val="20"/>
        </w:rPr>
        <w:t xml:space="preserve">ucted due to resource constraints, which may slightly increase the risk of language bias. </w:t>
      </w:r>
    </w:p>
    <w:p w14:paraId="34DD9A35"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36"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b/>
          <w:bCs/>
          <w:sz w:val="20"/>
          <w:szCs w:val="20"/>
        </w:rPr>
        <w:t>8- Good practice and alignment with reporting standards</w:t>
      </w:r>
    </w:p>
    <w:p w14:paraId="34DD9A37" w14:textId="77777777" w:rsidR="00872A7E" w:rsidRDefault="00037403">
      <w:pPr>
        <w:spacing w:beforeLines="0" w:before="100" w:beforeAutospacing="1" w:afterLines="0" w:after="100" w:afterAutospacing="1"/>
        <w:rPr>
          <w:rFonts w:asciiTheme="majorBidi" w:hAnsiTheme="majorBidi" w:cstheme="majorBidi"/>
          <w:b/>
          <w:bCs/>
          <w:sz w:val="20"/>
          <w:szCs w:val="20"/>
        </w:rPr>
      </w:pPr>
      <w:r>
        <w:rPr>
          <w:rFonts w:asciiTheme="majorBidi" w:hAnsiTheme="majorBidi" w:cstheme="majorBidi"/>
          <w:sz w:val="20"/>
          <w:szCs w:val="20"/>
        </w:rPr>
        <w:t>The search and documentation processes strictly adhered to PRISMA 2020 and PRISMA-S guidelines, ensuring they were tailored to the specific clinical question to retrieve comparative studies across different histologies effectively. The development of the search strategy followed established standards set by Cochrane and MECIR, including searches of registries and grey literature to reduce publication and reporting bias. Weekly alerts were maintained continuously until the analysis was finalized.</w:t>
      </w:r>
      <w:r>
        <w:rPr>
          <w:rFonts w:asciiTheme="majorBidi" w:hAnsiTheme="majorBidi" w:cstheme="majorBidi"/>
          <w:sz w:val="20"/>
          <w:szCs w:val="20"/>
        </w:rPr>
        <w:br/>
      </w:r>
      <w:r>
        <w:rPr>
          <w:rFonts w:asciiTheme="majorBidi" w:hAnsiTheme="majorBidi" w:cstheme="majorBidi"/>
          <w:sz w:val="20"/>
          <w:szCs w:val="20"/>
        </w:rPr>
        <w:br/>
      </w:r>
      <w:r>
        <w:rPr>
          <w:rFonts w:asciiTheme="majorBidi" w:hAnsiTheme="majorBidi" w:cstheme="majorBidi"/>
          <w:b/>
          <w:bCs/>
          <w:sz w:val="20"/>
          <w:szCs w:val="20"/>
          <w:cs/>
        </w:rPr>
        <w:t>‎</w:t>
      </w:r>
    </w:p>
    <w:p w14:paraId="34DD9A38"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S2. Full-Text Exclusions</w:t>
      </w:r>
    </w:p>
    <w:p w14:paraId="34DD9A39" w14:textId="77777777" w:rsidR="00872A7E" w:rsidRDefault="00872A7E">
      <w:pPr>
        <w:spacing w:before="96" w:after="96"/>
        <w:ind w:firstLine="0"/>
        <w:rPr>
          <w:rFonts w:asciiTheme="majorBidi" w:hAnsiTheme="majorBidi" w:cstheme="majorBidi"/>
          <w:b/>
          <w:bCs/>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541"/>
        <w:gridCol w:w="2363"/>
      </w:tblGrid>
      <w:tr w:rsidR="00872A7E" w14:paraId="34DD9A3D" w14:textId="77777777">
        <w:tc>
          <w:tcPr>
            <w:tcW w:w="0" w:type="auto"/>
            <w:tcBorders>
              <w:top w:val="single" w:sz="4" w:space="0" w:color="auto"/>
              <w:bottom w:val="single" w:sz="4" w:space="0" w:color="auto"/>
            </w:tcBorders>
          </w:tcPr>
          <w:p w14:paraId="34DD9A3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Exclusion Category </w:t>
            </w:r>
          </w:p>
        </w:tc>
        <w:tc>
          <w:tcPr>
            <w:tcW w:w="0" w:type="auto"/>
            <w:tcBorders>
              <w:top w:val="single" w:sz="4" w:space="0" w:color="auto"/>
              <w:bottom w:val="single" w:sz="4" w:space="0" w:color="auto"/>
            </w:tcBorders>
          </w:tcPr>
          <w:p w14:paraId="34DD9A3B"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Number of Reports </w:t>
            </w:r>
          </w:p>
        </w:tc>
        <w:tc>
          <w:tcPr>
            <w:tcW w:w="0" w:type="auto"/>
            <w:tcBorders>
              <w:top w:val="single" w:sz="4" w:space="0" w:color="auto"/>
              <w:bottom w:val="single" w:sz="4" w:space="0" w:color="auto"/>
            </w:tcBorders>
          </w:tcPr>
          <w:p w14:paraId="34DD9A3C"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Primary Reason </w:t>
            </w:r>
          </w:p>
        </w:tc>
      </w:tr>
      <w:tr w:rsidR="00872A7E" w14:paraId="34DD9A41" w14:textId="77777777">
        <w:tc>
          <w:tcPr>
            <w:tcW w:w="0" w:type="auto"/>
          </w:tcPr>
          <w:p w14:paraId="34DD9A3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Grey Literature / No Outcomes </w:t>
            </w:r>
          </w:p>
        </w:tc>
        <w:tc>
          <w:tcPr>
            <w:tcW w:w="0" w:type="auto"/>
          </w:tcPr>
          <w:p w14:paraId="34DD9A3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194 </w:t>
            </w:r>
          </w:p>
        </w:tc>
        <w:tc>
          <w:tcPr>
            <w:tcW w:w="0" w:type="auto"/>
          </w:tcPr>
          <w:p w14:paraId="34DD9A4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Protocols, news, no data </w:t>
            </w:r>
          </w:p>
        </w:tc>
      </w:tr>
      <w:tr w:rsidR="00872A7E" w14:paraId="34DD9A45" w14:textId="77777777">
        <w:tc>
          <w:tcPr>
            <w:tcW w:w="0" w:type="auto"/>
          </w:tcPr>
          <w:p w14:paraId="34DD9A4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Non-Comparative </w:t>
            </w:r>
          </w:p>
        </w:tc>
        <w:tc>
          <w:tcPr>
            <w:tcW w:w="0" w:type="auto"/>
          </w:tcPr>
          <w:p w14:paraId="34DD9A4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230 </w:t>
            </w:r>
          </w:p>
        </w:tc>
        <w:tc>
          <w:tcPr>
            <w:tcW w:w="0" w:type="auto"/>
          </w:tcPr>
          <w:p w14:paraId="34DD9A4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Single-arm, case series </w:t>
            </w:r>
          </w:p>
        </w:tc>
      </w:tr>
      <w:tr w:rsidR="00872A7E" w14:paraId="34DD9A49" w14:textId="77777777">
        <w:tc>
          <w:tcPr>
            <w:tcW w:w="0" w:type="auto"/>
          </w:tcPr>
          <w:p w14:paraId="34DD9A4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lastRenderedPageBreak/>
              <w:t xml:space="preserve">Non-Clinical </w:t>
            </w:r>
          </w:p>
        </w:tc>
        <w:tc>
          <w:tcPr>
            <w:tcW w:w="0" w:type="auto"/>
          </w:tcPr>
          <w:p w14:paraId="34DD9A4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286 </w:t>
            </w:r>
          </w:p>
        </w:tc>
        <w:tc>
          <w:tcPr>
            <w:tcW w:w="0" w:type="auto"/>
          </w:tcPr>
          <w:p w14:paraId="34DD9A4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Preclinical, </w:t>
            </w:r>
            <w:r>
              <w:rPr>
                <w:rFonts w:asciiTheme="majorBidi" w:hAnsiTheme="majorBidi" w:cstheme="majorBidi"/>
                <w:i/>
                <w:iCs/>
                <w:sz w:val="16"/>
                <w:szCs w:val="16"/>
              </w:rPr>
              <w:t xml:space="preserve">in vitro </w:t>
            </w:r>
          </w:p>
        </w:tc>
      </w:tr>
      <w:tr w:rsidR="00872A7E" w14:paraId="34DD9A4D" w14:textId="77777777">
        <w:tc>
          <w:tcPr>
            <w:tcW w:w="0" w:type="auto"/>
          </w:tcPr>
          <w:p w14:paraId="34DD9A4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Secondary Research </w:t>
            </w:r>
          </w:p>
        </w:tc>
        <w:tc>
          <w:tcPr>
            <w:tcW w:w="0" w:type="auto"/>
          </w:tcPr>
          <w:p w14:paraId="34DD9A4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86 </w:t>
            </w:r>
          </w:p>
        </w:tc>
        <w:tc>
          <w:tcPr>
            <w:tcW w:w="0" w:type="auto"/>
          </w:tcPr>
          <w:p w14:paraId="34DD9A4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Reviews without new data </w:t>
            </w:r>
          </w:p>
        </w:tc>
      </w:tr>
      <w:tr w:rsidR="00872A7E" w14:paraId="34DD9A51" w14:textId="77777777">
        <w:tc>
          <w:tcPr>
            <w:tcW w:w="0" w:type="auto"/>
          </w:tcPr>
          <w:p w14:paraId="34DD9A4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Ineligible Population </w:t>
            </w:r>
          </w:p>
        </w:tc>
        <w:tc>
          <w:tcPr>
            <w:tcW w:w="0" w:type="auto"/>
          </w:tcPr>
          <w:p w14:paraId="34DD9A4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178 </w:t>
            </w:r>
          </w:p>
        </w:tc>
        <w:tc>
          <w:tcPr>
            <w:tcW w:w="0" w:type="auto"/>
          </w:tcPr>
          <w:p w14:paraId="34DD9A5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Wrong tumor type, pediatric only </w:t>
            </w:r>
          </w:p>
        </w:tc>
      </w:tr>
      <w:tr w:rsidR="00872A7E" w14:paraId="34DD9A55" w14:textId="77777777">
        <w:tc>
          <w:tcPr>
            <w:tcW w:w="0" w:type="auto"/>
          </w:tcPr>
          <w:p w14:paraId="34DD9A5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Ineligible Intervention </w:t>
            </w:r>
          </w:p>
        </w:tc>
        <w:tc>
          <w:tcPr>
            <w:tcW w:w="0" w:type="auto"/>
          </w:tcPr>
          <w:p w14:paraId="34DD9A5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164 </w:t>
            </w:r>
          </w:p>
        </w:tc>
        <w:tc>
          <w:tcPr>
            <w:tcW w:w="0" w:type="auto"/>
          </w:tcPr>
          <w:p w14:paraId="34DD9A5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Non-biomarker guided </w:t>
            </w:r>
          </w:p>
        </w:tc>
      </w:tr>
      <w:tr w:rsidR="00872A7E" w14:paraId="34DD9A59" w14:textId="77777777">
        <w:tc>
          <w:tcPr>
            <w:tcW w:w="0" w:type="auto"/>
          </w:tcPr>
          <w:p w14:paraId="34DD9A5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Diagnostic Only </w:t>
            </w:r>
          </w:p>
        </w:tc>
        <w:tc>
          <w:tcPr>
            <w:tcW w:w="0" w:type="auto"/>
          </w:tcPr>
          <w:p w14:paraId="34DD9A5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37 </w:t>
            </w:r>
          </w:p>
        </w:tc>
        <w:tc>
          <w:tcPr>
            <w:tcW w:w="0" w:type="auto"/>
          </w:tcPr>
          <w:p w14:paraId="34DD9A5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Assay validation only </w:t>
            </w:r>
          </w:p>
        </w:tc>
      </w:tr>
      <w:tr w:rsidR="00872A7E" w14:paraId="34DD9A5D" w14:textId="77777777">
        <w:tc>
          <w:tcPr>
            <w:tcW w:w="0" w:type="auto"/>
          </w:tcPr>
          <w:p w14:paraId="34DD9A5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Composite / Unspecified </w:t>
            </w:r>
          </w:p>
        </w:tc>
        <w:tc>
          <w:tcPr>
            <w:tcW w:w="0" w:type="auto"/>
          </w:tcPr>
          <w:p w14:paraId="34DD9A5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201 </w:t>
            </w:r>
          </w:p>
        </w:tc>
        <w:tc>
          <w:tcPr>
            <w:tcW w:w="0" w:type="auto"/>
          </w:tcPr>
          <w:p w14:paraId="34DD9A5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Mixed ineligible reasons </w:t>
            </w:r>
          </w:p>
        </w:tc>
      </w:tr>
      <w:tr w:rsidR="00872A7E" w14:paraId="34DD9A61" w14:textId="77777777">
        <w:tc>
          <w:tcPr>
            <w:tcW w:w="0" w:type="auto"/>
          </w:tcPr>
          <w:p w14:paraId="34DD9A5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Not Retrieved </w:t>
            </w:r>
          </w:p>
        </w:tc>
        <w:tc>
          <w:tcPr>
            <w:tcW w:w="0" w:type="auto"/>
          </w:tcPr>
          <w:p w14:paraId="34DD9A5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4 </w:t>
            </w:r>
          </w:p>
        </w:tc>
        <w:tc>
          <w:tcPr>
            <w:tcW w:w="0" w:type="auto"/>
          </w:tcPr>
          <w:p w14:paraId="34DD9A6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Full text unavailable </w:t>
            </w:r>
          </w:p>
        </w:tc>
      </w:tr>
      <w:tr w:rsidR="00872A7E" w14:paraId="34DD9A65" w14:textId="77777777">
        <w:tc>
          <w:tcPr>
            <w:tcW w:w="0" w:type="auto"/>
          </w:tcPr>
          <w:p w14:paraId="34DD9A6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TOTAL EXCLUDED </w:t>
            </w:r>
          </w:p>
        </w:tc>
        <w:tc>
          <w:tcPr>
            <w:tcW w:w="0" w:type="auto"/>
          </w:tcPr>
          <w:p w14:paraId="34DD9A6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1,469 </w:t>
            </w:r>
          </w:p>
        </w:tc>
        <w:tc>
          <w:tcPr>
            <w:tcW w:w="0" w:type="auto"/>
          </w:tcPr>
          <w:p w14:paraId="34DD9A64" w14:textId="77777777" w:rsidR="00872A7E" w:rsidRDefault="00872A7E">
            <w:pPr>
              <w:spacing w:before="96" w:after="96"/>
              <w:ind w:firstLine="0"/>
              <w:rPr>
                <w:rFonts w:asciiTheme="majorBidi" w:hAnsiTheme="majorBidi" w:cstheme="majorBidi"/>
                <w:sz w:val="16"/>
                <w:szCs w:val="16"/>
              </w:rPr>
            </w:pPr>
          </w:p>
        </w:tc>
      </w:tr>
    </w:tbl>
    <w:p w14:paraId="34DD9A66" w14:textId="77777777" w:rsidR="00872A7E" w:rsidRDefault="00872A7E">
      <w:pPr>
        <w:spacing w:beforeLines="0" w:before="100" w:beforeAutospacing="1" w:afterLines="0" w:after="100" w:afterAutospacing="1"/>
        <w:ind w:firstLine="0"/>
        <w:rPr>
          <w:rFonts w:asciiTheme="majorBidi" w:hAnsiTheme="majorBidi" w:cstheme="majorBidi"/>
          <w:b/>
          <w:bCs/>
          <w:sz w:val="20"/>
          <w:szCs w:val="20"/>
        </w:rPr>
      </w:pPr>
    </w:p>
    <w:p w14:paraId="34DD9A67"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xml:space="preserve">Supplementary Methods: </w:t>
      </w:r>
      <w:r>
        <w:rPr>
          <w:rFonts w:asciiTheme="majorBidi" w:hAnsiTheme="majorBidi" w:cstheme="majorBidi"/>
          <w:b/>
          <w:bCs/>
          <w:sz w:val="20"/>
          <w:szCs w:val="20"/>
          <w:cs/>
        </w:rPr>
        <w:t>‎</w:t>
      </w:r>
      <w:r>
        <w:rPr>
          <w:rFonts w:asciiTheme="majorBidi" w:hAnsiTheme="majorBidi" w:cstheme="majorBidi"/>
          <w:b/>
          <w:bCs/>
          <w:sz w:val="20"/>
          <w:szCs w:val="20"/>
        </w:rPr>
        <w:t>Risk of Bias</w:t>
      </w:r>
    </w:p>
    <w:p w14:paraId="34DD9A68"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69"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1. Tools and approach</w:t>
      </w:r>
    </w:p>
    <w:p w14:paraId="34DD9A6A"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We evaluated the risk of bias at the outcome level for all effect estimates incorporated into the quantitative synthesis, including confirmed objective response within 24 weeks, progression-free survival, overall survival, duration of response, grade 3-4 adverse events, and discontinuation due to toxicity. These evaluations were linked to the specific estimand used, such as </w:t>
      </w:r>
      <w:proofErr w:type="gramStart"/>
      <w:r>
        <w:rPr>
          <w:rFonts w:asciiTheme="majorBidi" w:hAnsiTheme="majorBidi" w:cstheme="majorBidi"/>
          <w:sz w:val="20"/>
          <w:szCs w:val="20"/>
        </w:rPr>
        <w:t>blinded</w:t>
      </w:r>
      <w:proofErr w:type="gramEnd"/>
      <w:r>
        <w:rPr>
          <w:rFonts w:asciiTheme="majorBidi" w:hAnsiTheme="majorBidi" w:cstheme="majorBidi"/>
          <w:sz w:val="20"/>
          <w:szCs w:val="20"/>
        </w:rPr>
        <w:t>, independent, central review versus investigator assessment, or intention-to-treat versus per-protocol analyses.</w:t>
      </w:r>
    </w:p>
    <w:p w14:paraId="34DD9A6B"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6C"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For bias assessment, we used RoB 2 for randomized trials and ROBINS-I for nonrandomized comparative studies, including retrospective cohorts, external controls, and matching-adjusted indirect comparisons. The assessment process involved two independent reviewers who performed duplicate evaluations after calibration. Disagreements were resolved through consensus, with senior adjudication when necessary. We utilized protocols, statistical analysis plans, trial registries, and regulatory summaries to verify pr</w:t>
      </w:r>
      <w:r>
        <w:rPr>
          <w:rFonts w:asciiTheme="majorBidi" w:hAnsiTheme="majorBidi" w:cstheme="majorBidi"/>
          <w:sz w:val="20"/>
          <w:szCs w:val="20"/>
        </w:rPr>
        <w:t xml:space="preserve">especified outcomes and identify any selective reporting. </w:t>
      </w:r>
    </w:p>
    <w:p w14:paraId="34DD9A6D"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6E"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lastRenderedPageBreak/>
        <w:t>For analytic integration, studies identified as high- or serious-risk of bias were excluded from prespecified sensitivity analyses. Outcomes classified as having a "critical” ROBINS-I risk were not pooled. Furthermore, risk-of-bias categories were examined as moderators in sensitivity analyses, meta-regression analyses, and GRADE judgments.</w:t>
      </w:r>
    </w:p>
    <w:p w14:paraId="34DD9A6F"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70"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2. Summary of domain-level patterns</w:t>
      </w:r>
    </w:p>
    <w:p w14:paraId="34DD9A7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Randomized trials generally exhibited low risk across various domains. Randomization and allocation procedures were appropriate, with progression-free survival and objective response rate often adjudicated by blinded independent central review. Open-label designs were mitigated by centralized efficacy review. In cases where investigator-assessed PFS was the primary endpoint, such as in DESTINY‑Breast04, we noted some concerns regarding outcome measurement, but this did not affect the overall direction or cl</w:t>
      </w:r>
      <w:r>
        <w:rPr>
          <w:rFonts w:asciiTheme="majorBidi" w:hAnsiTheme="majorBidi" w:cstheme="majorBidi"/>
          <w:sz w:val="20"/>
          <w:szCs w:val="20"/>
        </w:rPr>
        <w:t>inical conclusions. The crossover in KEYNOTE‑177 reduced the observed overall survival differences without biasing the intention-to-treat analysis; we identified some concerns only regarding the interpretability of the OS result, not the overall findings.</w:t>
      </w:r>
    </w:p>
    <w:p w14:paraId="34DD9A72"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73"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Nonrandomized studies typically carry a moderate-to-serious risk of bias, mainly due to residual confounding factors, such as incomplete adjustment for ECOG performance status, disease burden, prior therapies, and molecular markers like PD‑L1, TMB, or co-mutations. Selection bias was also a concern, related to time-zero alignment, immortal time bias, and heterogeneity across trials in matching-adjusted indirect comparisons. While outcome measurement was generally objective and acceptable, the classification</w:t>
      </w:r>
      <w:r>
        <w:rPr>
          <w:rFonts w:asciiTheme="majorBidi" w:hAnsiTheme="majorBidi" w:cstheme="majorBidi"/>
          <w:sz w:val="20"/>
          <w:szCs w:val="20"/>
        </w:rPr>
        <w:t xml:space="preserve"> of exposures was adequate within cohorts but varied across external controls. These results provided context and insights into effect modification but did not primarily drive pooled estimates.</w:t>
      </w:r>
    </w:p>
    <w:p w14:paraId="34DD9A74" w14:textId="77777777" w:rsidR="00872A7E" w:rsidRDefault="00872A7E">
      <w:pPr>
        <w:spacing w:beforeLines="0" w:before="100" w:beforeAutospacing="1" w:afterLines="0" w:after="100" w:afterAutospacing="1"/>
        <w:ind w:firstLine="0"/>
        <w:rPr>
          <w:rFonts w:asciiTheme="majorBidi" w:hAnsiTheme="majorBidi" w:cstheme="majorBidi"/>
          <w:b/>
          <w:bCs/>
          <w:sz w:val="20"/>
          <w:szCs w:val="20"/>
        </w:rPr>
      </w:pPr>
    </w:p>
    <w:p w14:paraId="34DD9A75"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3. Per-study, per‑domain risk-of-bias matrix (concise justifications)</w:t>
      </w:r>
    </w:p>
    <w:p w14:paraId="34DD9A76"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A77"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Supplementary Table S3. Randomized studies (RoB 2) and Nonrandomized studies (ROBINS-I) per-study, per-domain risk-of-bias matrix</w:t>
      </w:r>
    </w:p>
    <w:p w14:paraId="34DD9A78" w14:textId="77777777" w:rsidR="00872A7E" w:rsidRDefault="00872A7E">
      <w:pPr>
        <w:spacing w:beforeLines="0" w:before="100" w:beforeAutospacing="1" w:afterLines="0" w:after="100" w:afterAutospacing="1"/>
        <w:ind w:firstLine="0"/>
        <w:contextualSpacing/>
        <w:rPr>
          <w:rFonts w:asciiTheme="majorBidi" w:hAnsiTheme="majorBidi" w:cstheme="majorBidi"/>
          <w:b/>
          <w:bCs/>
          <w:sz w:val="20"/>
          <w:szCs w:val="20"/>
        </w:rPr>
      </w:pPr>
    </w:p>
    <w:tbl>
      <w:tblPr>
        <w:tblStyle w:val="TableGrid"/>
        <w:tblW w:w="492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0"/>
        <w:gridCol w:w="1162"/>
        <w:gridCol w:w="799"/>
        <w:gridCol w:w="1091"/>
        <w:gridCol w:w="299"/>
        <w:gridCol w:w="1055"/>
        <w:gridCol w:w="201"/>
        <w:gridCol w:w="1148"/>
        <w:gridCol w:w="93"/>
        <w:gridCol w:w="948"/>
        <w:gridCol w:w="250"/>
        <w:gridCol w:w="1038"/>
        <w:gridCol w:w="451"/>
        <w:gridCol w:w="1044"/>
        <w:gridCol w:w="599"/>
        <w:gridCol w:w="456"/>
        <w:gridCol w:w="1626"/>
        <w:gridCol w:w="25"/>
      </w:tblGrid>
      <w:tr w:rsidR="00872A7E" w14:paraId="34DD9A7A" w14:textId="77777777">
        <w:tc>
          <w:tcPr>
            <w:tcW w:w="5000" w:type="pct"/>
            <w:gridSpan w:val="18"/>
            <w:tcBorders>
              <w:top w:val="single" w:sz="4" w:space="0" w:color="auto"/>
              <w:bottom w:val="single" w:sz="4" w:space="0" w:color="auto"/>
            </w:tcBorders>
          </w:tcPr>
          <w:p w14:paraId="34DD9A79" w14:textId="77777777" w:rsidR="00872A7E" w:rsidRDefault="00037403">
            <w:pPr>
              <w:spacing w:beforeLines="0" w:before="100" w:beforeAutospacing="1" w:afterLines="0" w:after="100" w:afterAutospacing="1"/>
              <w:ind w:firstLine="0"/>
              <w:jc w:val="center"/>
              <w:rPr>
                <w:rFonts w:asciiTheme="majorBidi" w:hAnsiTheme="majorBidi" w:cstheme="majorBidi"/>
                <w:b/>
                <w:sz w:val="16"/>
                <w:szCs w:val="16"/>
              </w:rPr>
            </w:pPr>
            <w:r>
              <w:rPr>
                <w:rFonts w:asciiTheme="majorBidi" w:hAnsiTheme="majorBidi" w:cstheme="majorBidi"/>
                <w:b/>
                <w:bCs/>
                <w:sz w:val="20"/>
                <w:szCs w:val="20"/>
              </w:rPr>
              <w:t>Randomized studies (RoB 2)</w:t>
            </w:r>
          </w:p>
        </w:tc>
      </w:tr>
      <w:tr w:rsidR="00872A7E" w14:paraId="34DD9A83" w14:textId="77777777">
        <w:tc>
          <w:tcPr>
            <w:tcW w:w="951" w:type="pct"/>
            <w:gridSpan w:val="2"/>
            <w:tcBorders>
              <w:top w:val="single" w:sz="4" w:space="0" w:color="auto"/>
              <w:bottom w:val="single" w:sz="4" w:space="0" w:color="auto"/>
            </w:tcBorders>
          </w:tcPr>
          <w:p w14:paraId="34DD9A7B"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Study </w:t>
            </w:r>
          </w:p>
        </w:tc>
        <w:tc>
          <w:tcPr>
            <w:tcW w:w="688" w:type="pct"/>
            <w:gridSpan w:val="2"/>
            <w:tcBorders>
              <w:top w:val="single" w:sz="4" w:space="0" w:color="auto"/>
              <w:bottom w:val="single" w:sz="4" w:space="0" w:color="auto"/>
            </w:tcBorders>
          </w:tcPr>
          <w:p w14:paraId="34DD9A7C"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 Outcome focus </w:t>
            </w:r>
          </w:p>
        </w:tc>
        <w:tc>
          <w:tcPr>
            <w:tcW w:w="566" w:type="pct"/>
            <w:gridSpan w:val="3"/>
            <w:tcBorders>
              <w:top w:val="single" w:sz="4" w:space="0" w:color="auto"/>
              <w:bottom w:val="single" w:sz="4" w:space="0" w:color="auto"/>
            </w:tcBorders>
          </w:tcPr>
          <w:p w14:paraId="34DD9A7D"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Randomization </w:t>
            </w:r>
          </w:p>
        </w:tc>
        <w:tc>
          <w:tcPr>
            <w:tcW w:w="418" w:type="pct"/>
            <w:tcBorders>
              <w:top w:val="single" w:sz="4" w:space="0" w:color="auto"/>
              <w:bottom w:val="single" w:sz="4" w:space="0" w:color="auto"/>
            </w:tcBorders>
          </w:tcPr>
          <w:p w14:paraId="34DD9A7E"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Deviations </w:t>
            </w:r>
          </w:p>
        </w:tc>
        <w:tc>
          <w:tcPr>
            <w:tcW w:w="379" w:type="pct"/>
            <w:gridSpan w:val="2"/>
            <w:tcBorders>
              <w:top w:val="single" w:sz="4" w:space="0" w:color="auto"/>
              <w:bottom w:val="single" w:sz="4" w:space="0" w:color="auto"/>
            </w:tcBorders>
          </w:tcPr>
          <w:p w14:paraId="34DD9A7F"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Missing data </w:t>
            </w:r>
          </w:p>
        </w:tc>
        <w:tc>
          <w:tcPr>
            <w:tcW w:w="633" w:type="pct"/>
            <w:gridSpan w:val="3"/>
            <w:tcBorders>
              <w:top w:val="single" w:sz="4" w:space="0" w:color="auto"/>
              <w:bottom w:val="single" w:sz="4" w:space="0" w:color="auto"/>
            </w:tcBorders>
          </w:tcPr>
          <w:p w14:paraId="34DD9A80"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Outcome measurement </w:t>
            </w:r>
          </w:p>
        </w:tc>
        <w:tc>
          <w:tcPr>
            <w:tcW w:w="598" w:type="pct"/>
            <w:gridSpan w:val="2"/>
            <w:tcBorders>
              <w:top w:val="single" w:sz="4" w:space="0" w:color="auto"/>
              <w:bottom w:val="single" w:sz="4" w:space="0" w:color="auto"/>
            </w:tcBorders>
          </w:tcPr>
          <w:p w14:paraId="34DD9A81"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Selection of reported results </w:t>
            </w:r>
          </w:p>
        </w:tc>
        <w:tc>
          <w:tcPr>
            <w:tcW w:w="767" w:type="pct"/>
            <w:gridSpan w:val="3"/>
            <w:tcBorders>
              <w:top w:val="single" w:sz="4" w:space="0" w:color="auto"/>
              <w:bottom w:val="single" w:sz="4" w:space="0" w:color="auto"/>
            </w:tcBorders>
          </w:tcPr>
          <w:p w14:paraId="34DD9A82"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Overall </w:t>
            </w:r>
          </w:p>
        </w:tc>
      </w:tr>
      <w:tr w:rsidR="00872A7E" w14:paraId="34DD9A8C" w14:textId="77777777">
        <w:tc>
          <w:tcPr>
            <w:tcW w:w="951" w:type="pct"/>
            <w:gridSpan w:val="2"/>
            <w:tcBorders>
              <w:top w:val="single" w:sz="4" w:space="0" w:color="auto"/>
            </w:tcBorders>
          </w:tcPr>
          <w:p w14:paraId="34DD9A84"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KEYNOTE-177 (André 2020/2025) </w:t>
            </w:r>
          </w:p>
        </w:tc>
        <w:tc>
          <w:tcPr>
            <w:tcW w:w="688" w:type="pct"/>
            <w:gridSpan w:val="2"/>
            <w:tcBorders>
              <w:top w:val="single" w:sz="4" w:space="0" w:color="auto"/>
            </w:tcBorders>
          </w:tcPr>
          <w:p w14:paraId="34DD9A8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PFS/OS/ORR </w:t>
            </w:r>
          </w:p>
        </w:tc>
        <w:tc>
          <w:tcPr>
            <w:tcW w:w="566" w:type="pct"/>
            <w:gridSpan w:val="3"/>
            <w:tcBorders>
              <w:top w:val="single" w:sz="4" w:space="0" w:color="auto"/>
            </w:tcBorders>
          </w:tcPr>
          <w:p w14:paraId="34DD9A8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Borders>
              <w:top w:val="single" w:sz="4" w:space="0" w:color="auto"/>
            </w:tcBorders>
          </w:tcPr>
          <w:p w14:paraId="34DD9A8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Borders>
              <w:top w:val="single" w:sz="4" w:space="0" w:color="auto"/>
            </w:tcBorders>
          </w:tcPr>
          <w:p w14:paraId="34DD9A8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Borders>
              <w:top w:val="single" w:sz="4" w:space="0" w:color="auto"/>
            </w:tcBorders>
          </w:tcPr>
          <w:p w14:paraId="34DD9A8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Borders>
              <w:top w:val="single" w:sz="4" w:space="0" w:color="auto"/>
            </w:tcBorders>
          </w:tcPr>
          <w:p w14:paraId="34DD9A8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(OS) </w:t>
            </w:r>
          </w:p>
        </w:tc>
        <w:tc>
          <w:tcPr>
            <w:tcW w:w="767" w:type="pct"/>
            <w:gridSpan w:val="3"/>
            <w:tcBorders>
              <w:top w:val="single" w:sz="4" w:space="0" w:color="auto"/>
            </w:tcBorders>
          </w:tcPr>
          <w:p w14:paraId="34DD9A8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(PFS/ORR); Low-some concerns (OS) </w:t>
            </w:r>
          </w:p>
        </w:tc>
      </w:tr>
      <w:tr w:rsidR="00872A7E" w14:paraId="34DD9A95" w14:textId="77777777">
        <w:tc>
          <w:tcPr>
            <w:tcW w:w="951" w:type="pct"/>
            <w:gridSpan w:val="2"/>
          </w:tcPr>
          <w:p w14:paraId="34DD9A8D"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CheckMate 8HW (André 2024) </w:t>
            </w:r>
          </w:p>
        </w:tc>
        <w:tc>
          <w:tcPr>
            <w:tcW w:w="688" w:type="pct"/>
            <w:gridSpan w:val="2"/>
          </w:tcPr>
          <w:p w14:paraId="34DD9A8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PFS (RMST)/Safety </w:t>
            </w:r>
          </w:p>
        </w:tc>
        <w:tc>
          <w:tcPr>
            <w:tcW w:w="566" w:type="pct"/>
            <w:gridSpan w:val="3"/>
          </w:tcPr>
          <w:p w14:paraId="34DD9A8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9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9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9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9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9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9E" w14:textId="77777777">
        <w:tc>
          <w:tcPr>
            <w:tcW w:w="951" w:type="pct"/>
            <w:gridSpan w:val="2"/>
          </w:tcPr>
          <w:p w14:paraId="34DD9A96"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lastRenderedPageBreak/>
              <w:t xml:space="preserve">RUBY overall (Mirza 2023; Powell 2024) </w:t>
            </w:r>
          </w:p>
        </w:tc>
        <w:tc>
          <w:tcPr>
            <w:tcW w:w="688" w:type="pct"/>
            <w:gridSpan w:val="2"/>
          </w:tcPr>
          <w:p w14:paraId="34DD9A9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PFS/OS </w:t>
            </w:r>
          </w:p>
        </w:tc>
        <w:tc>
          <w:tcPr>
            <w:tcW w:w="566" w:type="pct"/>
            <w:gridSpan w:val="3"/>
          </w:tcPr>
          <w:p w14:paraId="34DD9A9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9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9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9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9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9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A7" w14:textId="77777777">
        <w:tc>
          <w:tcPr>
            <w:tcW w:w="951" w:type="pct"/>
            <w:gridSpan w:val="2"/>
          </w:tcPr>
          <w:p w14:paraId="34DD9A9F"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RUBY dMMR subset (Powell 2025) </w:t>
            </w:r>
          </w:p>
        </w:tc>
        <w:tc>
          <w:tcPr>
            <w:tcW w:w="688" w:type="pct"/>
            <w:gridSpan w:val="2"/>
          </w:tcPr>
          <w:p w14:paraId="34DD9AA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PFS/OS/ORR/DoR </w:t>
            </w:r>
          </w:p>
        </w:tc>
        <w:tc>
          <w:tcPr>
            <w:tcW w:w="566" w:type="pct"/>
            <w:gridSpan w:val="3"/>
          </w:tcPr>
          <w:p w14:paraId="34DD9AA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A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A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A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A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A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B0" w14:textId="77777777">
        <w:tc>
          <w:tcPr>
            <w:tcW w:w="951" w:type="pct"/>
            <w:gridSpan w:val="2"/>
          </w:tcPr>
          <w:p w14:paraId="34DD9AA8"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DESTINY-Breast04 (Modi 2025; Narayan 2023; Bardia 2024 HR+) </w:t>
            </w:r>
          </w:p>
        </w:tc>
        <w:tc>
          <w:tcPr>
            <w:tcW w:w="688" w:type="pct"/>
            <w:gridSpan w:val="2"/>
          </w:tcPr>
          <w:p w14:paraId="34DD9AA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PFS/OS/ORR/Safety </w:t>
            </w:r>
          </w:p>
        </w:tc>
        <w:tc>
          <w:tcPr>
            <w:tcW w:w="566" w:type="pct"/>
            <w:gridSpan w:val="3"/>
          </w:tcPr>
          <w:p w14:paraId="34DD9AA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A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A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A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8" w:type="pct"/>
            <w:gridSpan w:val="2"/>
          </w:tcPr>
          <w:p w14:paraId="34DD9AA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A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B9" w14:textId="77777777">
        <w:tc>
          <w:tcPr>
            <w:tcW w:w="951" w:type="pct"/>
            <w:gridSpan w:val="2"/>
          </w:tcPr>
          <w:p w14:paraId="34DD9AB1"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DESTINY-Breast02 (André 2023) </w:t>
            </w:r>
          </w:p>
        </w:tc>
        <w:tc>
          <w:tcPr>
            <w:tcW w:w="688" w:type="pct"/>
            <w:gridSpan w:val="2"/>
          </w:tcPr>
          <w:p w14:paraId="34DD9AB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PFS/OS/ORR/Safety </w:t>
            </w:r>
          </w:p>
        </w:tc>
        <w:tc>
          <w:tcPr>
            <w:tcW w:w="566" w:type="pct"/>
            <w:gridSpan w:val="3"/>
          </w:tcPr>
          <w:p w14:paraId="34DD9AB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B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B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B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B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B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C2" w14:textId="77777777">
        <w:tc>
          <w:tcPr>
            <w:tcW w:w="951" w:type="pct"/>
            <w:gridSpan w:val="2"/>
          </w:tcPr>
          <w:p w14:paraId="34DD9ABA"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DESTINY-Breast03 Asian subgroup (Iwata 2024) </w:t>
            </w:r>
          </w:p>
        </w:tc>
        <w:tc>
          <w:tcPr>
            <w:tcW w:w="688" w:type="pct"/>
            <w:gridSpan w:val="2"/>
          </w:tcPr>
          <w:p w14:paraId="34DD9AB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PFS/OS/ORR/Safety </w:t>
            </w:r>
          </w:p>
        </w:tc>
        <w:tc>
          <w:tcPr>
            <w:tcW w:w="566" w:type="pct"/>
            <w:gridSpan w:val="3"/>
          </w:tcPr>
          <w:p w14:paraId="34DD9AB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B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B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B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C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C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CB" w14:textId="77777777">
        <w:tc>
          <w:tcPr>
            <w:tcW w:w="951" w:type="pct"/>
            <w:gridSpan w:val="2"/>
          </w:tcPr>
          <w:p w14:paraId="34DD9AC3"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DESTINY-Gastric01 (Shitara 2020) </w:t>
            </w:r>
          </w:p>
        </w:tc>
        <w:tc>
          <w:tcPr>
            <w:tcW w:w="688" w:type="pct"/>
            <w:gridSpan w:val="2"/>
          </w:tcPr>
          <w:p w14:paraId="34DD9AC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ORR/PFS/OS/Safety </w:t>
            </w:r>
          </w:p>
        </w:tc>
        <w:tc>
          <w:tcPr>
            <w:tcW w:w="566" w:type="pct"/>
            <w:gridSpan w:val="3"/>
          </w:tcPr>
          <w:p w14:paraId="34DD9AC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C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C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C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C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C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D4" w14:textId="77777777">
        <w:tc>
          <w:tcPr>
            <w:tcW w:w="951" w:type="pct"/>
            <w:gridSpan w:val="2"/>
          </w:tcPr>
          <w:p w14:paraId="34DD9ACC"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DESTINY-Gastric04 (Shitara 2025) </w:t>
            </w:r>
          </w:p>
        </w:tc>
        <w:tc>
          <w:tcPr>
            <w:tcW w:w="688" w:type="pct"/>
            <w:gridSpan w:val="2"/>
          </w:tcPr>
          <w:p w14:paraId="34DD9AC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ORR/PFS/OS/Safety </w:t>
            </w:r>
          </w:p>
        </w:tc>
        <w:tc>
          <w:tcPr>
            <w:tcW w:w="566" w:type="pct"/>
            <w:gridSpan w:val="3"/>
          </w:tcPr>
          <w:p w14:paraId="34DD9AC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C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D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D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D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D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DD" w14:textId="77777777">
        <w:tc>
          <w:tcPr>
            <w:tcW w:w="951" w:type="pct"/>
            <w:gridSpan w:val="2"/>
          </w:tcPr>
          <w:p w14:paraId="34DD9AD5"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BEACON CRC (Kopetz 2019) </w:t>
            </w:r>
          </w:p>
        </w:tc>
        <w:tc>
          <w:tcPr>
            <w:tcW w:w="688" w:type="pct"/>
            <w:gridSpan w:val="2"/>
          </w:tcPr>
          <w:p w14:paraId="34DD9AD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OS/PFS/ORR/Safety </w:t>
            </w:r>
          </w:p>
        </w:tc>
        <w:tc>
          <w:tcPr>
            <w:tcW w:w="566" w:type="pct"/>
            <w:gridSpan w:val="3"/>
          </w:tcPr>
          <w:p w14:paraId="34DD9AD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D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D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D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D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D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E6" w14:textId="77777777">
        <w:tc>
          <w:tcPr>
            <w:tcW w:w="951" w:type="pct"/>
            <w:gridSpan w:val="2"/>
          </w:tcPr>
          <w:p w14:paraId="34DD9ADE"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BREAKWATER (Elez 2025) </w:t>
            </w:r>
          </w:p>
        </w:tc>
        <w:tc>
          <w:tcPr>
            <w:tcW w:w="688" w:type="pct"/>
            <w:gridSpan w:val="2"/>
          </w:tcPr>
          <w:p w14:paraId="34DD9AD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OS/PFS/ORR/Safety </w:t>
            </w:r>
          </w:p>
        </w:tc>
        <w:tc>
          <w:tcPr>
            <w:tcW w:w="566" w:type="pct"/>
            <w:gridSpan w:val="3"/>
          </w:tcPr>
          <w:p w14:paraId="34DD9AE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E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E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E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E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E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EF" w14:textId="77777777">
        <w:tc>
          <w:tcPr>
            <w:tcW w:w="951" w:type="pct"/>
            <w:gridSpan w:val="2"/>
          </w:tcPr>
          <w:p w14:paraId="34DD9AE7"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SWOG S1406 (Kopetz 2021) </w:t>
            </w:r>
          </w:p>
        </w:tc>
        <w:tc>
          <w:tcPr>
            <w:tcW w:w="688" w:type="pct"/>
            <w:gridSpan w:val="2"/>
          </w:tcPr>
          <w:p w14:paraId="34DD9AE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PFS/ORR/Safety </w:t>
            </w:r>
          </w:p>
        </w:tc>
        <w:tc>
          <w:tcPr>
            <w:tcW w:w="566" w:type="pct"/>
            <w:gridSpan w:val="3"/>
          </w:tcPr>
          <w:p w14:paraId="34DD9AE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E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E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E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E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E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F8" w14:textId="77777777">
        <w:tc>
          <w:tcPr>
            <w:tcW w:w="951" w:type="pct"/>
            <w:gridSpan w:val="2"/>
          </w:tcPr>
          <w:p w14:paraId="34DD9AF0"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EMILIA (Verma 2012) </w:t>
            </w:r>
          </w:p>
        </w:tc>
        <w:tc>
          <w:tcPr>
            <w:tcW w:w="688" w:type="pct"/>
            <w:gridSpan w:val="2"/>
          </w:tcPr>
          <w:p w14:paraId="34DD9AF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OS/PFS/ORR/Safety </w:t>
            </w:r>
          </w:p>
        </w:tc>
        <w:tc>
          <w:tcPr>
            <w:tcW w:w="566" w:type="pct"/>
            <w:gridSpan w:val="3"/>
          </w:tcPr>
          <w:p w14:paraId="34DD9AF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418" w:type="pct"/>
          </w:tcPr>
          <w:p w14:paraId="34DD9AF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379" w:type="pct"/>
            <w:gridSpan w:val="2"/>
          </w:tcPr>
          <w:p w14:paraId="34DD9AF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633" w:type="pct"/>
            <w:gridSpan w:val="3"/>
          </w:tcPr>
          <w:p w14:paraId="34DD9AF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598" w:type="pct"/>
            <w:gridSpan w:val="2"/>
          </w:tcPr>
          <w:p w14:paraId="34DD9AF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c>
          <w:tcPr>
            <w:tcW w:w="767" w:type="pct"/>
            <w:gridSpan w:val="3"/>
          </w:tcPr>
          <w:p w14:paraId="34DD9AF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 Low </w:t>
            </w:r>
          </w:p>
        </w:tc>
      </w:tr>
      <w:tr w:rsidR="00872A7E" w14:paraId="34DD9AFA" w14:textId="77777777">
        <w:tc>
          <w:tcPr>
            <w:tcW w:w="5000" w:type="pct"/>
            <w:gridSpan w:val="18"/>
          </w:tcPr>
          <w:p w14:paraId="34DD9AF9" w14:textId="77777777" w:rsidR="00872A7E" w:rsidRDefault="00037403">
            <w:pPr>
              <w:spacing w:beforeLines="0" w:before="100" w:beforeAutospacing="1" w:afterLines="0" w:after="100" w:afterAutospacing="1"/>
              <w:ind w:firstLine="0"/>
              <w:jc w:val="center"/>
              <w:rPr>
                <w:rFonts w:asciiTheme="majorBidi" w:hAnsiTheme="majorBidi" w:cstheme="majorBidi"/>
                <w:sz w:val="16"/>
                <w:szCs w:val="16"/>
              </w:rPr>
            </w:pPr>
            <w:r>
              <w:rPr>
                <w:rFonts w:asciiTheme="majorBidi" w:hAnsiTheme="majorBidi" w:cstheme="majorBidi"/>
                <w:b/>
                <w:bCs/>
                <w:sz w:val="20"/>
                <w:szCs w:val="20"/>
              </w:rPr>
              <w:t>Nonrandomized studies (ROBINS-I)</w:t>
            </w:r>
          </w:p>
        </w:tc>
      </w:tr>
      <w:tr w:rsidR="00872A7E" w14:paraId="34DD9B05" w14:textId="77777777">
        <w:trPr>
          <w:gridAfter w:val="1"/>
          <w:wAfter w:w="9" w:type="pct"/>
        </w:trPr>
        <w:tc>
          <w:tcPr>
            <w:tcW w:w="528" w:type="pct"/>
            <w:tcBorders>
              <w:top w:val="single" w:sz="4" w:space="0" w:color="auto"/>
              <w:bottom w:val="single" w:sz="4" w:space="0" w:color="auto"/>
            </w:tcBorders>
          </w:tcPr>
          <w:p w14:paraId="34DD9AFB"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Study</w:t>
            </w:r>
          </w:p>
        </w:tc>
        <w:tc>
          <w:tcPr>
            <w:tcW w:w="714" w:type="pct"/>
            <w:gridSpan w:val="2"/>
            <w:tcBorders>
              <w:top w:val="single" w:sz="4" w:space="0" w:color="auto"/>
              <w:bottom w:val="single" w:sz="4" w:space="0" w:color="auto"/>
            </w:tcBorders>
          </w:tcPr>
          <w:p w14:paraId="34DD9AFC"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Outcome focus </w:t>
            </w:r>
          </w:p>
        </w:tc>
        <w:tc>
          <w:tcPr>
            <w:tcW w:w="506" w:type="pct"/>
            <w:gridSpan w:val="2"/>
            <w:tcBorders>
              <w:top w:val="single" w:sz="4" w:space="0" w:color="auto"/>
              <w:bottom w:val="single" w:sz="4" w:space="0" w:color="auto"/>
            </w:tcBorders>
          </w:tcPr>
          <w:p w14:paraId="34DD9AFD"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Confounding </w:t>
            </w:r>
          </w:p>
        </w:tc>
        <w:tc>
          <w:tcPr>
            <w:tcW w:w="384" w:type="pct"/>
            <w:tcBorders>
              <w:top w:val="single" w:sz="4" w:space="0" w:color="auto"/>
              <w:bottom w:val="single" w:sz="4" w:space="0" w:color="auto"/>
            </w:tcBorders>
          </w:tcPr>
          <w:p w14:paraId="34DD9AFE"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Selection </w:t>
            </w:r>
          </w:p>
        </w:tc>
        <w:tc>
          <w:tcPr>
            <w:tcW w:w="525" w:type="pct"/>
            <w:gridSpan w:val="3"/>
            <w:tcBorders>
              <w:top w:val="single" w:sz="4" w:space="0" w:color="auto"/>
              <w:bottom w:val="single" w:sz="4" w:space="0" w:color="auto"/>
            </w:tcBorders>
          </w:tcPr>
          <w:p w14:paraId="34DD9AFF"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Classification </w:t>
            </w:r>
          </w:p>
        </w:tc>
        <w:tc>
          <w:tcPr>
            <w:tcW w:w="436" w:type="pct"/>
            <w:gridSpan w:val="2"/>
            <w:tcBorders>
              <w:top w:val="single" w:sz="4" w:space="0" w:color="auto"/>
              <w:bottom w:val="single" w:sz="4" w:space="0" w:color="auto"/>
            </w:tcBorders>
          </w:tcPr>
          <w:p w14:paraId="34DD9B00"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Deviations </w:t>
            </w:r>
          </w:p>
        </w:tc>
        <w:tc>
          <w:tcPr>
            <w:tcW w:w="378" w:type="pct"/>
            <w:tcBorders>
              <w:top w:val="single" w:sz="4" w:space="0" w:color="auto"/>
              <w:bottom w:val="single" w:sz="4" w:space="0" w:color="auto"/>
            </w:tcBorders>
          </w:tcPr>
          <w:p w14:paraId="34DD9B01"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Missing </w:t>
            </w:r>
          </w:p>
        </w:tc>
        <w:tc>
          <w:tcPr>
            <w:tcW w:w="544" w:type="pct"/>
            <w:gridSpan w:val="2"/>
            <w:tcBorders>
              <w:top w:val="single" w:sz="4" w:space="0" w:color="auto"/>
              <w:bottom w:val="single" w:sz="4" w:space="0" w:color="auto"/>
            </w:tcBorders>
          </w:tcPr>
          <w:p w14:paraId="34DD9B02"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Outcome measurement </w:t>
            </w:r>
          </w:p>
        </w:tc>
        <w:tc>
          <w:tcPr>
            <w:tcW w:w="384" w:type="pct"/>
            <w:gridSpan w:val="2"/>
            <w:tcBorders>
              <w:top w:val="single" w:sz="4" w:space="0" w:color="auto"/>
              <w:bottom w:val="single" w:sz="4" w:space="0" w:color="auto"/>
            </w:tcBorders>
          </w:tcPr>
          <w:p w14:paraId="34DD9B03"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Selection of reported results </w:t>
            </w:r>
          </w:p>
        </w:tc>
        <w:tc>
          <w:tcPr>
            <w:tcW w:w="592" w:type="pct"/>
            <w:tcBorders>
              <w:top w:val="single" w:sz="4" w:space="0" w:color="auto"/>
              <w:bottom w:val="single" w:sz="4" w:space="0" w:color="auto"/>
            </w:tcBorders>
          </w:tcPr>
          <w:p w14:paraId="34DD9B04"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Overall </w:t>
            </w:r>
          </w:p>
        </w:tc>
      </w:tr>
      <w:tr w:rsidR="00872A7E" w14:paraId="34DD9B10" w14:textId="77777777">
        <w:trPr>
          <w:gridAfter w:val="1"/>
          <w:wAfter w:w="9" w:type="pct"/>
        </w:trPr>
        <w:tc>
          <w:tcPr>
            <w:tcW w:w="528" w:type="pct"/>
            <w:tcBorders>
              <w:top w:val="single" w:sz="4" w:space="0" w:color="auto"/>
            </w:tcBorders>
          </w:tcPr>
          <w:p w14:paraId="34DD9B06" w14:textId="77777777" w:rsidR="00872A7E" w:rsidRPr="001F6E82" w:rsidRDefault="00037403">
            <w:pPr>
              <w:spacing w:beforeLines="0" w:before="100" w:beforeAutospacing="1" w:afterLines="0" w:after="100" w:afterAutospacing="1"/>
              <w:ind w:firstLine="0"/>
              <w:rPr>
                <w:rFonts w:asciiTheme="majorBidi" w:hAnsiTheme="majorBidi" w:cstheme="majorBidi"/>
                <w:b/>
                <w:sz w:val="16"/>
                <w:szCs w:val="16"/>
                <w:lang w:val="it-IT"/>
              </w:rPr>
            </w:pPr>
            <w:r w:rsidRPr="001F6E82">
              <w:rPr>
                <w:rFonts w:asciiTheme="majorBidi" w:hAnsiTheme="majorBidi" w:cstheme="majorBidi"/>
                <w:b/>
                <w:sz w:val="16"/>
                <w:szCs w:val="16"/>
                <w:lang w:val="it-IT"/>
              </w:rPr>
              <w:t xml:space="preserve">FRONT-BRAF NSCLC (Di Federico 2025) </w:t>
            </w:r>
          </w:p>
        </w:tc>
        <w:tc>
          <w:tcPr>
            <w:tcW w:w="714" w:type="pct"/>
            <w:gridSpan w:val="2"/>
            <w:tcBorders>
              <w:top w:val="single" w:sz="4" w:space="0" w:color="auto"/>
            </w:tcBorders>
          </w:tcPr>
          <w:p w14:paraId="34DD9B0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OS/PFS/ORR/Safety </w:t>
            </w:r>
          </w:p>
        </w:tc>
        <w:tc>
          <w:tcPr>
            <w:tcW w:w="506" w:type="pct"/>
            <w:gridSpan w:val="2"/>
            <w:tcBorders>
              <w:top w:val="single" w:sz="4" w:space="0" w:color="auto"/>
            </w:tcBorders>
          </w:tcPr>
          <w:p w14:paraId="34DD9B0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Borders>
              <w:top w:val="single" w:sz="4" w:space="0" w:color="auto"/>
            </w:tcBorders>
          </w:tcPr>
          <w:p w14:paraId="34DD9B0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Borders>
              <w:top w:val="single" w:sz="4" w:space="0" w:color="auto"/>
            </w:tcBorders>
          </w:tcPr>
          <w:p w14:paraId="34DD9B0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436" w:type="pct"/>
            <w:gridSpan w:val="2"/>
            <w:tcBorders>
              <w:top w:val="single" w:sz="4" w:space="0" w:color="auto"/>
            </w:tcBorders>
          </w:tcPr>
          <w:p w14:paraId="34DD9B0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Borders>
              <w:top w:val="single" w:sz="4" w:space="0" w:color="auto"/>
            </w:tcBorders>
          </w:tcPr>
          <w:p w14:paraId="34DD9B0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Borders>
              <w:top w:val="single" w:sz="4" w:space="0" w:color="auto"/>
            </w:tcBorders>
          </w:tcPr>
          <w:p w14:paraId="34DD9B0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84" w:type="pct"/>
            <w:gridSpan w:val="2"/>
            <w:tcBorders>
              <w:top w:val="single" w:sz="4" w:space="0" w:color="auto"/>
            </w:tcBorders>
          </w:tcPr>
          <w:p w14:paraId="34DD9B0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Borders>
              <w:top w:val="single" w:sz="4" w:space="0" w:color="auto"/>
            </w:tcBorders>
          </w:tcPr>
          <w:p w14:paraId="34DD9B0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1B" w14:textId="77777777">
        <w:trPr>
          <w:gridAfter w:val="1"/>
          <w:wAfter w:w="9" w:type="pct"/>
        </w:trPr>
        <w:tc>
          <w:tcPr>
            <w:tcW w:w="528" w:type="pct"/>
          </w:tcPr>
          <w:p w14:paraId="34DD9B11"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GARNET vs EHR control (Goulden 2023) </w:t>
            </w:r>
          </w:p>
        </w:tc>
        <w:tc>
          <w:tcPr>
            <w:tcW w:w="714" w:type="pct"/>
            <w:gridSpan w:val="2"/>
          </w:tcPr>
          <w:p w14:paraId="34DD9B1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OS/TTD </w:t>
            </w:r>
          </w:p>
        </w:tc>
        <w:tc>
          <w:tcPr>
            <w:tcW w:w="506" w:type="pct"/>
            <w:gridSpan w:val="2"/>
          </w:tcPr>
          <w:p w14:paraId="34DD9B1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Pr>
          <w:p w14:paraId="34DD9B1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1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436" w:type="pct"/>
            <w:gridSpan w:val="2"/>
          </w:tcPr>
          <w:p w14:paraId="34DD9B1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1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Pr>
          <w:p w14:paraId="34DD9B1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gridSpan w:val="2"/>
          </w:tcPr>
          <w:p w14:paraId="34DD9B1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Pr>
          <w:p w14:paraId="34DD9B1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26" w14:textId="77777777">
        <w:trPr>
          <w:gridAfter w:val="1"/>
          <w:wAfter w:w="9" w:type="pct"/>
        </w:trPr>
        <w:tc>
          <w:tcPr>
            <w:tcW w:w="528" w:type="pct"/>
          </w:tcPr>
          <w:p w14:paraId="34DD9B1C" w14:textId="77777777" w:rsidR="00872A7E" w:rsidRPr="001F6E82" w:rsidRDefault="00037403">
            <w:pPr>
              <w:spacing w:beforeLines="0" w:before="100" w:beforeAutospacing="1" w:afterLines="0" w:after="100" w:afterAutospacing="1"/>
              <w:ind w:firstLine="0"/>
              <w:rPr>
                <w:rFonts w:asciiTheme="majorBidi" w:hAnsiTheme="majorBidi" w:cstheme="majorBidi"/>
                <w:b/>
                <w:sz w:val="16"/>
                <w:szCs w:val="16"/>
                <w:lang w:val="pt-BR"/>
              </w:rPr>
            </w:pPr>
            <w:r w:rsidRPr="001F6E82">
              <w:rPr>
                <w:rFonts w:asciiTheme="majorBidi" w:hAnsiTheme="majorBidi" w:cstheme="majorBidi"/>
                <w:b/>
                <w:sz w:val="16"/>
                <w:szCs w:val="16"/>
                <w:lang w:val="pt-BR"/>
              </w:rPr>
              <w:t xml:space="preserve">MAIC larotrectinib vs entrectinib (García-Foncillas 2022) </w:t>
            </w:r>
          </w:p>
        </w:tc>
        <w:tc>
          <w:tcPr>
            <w:tcW w:w="714" w:type="pct"/>
            <w:gridSpan w:val="2"/>
          </w:tcPr>
          <w:p w14:paraId="34DD9B1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OS/PFS/ORR/DoR </w:t>
            </w:r>
          </w:p>
        </w:tc>
        <w:tc>
          <w:tcPr>
            <w:tcW w:w="506" w:type="pct"/>
            <w:gridSpan w:val="2"/>
          </w:tcPr>
          <w:p w14:paraId="34DD9B1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Pr>
          <w:p w14:paraId="34DD9B1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2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436" w:type="pct"/>
            <w:gridSpan w:val="2"/>
          </w:tcPr>
          <w:p w14:paraId="34DD9B2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2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Pr>
          <w:p w14:paraId="34DD9B2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gridSpan w:val="2"/>
          </w:tcPr>
          <w:p w14:paraId="34DD9B2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Pr>
          <w:p w14:paraId="34DD9B2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31" w14:textId="77777777">
        <w:trPr>
          <w:gridAfter w:val="1"/>
          <w:wAfter w:w="9" w:type="pct"/>
        </w:trPr>
        <w:tc>
          <w:tcPr>
            <w:tcW w:w="528" w:type="pct"/>
          </w:tcPr>
          <w:p w14:paraId="34DD9B27"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Schettini 2021 (Italian HER2+ mBC) </w:t>
            </w:r>
          </w:p>
        </w:tc>
        <w:tc>
          <w:tcPr>
            <w:tcW w:w="714" w:type="pct"/>
            <w:gridSpan w:val="2"/>
          </w:tcPr>
          <w:p w14:paraId="34DD9B2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PFS/OS </w:t>
            </w:r>
          </w:p>
        </w:tc>
        <w:tc>
          <w:tcPr>
            <w:tcW w:w="506" w:type="pct"/>
            <w:gridSpan w:val="2"/>
          </w:tcPr>
          <w:p w14:paraId="34DD9B2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Pr>
          <w:p w14:paraId="34DD9B2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2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436" w:type="pct"/>
            <w:gridSpan w:val="2"/>
          </w:tcPr>
          <w:p w14:paraId="34DD9B2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2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Pr>
          <w:p w14:paraId="34DD9B2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gridSpan w:val="2"/>
          </w:tcPr>
          <w:p w14:paraId="34DD9B2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Pr>
          <w:p w14:paraId="34DD9B3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3C" w14:textId="77777777">
        <w:trPr>
          <w:gridAfter w:val="1"/>
          <w:wAfter w:w="9" w:type="pct"/>
        </w:trPr>
        <w:tc>
          <w:tcPr>
            <w:tcW w:w="528" w:type="pct"/>
          </w:tcPr>
          <w:p w14:paraId="34DD9B32"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Chen J 2025 (MSI-H/dMMR mCRC) </w:t>
            </w:r>
          </w:p>
        </w:tc>
        <w:tc>
          <w:tcPr>
            <w:tcW w:w="714" w:type="pct"/>
            <w:gridSpan w:val="2"/>
          </w:tcPr>
          <w:p w14:paraId="34DD9B3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ORR/PFS/OS </w:t>
            </w:r>
          </w:p>
        </w:tc>
        <w:tc>
          <w:tcPr>
            <w:tcW w:w="506" w:type="pct"/>
            <w:gridSpan w:val="2"/>
          </w:tcPr>
          <w:p w14:paraId="34DD9B3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Pr>
          <w:p w14:paraId="34DD9B3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3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436" w:type="pct"/>
            <w:gridSpan w:val="2"/>
          </w:tcPr>
          <w:p w14:paraId="34DD9B3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3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Pr>
          <w:p w14:paraId="34DD9B3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gridSpan w:val="2"/>
          </w:tcPr>
          <w:p w14:paraId="34DD9B3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Pr>
          <w:p w14:paraId="34DD9B3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47" w14:textId="77777777">
        <w:trPr>
          <w:gridAfter w:val="1"/>
          <w:wAfter w:w="9" w:type="pct"/>
        </w:trPr>
        <w:tc>
          <w:tcPr>
            <w:tcW w:w="528" w:type="pct"/>
          </w:tcPr>
          <w:p w14:paraId="34DD9B3D" w14:textId="77777777" w:rsidR="00872A7E" w:rsidRDefault="00037403">
            <w:pPr>
              <w:spacing w:beforeLines="0" w:before="100" w:beforeAutospacing="1" w:afterLines="0" w:after="100" w:afterAutospacing="1"/>
              <w:ind w:firstLine="0"/>
              <w:rPr>
                <w:rFonts w:asciiTheme="majorBidi" w:hAnsiTheme="majorBidi" w:cstheme="majorBidi"/>
                <w:b/>
                <w:sz w:val="16"/>
                <w:szCs w:val="16"/>
                <w:lang w:val="da-DK"/>
              </w:rPr>
            </w:pPr>
            <w:r>
              <w:rPr>
                <w:rFonts w:asciiTheme="majorBidi" w:hAnsiTheme="majorBidi" w:cstheme="majorBidi"/>
                <w:b/>
                <w:sz w:val="16"/>
                <w:szCs w:val="16"/>
                <w:lang w:val="da-DK"/>
              </w:rPr>
              <w:t xml:space="preserve">Hamidi 2024 (ATC DT vs DTP) </w:t>
            </w:r>
          </w:p>
        </w:tc>
        <w:tc>
          <w:tcPr>
            <w:tcW w:w="714" w:type="pct"/>
            <w:gridSpan w:val="2"/>
          </w:tcPr>
          <w:p w14:paraId="34DD9B3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OS/PFS/ORR/Safety </w:t>
            </w:r>
          </w:p>
        </w:tc>
        <w:tc>
          <w:tcPr>
            <w:tcW w:w="506" w:type="pct"/>
            <w:gridSpan w:val="2"/>
          </w:tcPr>
          <w:p w14:paraId="34DD9B3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Pr>
          <w:p w14:paraId="34DD9B4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4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436" w:type="pct"/>
            <w:gridSpan w:val="2"/>
          </w:tcPr>
          <w:p w14:paraId="34DD9B42"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43"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Pr>
          <w:p w14:paraId="34DD9B4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gridSpan w:val="2"/>
          </w:tcPr>
          <w:p w14:paraId="34DD9B4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Pr>
          <w:p w14:paraId="34DD9B4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52" w14:textId="77777777">
        <w:trPr>
          <w:gridAfter w:val="1"/>
          <w:wAfter w:w="9" w:type="pct"/>
        </w:trPr>
        <w:tc>
          <w:tcPr>
            <w:tcW w:w="528" w:type="pct"/>
          </w:tcPr>
          <w:p w14:paraId="34DD9B48"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Hill 2023 (Endometrial real-world) </w:t>
            </w:r>
          </w:p>
        </w:tc>
        <w:tc>
          <w:tcPr>
            <w:tcW w:w="714" w:type="pct"/>
            <w:gridSpan w:val="2"/>
          </w:tcPr>
          <w:p w14:paraId="34DD9B4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TTNT/OS </w:t>
            </w:r>
          </w:p>
        </w:tc>
        <w:tc>
          <w:tcPr>
            <w:tcW w:w="506" w:type="pct"/>
            <w:gridSpan w:val="2"/>
          </w:tcPr>
          <w:p w14:paraId="34DD9B4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c>
          <w:tcPr>
            <w:tcW w:w="384" w:type="pct"/>
          </w:tcPr>
          <w:p w14:paraId="34DD9B4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4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436" w:type="pct"/>
            <w:gridSpan w:val="2"/>
          </w:tcPr>
          <w:p w14:paraId="34DD9B4D"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4E"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44" w:type="pct"/>
            <w:gridSpan w:val="2"/>
          </w:tcPr>
          <w:p w14:paraId="34DD9B4F"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gridSpan w:val="2"/>
          </w:tcPr>
          <w:p w14:paraId="34DD9B50"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Some concerns </w:t>
            </w:r>
          </w:p>
        </w:tc>
        <w:tc>
          <w:tcPr>
            <w:tcW w:w="592" w:type="pct"/>
          </w:tcPr>
          <w:p w14:paraId="34DD9B51"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Serious </w:t>
            </w:r>
          </w:p>
        </w:tc>
      </w:tr>
      <w:tr w:rsidR="00872A7E" w14:paraId="34DD9B5D" w14:textId="77777777">
        <w:trPr>
          <w:gridAfter w:val="1"/>
          <w:wAfter w:w="9" w:type="pct"/>
        </w:trPr>
        <w:tc>
          <w:tcPr>
            <w:tcW w:w="528" w:type="pct"/>
          </w:tcPr>
          <w:p w14:paraId="34DD9B53" w14:textId="77777777" w:rsidR="00872A7E" w:rsidRDefault="00037403">
            <w:pPr>
              <w:spacing w:beforeLines="0" w:before="100" w:beforeAutospacing="1" w:afterLines="0" w:after="100" w:afterAutospacing="1"/>
              <w:ind w:firstLine="0"/>
              <w:rPr>
                <w:rFonts w:asciiTheme="majorBidi" w:hAnsiTheme="majorBidi" w:cstheme="majorBidi"/>
                <w:b/>
                <w:sz w:val="16"/>
                <w:szCs w:val="16"/>
              </w:rPr>
            </w:pPr>
            <w:r>
              <w:rPr>
                <w:rFonts w:asciiTheme="majorBidi" w:hAnsiTheme="majorBidi" w:cstheme="majorBidi"/>
                <w:b/>
                <w:sz w:val="16"/>
                <w:szCs w:val="16"/>
              </w:rPr>
              <w:t xml:space="preserve">André 2024 pooled T-DXd brain mets </w:t>
            </w:r>
          </w:p>
        </w:tc>
        <w:tc>
          <w:tcPr>
            <w:tcW w:w="714" w:type="pct"/>
            <w:gridSpan w:val="2"/>
          </w:tcPr>
          <w:p w14:paraId="34DD9B54"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iORR/CNS-PFS/Safety </w:t>
            </w:r>
          </w:p>
        </w:tc>
        <w:tc>
          <w:tcPr>
            <w:tcW w:w="506" w:type="pct"/>
            <w:gridSpan w:val="2"/>
          </w:tcPr>
          <w:p w14:paraId="34DD9B55"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384" w:type="pct"/>
          </w:tcPr>
          <w:p w14:paraId="34DD9B56"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c>
          <w:tcPr>
            <w:tcW w:w="525" w:type="pct"/>
            <w:gridSpan w:val="3"/>
          </w:tcPr>
          <w:p w14:paraId="34DD9B57"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436" w:type="pct"/>
            <w:gridSpan w:val="2"/>
          </w:tcPr>
          <w:p w14:paraId="34DD9B58"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78" w:type="pct"/>
          </w:tcPr>
          <w:p w14:paraId="34DD9B59"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544" w:type="pct"/>
            <w:gridSpan w:val="2"/>
          </w:tcPr>
          <w:p w14:paraId="34DD9B5A"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384" w:type="pct"/>
            <w:gridSpan w:val="2"/>
          </w:tcPr>
          <w:p w14:paraId="34DD9B5B"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Low </w:t>
            </w:r>
          </w:p>
        </w:tc>
        <w:tc>
          <w:tcPr>
            <w:tcW w:w="592" w:type="pct"/>
          </w:tcPr>
          <w:p w14:paraId="34DD9B5C" w14:textId="77777777" w:rsidR="00872A7E" w:rsidRDefault="00037403">
            <w:pPr>
              <w:spacing w:beforeLines="0" w:before="100" w:beforeAutospacing="1" w:afterLines="0" w:after="100" w:afterAutospacing="1"/>
              <w:ind w:firstLine="0"/>
              <w:rPr>
                <w:rFonts w:asciiTheme="majorBidi" w:hAnsiTheme="majorBidi" w:cstheme="majorBidi"/>
                <w:sz w:val="16"/>
                <w:szCs w:val="16"/>
              </w:rPr>
            </w:pPr>
            <w:r>
              <w:rPr>
                <w:rFonts w:asciiTheme="majorBidi" w:hAnsiTheme="majorBidi" w:cstheme="majorBidi"/>
                <w:sz w:val="16"/>
                <w:szCs w:val="16"/>
              </w:rPr>
              <w:t xml:space="preserve">Moderate </w:t>
            </w:r>
          </w:p>
        </w:tc>
      </w:tr>
    </w:tbl>
    <w:p w14:paraId="34DD9B5E" w14:textId="77777777" w:rsidR="00872A7E" w:rsidRDefault="00037403">
      <w:pPr>
        <w:spacing w:beforeLines="0" w:before="100" w:beforeAutospacing="1" w:afterLines="0" w:after="100" w:afterAutospacing="1"/>
        <w:ind w:firstLine="0"/>
        <w:rPr>
          <w:rFonts w:asciiTheme="majorBidi" w:hAnsiTheme="majorBidi" w:cstheme="majorBidi"/>
          <w:sz w:val="20"/>
          <w:szCs w:val="20"/>
        </w:rPr>
      </w:pPr>
      <w:r>
        <w:rPr>
          <w:rFonts w:asciiTheme="majorBidi" w:hAnsiTheme="majorBidi" w:cstheme="majorBidi"/>
          <w:sz w:val="20"/>
          <w:szCs w:val="20"/>
        </w:rPr>
        <w:lastRenderedPageBreak/>
        <w:t xml:space="preserve">RoB 2, Cochrane Risk of Bias 2 tool for randomized trials; ROBINS-I, Risk Of Bias In Non-randomized Studies of Interventions; PFS, Progression-Free Survival; OS, Overall Survival; ORR, Objective Response Rate; RMST, Restricted Mean Survival Time; BICR, Blinded Independent Central Review; MMR, Mismatch Repair; dMMR, Deficient Mismatch Repair; SAP, Statistical Analysis Plan; DoR, Duration of Response; ILD, Interstitial Lung Disease; ADCs, Antibody-Drug Conjugates; HER2, Human Epidermal Growth Factor Receptor </w:t>
      </w:r>
      <w:r>
        <w:rPr>
          <w:rFonts w:asciiTheme="majorBidi" w:hAnsiTheme="majorBidi" w:cstheme="majorBidi"/>
          <w:sz w:val="20"/>
          <w:szCs w:val="20"/>
        </w:rPr>
        <w:t>2; HER2+, Human Epidermal Growth Factor Receptor 2-Positive; HR+, Hormone Receptor-Positive; CNS, Central Nervous System; AEs, Adverse Events; RCT, Randomized Controlled Trial; NSCLC, Non-Small Cell Lung Cancer; EHR, Electronic Health Record; IPTW, Inverse Probability of Treatment Weighting; PSM, Propensity Score Matching; MAIC, Matched Adjusted Indirect Comparison; TTD, Time to Treatment Discontinuation; TTNT, Time to Next Treatment; TMB, Tumor Mutational Burden; ATC, Anaplastic Thyroid Carcinoma; DT, Dabr</w:t>
      </w:r>
      <w:r>
        <w:rPr>
          <w:rFonts w:asciiTheme="majorBidi" w:hAnsiTheme="majorBidi" w:cstheme="majorBidi"/>
          <w:sz w:val="20"/>
          <w:szCs w:val="20"/>
        </w:rPr>
        <w:t>afenib plus Trametinib; DTP, Dabrafenib, Trametinib plus Pembrolizumab; NLR, Neutrophil-to-Lymphocyte Ratio; mBC, Metastatic Breast Cancer; mCRC, Metastatic Colorectal Cancer; ICI, Immune Checkpoint Inhibitor; iORR, Intracranial Objective Response Rate; CNS-PFS, Central Nervous System Progression-Free Survival; PD-L1, Programmed Death-Ligand 1; BRAF, B-Raf Proto-Oncogene Serine/Threonine Kinase; TP53, Tumor Protein p53; mFOLFOX6, Modified FOLFOX6 (5-Fluorouracil, Leucovorin, Oxaliplatin) Regimen; T-DXd, Tra</w:t>
      </w:r>
      <w:r>
        <w:rPr>
          <w:rFonts w:asciiTheme="majorBidi" w:hAnsiTheme="majorBidi" w:cstheme="majorBidi"/>
          <w:sz w:val="20"/>
          <w:szCs w:val="20"/>
        </w:rPr>
        <w:t>stuzumab Deruxtecan; CRC, Colorectal Cancer.</w:t>
      </w:r>
    </w:p>
    <w:p w14:paraId="34DD9B5F" w14:textId="77777777" w:rsidR="00872A7E" w:rsidRDefault="00872A7E">
      <w:pPr>
        <w:spacing w:beforeLines="0" w:before="100" w:beforeAutospacing="1" w:afterLines="0" w:after="100" w:afterAutospacing="1"/>
        <w:ind w:firstLine="0"/>
        <w:rPr>
          <w:rFonts w:asciiTheme="majorBidi" w:hAnsiTheme="majorBidi" w:cstheme="majorBidi"/>
          <w:sz w:val="20"/>
          <w:szCs w:val="20"/>
        </w:rPr>
      </w:pPr>
    </w:p>
    <w:p w14:paraId="34DD9B60"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 xml:space="preserve">4. Extended rationale and cross-checks </w:t>
      </w:r>
    </w:p>
    <w:p w14:paraId="34DD9B61"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For each study and primary outcome, we cite the exact protocol or registry references, such as NCT02563002 [KEYNOTE‑177], NCT03981796 [RUBY], NCT03523585 [DESTINY‑Breast02], NCT03329690 [DESTINY‑Gastric01], NCT04704934 [DESTINY‑Gastric04], NCT02928224 [BEACON], and NCT04607421 [BREAKWATER]. We also include details on adjudication processes, covering BICR charters and RMST specifications, crossing over policies, and controls for multiplicity. Nonrandomized studies are described using covariate lists, propens</w:t>
      </w:r>
      <w:r>
        <w:rPr>
          <w:rFonts w:asciiTheme="majorBidi" w:hAnsiTheme="majorBidi" w:cstheme="majorBidi"/>
          <w:sz w:val="20"/>
          <w:szCs w:val="20"/>
        </w:rPr>
        <w:t>ity and balance diagnostics, and features of target-trial emulation, such as time-zero alignment and contemporaneity, along with discussions of residual confounding and the risk of immortal time bias. For ADC programs, adjudication procedures for ILD/pneumonitis are summarized, with regional variations explained in context.</w:t>
      </w:r>
    </w:p>
    <w:p w14:paraId="34DD9B62" w14:textId="77777777" w:rsidR="00872A7E" w:rsidRDefault="00872A7E">
      <w:pPr>
        <w:spacing w:beforeLines="0" w:before="100" w:beforeAutospacing="1" w:afterLines="0" w:after="100" w:afterAutospacing="1"/>
        <w:rPr>
          <w:rFonts w:asciiTheme="majorBidi" w:hAnsiTheme="majorBidi" w:cstheme="majorBidi"/>
          <w:sz w:val="20"/>
          <w:szCs w:val="20"/>
        </w:rPr>
      </w:pPr>
    </w:p>
    <w:p w14:paraId="34DD9B63"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t>5. Influence on synthesis and certainty</w:t>
      </w:r>
    </w:p>
    <w:p w14:paraId="34DD9B64"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Excluding high- and serious-risk studies resulted in narrower confidence intervals and reduced heterogeneity; however, it did not alter the overall conclusions. The primary randomized evidence, supported by BICR adjudication, served as the basis for pooled efficacy assessments, as seen in studies such as KEYNOTE-177, CheckMate 8HW, RUBY, DESTINY, BEACON, and BREAKWATER. There is a potential for bias in these findings. Investigator-assessed endpoints might slightly favor active treatment arms for subjective </w:t>
      </w:r>
      <w:r>
        <w:rPr>
          <w:rFonts w:asciiTheme="majorBidi" w:hAnsiTheme="majorBidi" w:cstheme="majorBidi"/>
          <w:sz w:val="20"/>
          <w:szCs w:val="20"/>
        </w:rPr>
        <w:t>measures. Additionally, crossover in KEYNOTE-177 probably biases overall survival results toward no difference. Observational confounding factors can also artificially inflate perceived benefits. Therefore, the GRADE assessment was downgraded: for OS in cases of crossover (moderate certainty) and for indirect or observational comparisons (low to moderate certainty).</w:t>
      </w:r>
    </w:p>
    <w:p w14:paraId="34DD9B65" w14:textId="77777777" w:rsidR="00872A7E" w:rsidRDefault="00872A7E">
      <w:pPr>
        <w:spacing w:beforeLines="0" w:before="100" w:beforeAutospacing="1" w:afterLines="0" w:after="100" w:afterAutospacing="1"/>
        <w:rPr>
          <w:rFonts w:asciiTheme="majorBidi" w:hAnsiTheme="majorBidi" w:cstheme="majorBidi"/>
          <w:sz w:val="20"/>
          <w:szCs w:val="20"/>
        </w:rPr>
      </w:pPr>
    </w:p>
    <w:p w14:paraId="6802C6E5" w14:textId="77777777" w:rsidR="00245D71" w:rsidRDefault="00245D71">
      <w:pPr>
        <w:spacing w:beforeLines="0" w:before="100" w:beforeAutospacing="1" w:afterLines="0" w:after="100" w:afterAutospacing="1"/>
        <w:rPr>
          <w:rFonts w:asciiTheme="majorBidi" w:hAnsiTheme="majorBidi" w:cstheme="majorBidi"/>
          <w:sz w:val="20"/>
          <w:szCs w:val="20"/>
        </w:rPr>
      </w:pPr>
    </w:p>
    <w:p w14:paraId="34DD9B66" w14:textId="77777777" w:rsidR="00872A7E" w:rsidRDefault="00037403">
      <w:pPr>
        <w:spacing w:beforeLines="0" w:before="100" w:beforeAutospacing="1" w:afterLines="0" w:after="100" w:afterAutospacing="1"/>
        <w:ind w:firstLine="0"/>
        <w:rPr>
          <w:rFonts w:asciiTheme="majorBidi" w:hAnsiTheme="majorBidi" w:cstheme="majorBidi"/>
          <w:b/>
          <w:bCs/>
          <w:sz w:val="20"/>
          <w:szCs w:val="20"/>
        </w:rPr>
      </w:pPr>
      <w:r>
        <w:rPr>
          <w:rFonts w:asciiTheme="majorBidi" w:hAnsiTheme="majorBidi" w:cstheme="majorBidi"/>
          <w:b/>
          <w:bCs/>
          <w:sz w:val="20"/>
          <w:szCs w:val="20"/>
        </w:rPr>
        <w:lastRenderedPageBreak/>
        <w:t xml:space="preserve">6. Reporting bias assessment (small-study effects/publication </w:t>
      </w:r>
      <w:r>
        <w:rPr>
          <w:rFonts w:asciiTheme="majorBidi" w:hAnsiTheme="majorBidi" w:cstheme="majorBidi"/>
          <w:b/>
          <w:bCs/>
          <w:sz w:val="20"/>
          <w:szCs w:val="20"/>
          <w:cs/>
        </w:rPr>
        <w:t>‎</w:t>
      </w:r>
      <w:proofErr w:type="gramStart"/>
      <w:r>
        <w:rPr>
          <w:rFonts w:asciiTheme="majorBidi" w:hAnsiTheme="majorBidi" w:cstheme="majorBidi"/>
          <w:b/>
          <w:bCs/>
          <w:sz w:val="20"/>
          <w:szCs w:val="20"/>
        </w:rPr>
        <w:t xml:space="preserve">bias)  </w:t>
      </w:r>
      <w:r>
        <w:rPr>
          <w:rFonts w:asciiTheme="majorBidi" w:hAnsiTheme="majorBidi" w:cstheme="majorBidi"/>
          <w:b/>
          <w:bCs/>
          <w:sz w:val="20"/>
          <w:szCs w:val="20"/>
          <w:cs/>
        </w:rPr>
        <w:t>‎</w:t>
      </w:r>
      <w:proofErr w:type="gramEnd"/>
    </w:p>
    <w:p w14:paraId="34DD9B67" w14:textId="77777777" w:rsidR="00872A7E" w:rsidRDefault="00037403">
      <w:pPr>
        <w:spacing w:beforeLines="0" w:before="100" w:beforeAutospacing="1" w:afterLines="0" w:after="100" w:afterAutospacing="1"/>
        <w:rPr>
          <w:rFonts w:asciiTheme="majorBidi" w:hAnsiTheme="majorBidi" w:cstheme="majorBidi"/>
          <w:sz w:val="20"/>
          <w:szCs w:val="20"/>
        </w:rPr>
      </w:pPr>
      <w:r>
        <w:rPr>
          <w:rFonts w:asciiTheme="majorBidi" w:hAnsiTheme="majorBidi" w:cstheme="majorBidi"/>
          <w:sz w:val="20"/>
          <w:szCs w:val="20"/>
        </w:rPr>
        <w:t xml:space="preserve">Small-study effects were assessed using contour-enhanced </w:t>
      </w:r>
      <w:r>
        <w:rPr>
          <w:rFonts w:asciiTheme="majorBidi" w:hAnsiTheme="majorBidi" w:cstheme="majorBidi"/>
          <w:sz w:val="20"/>
          <w:szCs w:val="20"/>
          <w:cs/>
        </w:rPr>
        <w:t>‎</w:t>
      </w:r>
      <w:r>
        <w:rPr>
          <w:rFonts w:asciiTheme="majorBidi" w:hAnsiTheme="majorBidi" w:cstheme="majorBidi"/>
          <w:sz w:val="20"/>
          <w:szCs w:val="20"/>
        </w:rPr>
        <w:t xml:space="preserve">funnel plots and regression-based asymmetry tests, applied only </w:t>
      </w:r>
      <w:r>
        <w:rPr>
          <w:rFonts w:asciiTheme="majorBidi" w:hAnsiTheme="majorBidi" w:cstheme="majorBidi"/>
          <w:sz w:val="20"/>
          <w:szCs w:val="20"/>
          <w:cs/>
        </w:rPr>
        <w:t>‎</w:t>
      </w:r>
      <w:r>
        <w:rPr>
          <w:rFonts w:asciiTheme="majorBidi" w:hAnsiTheme="majorBidi" w:cstheme="majorBidi"/>
          <w:sz w:val="20"/>
          <w:szCs w:val="20"/>
        </w:rPr>
        <w:t xml:space="preserve">when the number of contributing effect sizes met a prespecified </w:t>
      </w:r>
      <w:r>
        <w:rPr>
          <w:rFonts w:asciiTheme="majorBidi" w:hAnsiTheme="majorBidi" w:cstheme="majorBidi"/>
          <w:sz w:val="20"/>
          <w:szCs w:val="20"/>
          <w:cs/>
        </w:rPr>
        <w:t>‎</w:t>
      </w:r>
      <w:r>
        <w:rPr>
          <w:rFonts w:asciiTheme="majorBidi" w:hAnsiTheme="majorBidi" w:cstheme="majorBidi"/>
          <w:sz w:val="20"/>
          <w:szCs w:val="20"/>
        </w:rPr>
        <w:t xml:space="preserve">minimum (k ≥ 10). For dichotomous outcomes synthesized as risk </w:t>
      </w:r>
      <w:r>
        <w:rPr>
          <w:rFonts w:asciiTheme="majorBidi" w:hAnsiTheme="majorBidi" w:cstheme="majorBidi"/>
          <w:sz w:val="20"/>
          <w:szCs w:val="20"/>
          <w:cs/>
        </w:rPr>
        <w:t>‎</w:t>
      </w:r>
      <w:r>
        <w:rPr>
          <w:rFonts w:asciiTheme="majorBidi" w:hAnsiTheme="majorBidi" w:cstheme="majorBidi"/>
          <w:sz w:val="20"/>
          <w:szCs w:val="20"/>
        </w:rPr>
        <w:t xml:space="preserve">ratios (RR), analyses were conducted on the log risk ratio (log RR) </w:t>
      </w:r>
      <w:r>
        <w:rPr>
          <w:rFonts w:asciiTheme="majorBidi" w:hAnsiTheme="majorBidi" w:cstheme="majorBidi"/>
          <w:sz w:val="20"/>
          <w:szCs w:val="20"/>
          <w:cs/>
        </w:rPr>
        <w:t>‎</w:t>
      </w:r>
      <w:r>
        <w:rPr>
          <w:rFonts w:asciiTheme="majorBidi" w:hAnsiTheme="majorBidi" w:cstheme="majorBidi"/>
          <w:sz w:val="20"/>
          <w:szCs w:val="20"/>
        </w:rPr>
        <w:t xml:space="preserve">scale with corresponding standard errors; for time-to-event </w:t>
      </w:r>
      <w:r>
        <w:rPr>
          <w:rFonts w:asciiTheme="majorBidi" w:hAnsiTheme="majorBidi" w:cstheme="majorBidi"/>
          <w:sz w:val="20"/>
          <w:szCs w:val="20"/>
          <w:cs/>
        </w:rPr>
        <w:t>‎</w:t>
      </w:r>
      <w:r>
        <w:rPr>
          <w:rFonts w:asciiTheme="majorBidi" w:hAnsiTheme="majorBidi" w:cstheme="majorBidi"/>
          <w:sz w:val="20"/>
          <w:szCs w:val="20"/>
        </w:rPr>
        <w:t xml:space="preserve">outcomes synthesized as hazard ratios (HR), analyses were </w:t>
      </w:r>
      <w:r>
        <w:rPr>
          <w:rFonts w:asciiTheme="majorBidi" w:hAnsiTheme="majorBidi" w:cstheme="majorBidi"/>
          <w:sz w:val="20"/>
          <w:szCs w:val="20"/>
          <w:cs/>
        </w:rPr>
        <w:t>‎</w:t>
      </w:r>
      <w:r>
        <w:rPr>
          <w:rFonts w:asciiTheme="majorBidi" w:hAnsiTheme="majorBidi" w:cstheme="majorBidi"/>
          <w:sz w:val="20"/>
          <w:szCs w:val="20"/>
        </w:rPr>
        <w:t xml:space="preserve">conducted on the log hazard ratio (log HR) scale with </w:t>
      </w:r>
      <w:r>
        <w:rPr>
          <w:rFonts w:asciiTheme="majorBidi" w:hAnsiTheme="majorBidi" w:cstheme="majorBidi"/>
          <w:sz w:val="20"/>
          <w:szCs w:val="20"/>
          <w:cs/>
        </w:rPr>
        <w:t>‎</w:t>
      </w:r>
      <w:r>
        <w:rPr>
          <w:rFonts w:asciiTheme="majorBidi" w:hAnsiTheme="majorBidi" w:cstheme="majorBidi"/>
          <w:sz w:val="20"/>
          <w:szCs w:val="20"/>
        </w:rPr>
        <w:t>corresponding standard errors. Egger’s regression test was used as the pr</w:t>
      </w:r>
      <w:r>
        <w:rPr>
          <w:rFonts w:asciiTheme="majorBidi" w:hAnsiTheme="majorBidi" w:cstheme="majorBidi"/>
          <w:sz w:val="20"/>
          <w:szCs w:val="20"/>
        </w:rPr>
        <w:t>imary asymmetry test (R: metafor package; regtest function), with the Harbord and Peters tests used as sensitivity checks for binary outcomes where appropriate. To further assess the robustness of findings against potential publication bias, selection model approaches (specifically the Vevea &amp; Hedges weight-function model) were applied as exploratory sensitivity analyses for eligible syntheses exhibiting visual or statistical asymmetry. For pooled analyses with k &lt; 10, formal asymmetry testing was not perfo</w:t>
      </w:r>
      <w:r>
        <w:rPr>
          <w:rFonts w:asciiTheme="majorBidi" w:hAnsiTheme="majorBidi" w:cstheme="majorBidi"/>
          <w:sz w:val="20"/>
          <w:szCs w:val="20"/>
        </w:rPr>
        <w:t>rmed; funnel plots were instead interpreted qualitatively with explicit caution regarding low statistical power and reliability. Full specifications, including test type, metric, software, eligibility criteria, and selection model results, are detailed in Supplementary Table S8.</w:t>
      </w:r>
      <w:r>
        <w:rPr>
          <w:rFonts w:asciiTheme="majorBidi" w:hAnsiTheme="majorBidi" w:cstheme="majorBidi"/>
          <w:sz w:val="20"/>
          <w:szCs w:val="20"/>
          <w:cs/>
        </w:rPr>
        <w:t>‎</w:t>
      </w:r>
    </w:p>
    <w:p w14:paraId="34DD9B68"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S4. Trial-Report Linkage and Endpoint Contribution Map (to prevent double-counting across multiple publications/updates)</w:t>
      </w:r>
    </w:p>
    <w:p w14:paraId="34DD9B69"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4"/>
        <w:gridCol w:w="2324"/>
        <w:gridCol w:w="1803"/>
        <w:gridCol w:w="7777"/>
      </w:tblGrid>
      <w:tr w:rsidR="00872A7E" w14:paraId="34DD9B6E" w14:textId="77777777">
        <w:tc>
          <w:tcPr>
            <w:tcW w:w="0" w:type="auto"/>
            <w:tcBorders>
              <w:top w:val="single" w:sz="4" w:space="0" w:color="auto"/>
              <w:bottom w:val="single" w:sz="4" w:space="0" w:color="auto"/>
            </w:tcBorders>
          </w:tcPr>
          <w:p w14:paraId="34DD9B6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Underlying Trial / Program (NCT ID) </w:t>
            </w:r>
          </w:p>
        </w:tc>
        <w:tc>
          <w:tcPr>
            <w:tcW w:w="0" w:type="auto"/>
            <w:tcBorders>
              <w:top w:val="single" w:sz="4" w:space="0" w:color="auto"/>
              <w:bottom w:val="single" w:sz="4" w:space="0" w:color="auto"/>
            </w:tcBorders>
          </w:tcPr>
          <w:p w14:paraId="34DD9B6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Linked Reports Captured </w:t>
            </w:r>
          </w:p>
        </w:tc>
        <w:tc>
          <w:tcPr>
            <w:tcW w:w="0" w:type="auto"/>
            <w:tcBorders>
              <w:top w:val="single" w:sz="4" w:space="0" w:color="auto"/>
              <w:bottom w:val="single" w:sz="4" w:space="0" w:color="auto"/>
            </w:tcBorders>
          </w:tcPr>
          <w:p w14:paraId="34DD9B6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Endpoints Contributed to Synthesis </w:t>
            </w:r>
          </w:p>
        </w:tc>
        <w:tc>
          <w:tcPr>
            <w:tcW w:w="0" w:type="auto"/>
            <w:tcBorders>
              <w:top w:val="single" w:sz="4" w:space="0" w:color="auto"/>
              <w:bottom w:val="single" w:sz="4" w:space="0" w:color="auto"/>
            </w:tcBorders>
          </w:tcPr>
          <w:p w14:paraId="34DD9B6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Selection Rule &amp; Double-Counting Prevention Note </w:t>
            </w:r>
          </w:p>
        </w:tc>
      </w:tr>
      <w:tr w:rsidR="00872A7E" w14:paraId="34DD9B79" w14:textId="77777777">
        <w:tc>
          <w:tcPr>
            <w:tcW w:w="0" w:type="auto"/>
            <w:tcBorders>
              <w:top w:val="single" w:sz="4" w:space="0" w:color="auto"/>
            </w:tcBorders>
          </w:tcPr>
          <w:p w14:paraId="34DD9B6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KEYNOTE-177 (NCT02563002) </w:t>
            </w:r>
          </w:p>
        </w:tc>
        <w:tc>
          <w:tcPr>
            <w:tcW w:w="0" w:type="auto"/>
            <w:tcBorders>
              <w:top w:val="single" w:sz="4" w:space="0" w:color="auto"/>
            </w:tcBorders>
          </w:tcPr>
          <w:p w14:paraId="34DD9B70"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1. André T et al., 2020 NEJM (Primary)</w:t>
            </w:r>
          </w:p>
          <w:p w14:paraId="34DD9B71"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2. André T et al., 2025 Ann Oncol (5-yr update)</w:t>
            </w:r>
          </w:p>
          <w:p w14:paraId="34DD9B7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3. Casak SJ et al., 2021 Clin Cancer Res (FDA)</w:t>
            </w:r>
          </w:p>
          <w:p w14:paraId="34DD9B7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4. Yoshino T et al., 2023 Cancer Sci (Asian) </w:t>
            </w:r>
          </w:p>
        </w:tc>
        <w:tc>
          <w:tcPr>
            <w:tcW w:w="0" w:type="auto"/>
            <w:tcBorders>
              <w:top w:val="single" w:sz="4" w:space="0" w:color="auto"/>
            </w:tcBorders>
          </w:tcPr>
          <w:p w14:paraId="34DD9B74" w14:textId="77777777" w:rsidR="00872A7E" w:rsidRPr="001F6E82" w:rsidRDefault="00037403">
            <w:pPr>
              <w:spacing w:before="96" w:after="96"/>
              <w:ind w:firstLine="0"/>
              <w:rPr>
                <w:rFonts w:asciiTheme="majorBidi" w:hAnsiTheme="majorBidi" w:cstheme="majorBidi"/>
                <w:sz w:val="16"/>
                <w:szCs w:val="16"/>
                <w:lang w:val="pt-BR"/>
              </w:rPr>
            </w:pPr>
            <w:r w:rsidRPr="001F6E82">
              <w:rPr>
                <w:rFonts w:asciiTheme="majorBidi" w:hAnsiTheme="majorBidi" w:cstheme="majorBidi"/>
                <w:sz w:val="16"/>
                <w:szCs w:val="16"/>
                <w:lang w:val="pt-BR"/>
              </w:rPr>
              <w:t>PFS, ORR, Safety: André 2020</w:t>
            </w:r>
          </w:p>
          <w:p w14:paraId="34DD9B75" w14:textId="77777777" w:rsidR="00872A7E" w:rsidRPr="001F6E82" w:rsidRDefault="00037403">
            <w:pPr>
              <w:spacing w:before="96" w:after="96"/>
              <w:ind w:firstLine="0"/>
              <w:rPr>
                <w:rFonts w:asciiTheme="majorBidi" w:hAnsiTheme="majorBidi" w:cstheme="majorBidi"/>
                <w:sz w:val="16"/>
                <w:szCs w:val="16"/>
                <w:lang w:val="pt-BR"/>
              </w:rPr>
            </w:pPr>
            <w:r w:rsidRPr="001F6E82">
              <w:rPr>
                <w:rFonts w:asciiTheme="majorBidi" w:hAnsiTheme="majorBidi" w:cstheme="majorBidi"/>
                <w:sz w:val="16"/>
                <w:szCs w:val="16"/>
                <w:lang w:val="pt-BR"/>
              </w:rPr>
              <w:t>OS, DoR: André 2025</w:t>
            </w:r>
          </w:p>
          <w:p w14:paraId="34DD9B7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Subgroup (Context): Yoshino 2023 </w:t>
            </w:r>
          </w:p>
        </w:tc>
        <w:tc>
          <w:tcPr>
            <w:tcW w:w="0" w:type="auto"/>
            <w:tcBorders>
              <w:top w:val="single" w:sz="4" w:space="0" w:color="auto"/>
            </w:tcBorders>
          </w:tcPr>
          <w:p w14:paraId="34DD9B7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Rule: Most mature peer-reviewed </w:t>
            </w:r>
            <w:proofErr w:type="gramStart"/>
            <w:r>
              <w:rPr>
                <w:rFonts w:asciiTheme="majorBidi" w:hAnsiTheme="majorBidi" w:cstheme="majorBidi"/>
                <w:sz w:val="16"/>
                <w:szCs w:val="16"/>
              </w:rPr>
              <w:t>report</w:t>
            </w:r>
            <w:proofErr w:type="gramEnd"/>
            <w:r>
              <w:rPr>
                <w:rFonts w:asciiTheme="majorBidi" w:hAnsiTheme="majorBidi" w:cstheme="majorBidi"/>
                <w:sz w:val="16"/>
                <w:szCs w:val="16"/>
              </w:rPr>
              <w:t xml:space="preserve"> used per endpoint. </w:t>
            </w:r>
          </w:p>
          <w:p w14:paraId="34DD9B7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André 2020 used for PFS/ORR (primary estimand); André 2025 used for final OS. FDA summary (Casak) </w:t>
            </w:r>
            <w:proofErr w:type="gramStart"/>
            <w:r>
              <w:rPr>
                <w:rFonts w:asciiTheme="majorBidi" w:hAnsiTheme="majorBidi" w:cstheme="majorBidi"/>
                <w:sz w:val="16"/>
                <w:szCs w:val="16"/>
              </w:rPr>
              <w:t>used</w:t>
            </w:r>
            <w:proofErr w:type="gramEnd"/>
            <w:r>
              <w:rPr>
                <w:rFonts w:asciiTheme="majorBidi" w:hAnsiTheme="majorBidi" w:cstheme="majorBidi"/>
                <w:sz w:val="16"/>
                <w:szCs w:val="16"/>
              </w:rPr>
              <w:t xml:space="preserve"> for triangulation only. Yoshino 2023 analyzed as a separate regional subgroup, not pooled with the global ITT set. </w:t>
            </w:r>
          </w:p>
        </w:tc>
      </w:tr>
      <w:tr w:rsidR="00872A7E" w14:paraId="34DD9B7F" w14:textId="77777777">
        <w:tc>
          <w:tcPr>
            <w:tcW w:w="0" w:type="auto"/>
          </w:tcPr>
          <w:p w14:paraId="34DD9B7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CheckMate 8HW (NCT04008030) </w:t>
            </w:r>
          </w:p>
        </w:tc>
        <w:tc>
          <w:tcPr>
            <w:tcW w:w="0" w:type="auto"/>
          </w:tcPr>
          <w:p w14:paraId="34DD9B7B"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André T et al., 2024 NEJM </w:t>
            </w:r>
          </w:p>
        </w:tc>
        <w:tc>
          <w:tcPr>
            <w:tcW w:w="0" w:type="auto"/>
          </w:tcPr>
          <w:p w14:paraId="34DD9B7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(RMST), Safety </w:t>
            </w:r>
          </w:p>
        </w:tc>
        <w:tc>
          <w:tcPr>
            <w:tcW w:w="0" w:type="auto"/>
          </w:tcPr>
          <w:p w14:paraId="34DD9B7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interim analysis (BICR).</w:t>
            </w:r>
          </w:p>
          <w:p w14:paraId="34DD9B7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Single report used. RMST reconstruction performed due to non-proportional hazards. </w:t>
            </w:r>
          </w:p>
        </w:tc>
      </w:tr>
      <w:tr w:rsidR="00872A7E" w14:paraId="34DD9B87" w14:textId="77777777">
        <w:tc>
          <w:tcPr>
            <w:tcW w:w="0" w:type="auto"/>
          </w:tcPr>
          <w:p w14:paraId="34DD9B8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DESTINY-Breast04 (NCT03734029) </w:t>
            </w:r>
          </w:p>
        </w:tc>
        <w:tc>
          <w:tcPr>
            <w:tcW w:w="0" w:type="auto"/>
          </w:tcPr>
          <w:p w14:paraId="34DD9B81"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1. Modi S et al., 2025 Nat Med (Long-term)</w:t>
            </w:r>
          </w:p>
          <w:p w14:paraId="34DD9B82"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2. Narayan P et al., 2023 JCO (FDA)</w:t>
            </w:r>
          </w:p>
          <w:p w14:paraId="34DD9B8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3. Yamashita T et al., 2024 Breast Cancer (Asian) </w:t>
            </w:r>
          </w:p>
        </w:tc>
        <w:tc>
          <w:tcPr>
            <w:tcW w:w="0" w:type="auto"/>
          </w:tcPr>
          <w:p w14:paraId="34DD9B8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OS, PFS, ORR, Safety: Modi 2025 </w:t>
            </w:r>
          </w:p>
        </w:tc>
        <w:tc>
          <w:tcPr>
            <w:tcW w:w="0" w:type="auto"/>
          </w:tcPr>
          <w:p w14:paraId="34DD9B8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Most mature long-term data prioritized.</w:t>
            </w:r>
          </w:p>
          <w:p w14:paraId="34DD9B8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Modi 2025 is the primary source for global pooling. Asian subgroup (Yamashita) and FDA summary (Narayan) used for sensitivity/context only. </w:t>
            </w:r>
          </w:p>
        </w:tc>
      </w:tr>
      <w:tr w:rsidR="00872A7E" w14:paraId="34DD9B8D" w14:textId="77777777">
        <w:tc>
          <w:tcPr>
            <w:tcW w:w="0" w:type="auto"/>
          </w:tcPr>
          <w:p w14:paraId="34DD9B8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DESTINY-Breast02 (NCT03523585) </w:t>
            </w:r>
          </w:p>
        </w:tc>
        <w:tc>
          <w:tcPr>
            <w:tcW w:w="0" w:type="auto"/>
          </w:tcPr>
          <w:p w14:paraId="34DD9B89"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André F et al., 2023 Lancet </w:t>
            </w:r>
          </w:p>
        </w:tc>
        <w:tc>
          <w:tcPr>
            <w:tcW w:w="0" w:type="auto"/>
          </w:tcPr>
          <w:p w14:paraId="34DD9B8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OS, ORR, Safety </w:t>
            </w:r>
          </w:p>
        </w:tc>
        <w:tc>
          <w:tcPr>
            <w:tcW w:w="0" w:type="auto"/>
          </w:tcPr>
          <w:p w14:paraId="34DD9B8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8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lastRenderedPageBreak/>
              <w:t xml:space="preserve">Note: Single contribution to HER2+ mBC post-T-DM1 synthesis. </w:t>
            </w:r>
          </w:p>
        </w:tc>
      </w:tr>
      <w:tr w:rsidR="00872A7E" w14:paraId="34DD9B93" w14:textId="77777777">
        <w:tc>
          <w:tcPr>
            <w:tcW w:w="0" w:type="auto"/>
          </w:tcPr>
          <w:p w14:paraId="34DD9B8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lastRenderedPageBreak/>
              <w:t xml:space="preserve">DESTINY-Gastric01 (NCT03329690) </w:t>
            </w:r>
          </w:p>
        </w:tc>
        <w:tc>
          <w:tcPr>
            <w:tcW w:w="0" w:type="auto"/>
          </w:tcPr>
          <w:p w14:paraId="34DD9B8F"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Shitara K et al., 2020 NEJM </w:t>
            </w:r>
          </w:p>
        </w:tc>
        <w:tc>
          <w:tcPr>
            <w:tcW w:w="0" w:type="auto"/>
          </w:tcPr>
          <w:p w14:paraId="34DD9B9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ORR, PFS, OS, Safety </w:t>
            </w:r>
          </w:p>
        </w:tc>
        <w:tc>
          <w:tcPr>
            <w:tcW w:w="0" w:type="auto"/>
          </w:tcPr>
          <w:p w14:paraId="34DD9B9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9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Single contribution. </w:t>
            </w:r>
          </w:p>
        </w:tc>
      </w:tr>
      <w:tr w:rsidR="00872A7E" w14:paraId="34DD9B99" w14:textId="77777777">
        <w:tc>
          <w:tcPr>
            <w:tcW w:w="0" w:type="auto"/>
          </w:tcPr>
          <w:p w14:paraId="34DD9B9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DESTINY-Gastric04 (NCT04704934) </w:t>
            </w:r>
          </w:p>
        </w:tc>
        <w:tc>
          <w:tcPr>
            <w:tcW w:w="0" w:type="auto"/>
          </w:tcPr>
          <w:p w14:paraId="34DD9B95"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Shitara K et al., 2025 NEJM </w:t>
            </w:r>
          </w:p>
        </w:tc>
        <w:tc>
          <w:tcPr>
            <w:tcW w:w="0" w:type="auto"/>
          </w:tcPr>
          <w:p w14:paraId="34DD9B9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OS, PFS, ORR, Safety </w:t>
            </w:r>
          </w:p>
        </w:tc>
        <w:tc>
          <w:tcPr>
            <w:tcW w:w="0" w:type="auto"/>
          </w:tcPr>
          <w:p w14:paraId="34DD9B9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9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Single contribution. </w:t>
            </w:r>
          </w:p>
        </w:tc>
      </w:tr>
      <w:tr w:rsidR="00872A7E" w14:paraId="34DD9BA2" w14:textId="77777777">
        <w:tc>
          <w:tcPr>
            <w:tcW w:w="0" w:type="auto"/>
          </w:tcPr>
          <w:p w14:paraId="34DD9B9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RUBY (NCT03981796) </w:t>
            </w:r>
          </w:p>
        </w:tc>
        <w:tc>
          <w:tcPr>
            <w:tcW w:w="0" w:type="auto"/>
          </w:tcPr>
          <w:p w14:paraId="34DD9B9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1. Mirza MR et al., 2023 NEJM (Primary)</w:t>
            </w:r>
          </w:p>
          <w:p w14:paraId="34DD9B9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2. Powell MA et al., 2024 Ann Oncol (OS update)</w:t>
            </w:r>
          </w:p>
          <w:p w14:paraId="34DD9B9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3. Powell MA et al., 2025 Gynecol Oncol (dMMR subset) </w:t>
            </w:r>
          </w:p>
        </w:tc>
        <w:tc>
          <w:tcPr>
            <w:tcW w:w="0" w:type="auto"/>
          </w:tcPr>
          <w:p w14:paraId="34DD9B9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PFS, Safety: Mirza 2023</w:t>
            </w:r>
          </w:p>
          <w:p w14:paraId="34DD9B9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OS: Powell 2024 </w:t>
            </w:r>
          </w:p>
        </w:tc>
        <w:tc>
          <w:tcPr>
            <w:tcW w:w="0" w:type="auto"/>
          </w:tcPr>
          <w:p w14:paraId="34DD9BA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Most mature specific report per endpoint.</w:t>
            </w:r>
          </w:p>
          <w:p w14:paraId="34DD9BA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Mirza 2023 used for PFS/Safety; Powell 2024 for final OS. Powell 2025 used only for dMMR-specific stratification logic, not duplicated in overall analysis. </w:t>
            </w:r>
          </w:p>
        </w:tc>
      </w:tr>
      <w:tr w:rsidR="00872A7E" w14:paraId="34DD9BAA" w14:textId="77777777">
        <w:tc>
          <w:tcPr>
            <w:tcW w:w="0" w:type="auto"/>
          </w:tcPr>
          <w:p w14:paraId="34DD9BA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BEACON CRC (NCT02928224) </w:t>
            </w:r>
          </w:p>
        </w:tc>
        <w:tc>
          <w:tcPr>
            <w:tcW w:w="0" w:type="auto"/>
          </w:tcPr>
          <w:p w14:paraId="34DD9BA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1. Kopetz S et al., 2019 NEJM</w:t>
            </w:r>
          </w:p>
          <w:p w14:paraId="34DD9BA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 Stintzing S et al., 2022 Clin Colorectal Cancer </w:t>
            </w:r>
          </w:p>
        </w:tc>
        <w:tc>
          <w:tcPr>
            <w:tcW w:w="0" w:type="auto"/>
          </w:tcPr>
          <w:p w14:paraId="34DD9BA6" w14:textId="77777777" w:rsidR="00872A7E" w:rsidRPr="001F6E82" w:rsidRDefault="00037403">
            <w:pPr>
              <w:spacing w:before="96" w:after="96"/>
              <w:ind w:firstLine="0"/>
              <w:rPr>
                <w:rFonts w:asciiTheme="majorBidi" w:hAnsiTheme="majorBidi" w:cstheme="majorBidi"/>
                <w:sz w:val="16"/>
                <w:szCs w:val="16"/>
                <w:lang w:val="pt-BR"/>
              </w:rPr>
            </w:pPr>
            <w:r w:rsidRPr="001F6E82">
              <w:rPr>
                <w:rFonts w:asciiTheme="majorBidi" w:hAnsiTheme="majorBidi" w:cstheme="majorBidi"/>
                <w:sz w:val="16"/>
                <w:szCs w:val="16"/>
                <w:lang w:val="pt-BR"/>
              </w:rPr>
              <w:t>OS, PFS, ORR: Kopetz 2019</w:t>
            </w:r>
          </w:p>
          <w:p w14:paraId="34DD9BA7" w14:textId="77777777" w:rsidR="00872A7E" w:rsidRPr="001F6E82" w:rsidRDefault="00037403">
            <w:pPr>
              <w:spacing w:before="96" w:after="96"/>
              <w:ind w:firstLine="0"/>
              <w:rPr>
                <w:rFonts w:asciiTheme="majorBidi" w:hAnsiTheme="majorBidi" w:cstheme="majorBidi"/>
                <w:sz w:val="16"/>
                <w:szCs w:val="16"/>
                <w:lang w:val="pt-BR"/>
              </w:rPr>
            </w:pPr>
            <w:r w:rsidRPr="001F6E82">
              <w:rPr>
                <w:rFonts w:asciiTheme="majorBidi" w:hAnsiTheme="majorBidi" w:cstheme="majorBidi"/>
                <w:sz w:val="16"/>
                <w:szCs w:val="16"/>
                <w:lang w:val="pt-BR"/>
              </w:rPr>
              <w:t xml:space="preserve">Context: Stintzing 2022 </w:t>
            </w:r>
          </w:p>
        </w:tc>
        <w:tc>
          <w:tcPr>
            <w:tcW w:w="0" w:type="auto"/>
          </w:tcPr>
          <w:p w14:paraId="34DD9BA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for efficacy.</w:t>
            </w:r>
          </w:p>
          <w:p w14:paraId="34DD9BA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Kopetz 2019 used for primary pooled efficacy to ensure intention-to-treat sample consistency. Stintzing 2022 </w:t>
            </w:r>
            <w:proofErr w:type="gramStart"/>
            <w:r>
              <w:rPr>
                <w:rFonts w:asciiTheme="majorBidi" w:hAnsiTheme="majorBidi" w:cstheme="majorBidi"/>
                <w:sz w:val="16"/>
                <w:szCs w:val="16"/>
              </w:rPr>
              <w:t>used</w:t>
            </w:r>
            <w:proofErr w:type="gramEnd"/>
            <w:r>
              <w:rPr>
                <w:rFonts w:asciiTheme="majorBidi" w:hAnsiTheme="majorBidi" w:cstheme="majorBidi"/>
                <w:sz w:val="16"/>
                <w:szCs w:val="16"/>
              </w:rPr>
              <w:t xml:space="preserve"> for QoL context only. </w:t>
            </w:r>
          </w:p>
        </w:tc>
      </w:tr>
      <w:tr w:rsidR="00872A7E" w14:paraId="34DD9BB0" w14:textId="77777777">
        <w:tc>
          <w:tcPr>
            <w:tcW w:w="0" w:type="auto"/>
          </w:tcPr>
          <w:p w14:paraId="34DD9BA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 Pooled Brain Mets </w:t>
            </w:r>
          </w:p>
        </w:tc>
        <w:tc>
          <w:tcPr>
            <w:tcW w:w="0" w:type="auto"/>
          </w:tcPr>
          <w:p w14:paraId="34DD9BAC"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André F et al., 2024 Ann Oncol </w:t>
            </w:r>
          </w:p>
        </w:tc>
        <w:tc>
          <w:tcPr>
            <w:tcW w:w="0" w:type="auto"/>
          </w:tcPr>
          <w:p w14:paraId="34DD9BA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Intracranial ORR, CNS-PFS </w:t>
            </w:r>
          </w:p>
        </w:tc>
        <w:tc>
          <w:tcPr>
            <w:tcW w:w="0" w:type="auto"/>
          </w:tcPr>
          <w:p w14:paraId="34DD9BA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Pooled subset analysis.</w:t>
            </w:r>
          </w:p>
          <w:p w14:paraId="34DD9BA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Used only for CNS-specific endpoints not available in the main trial reports. Not pooled with individual trials for systemic endpoints. </w:t>
            </w:r>
          </w:p>
        </w:tc>
      </w:tr>
      <w:tr w:rsidR="00872A7E" w14:paraId="34DD9BB6" w14:textId="77777777">
        <w:tc>
          <w:tcPr>
            <w:tcW w:w="0" w:type="auto"/>
          </w:tcPr>
          <w:p w14:paraId="34DD9BB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T-DXd </w:t>
            </w:r>
            <w:proofErr w:type="gramStart"/>
            <w:r>
              <w:rPr>
                <w:rFonts w:asciiTheme="majorBidi" w:hAnsiTheme="majorBidi" w:cstheme="majorBidi"/>
                <w:b/>
                <w:sz w:val="16"/>
                <w:szCs w:val="16"/>
              </w:rPr>
              <w:t>Post-Endocrine</w:t>
            </w:r>
            <w:proofErr w:type="gramEnd"/>
            <w:r>
              <w:rPr>
                <w:rFonts w:asciiTheme="majorBidi" w:hAnsiTheme="majorBidi" w:cstheme="majorBidi"/>
                <w:b/>
                <w:sz w:val="16"/>
                <w:szCs w:val="16"/>
              </w:rPr>
              <w:t xml:space="preserve"> </w:t>
            </w:r>
          </w:p>
        </w:tc>
        <w:tc>
          <w:tcPr>
            <w:tcW w:w="0" w:type="auto"/>
          </w:tcPr>
          <w:p w14:paraId="34DD9BB2"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Bardia A et al., 2024 NEJM </w:t>
            </w:r>
          </w:p>
        </w:tc>
        <w:tc>
          <w:tcPr>
            <w:tcW w:w="0" w:type="auto"/>
          </w:tcPr>
          <w:p w14:paraId="34DD9BB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ORR, Safety </w:t>
            </w:r>
          </w:p>
        </w:tc>
        <w:tc>
          <w:tcPr>
            <w:tcW w:w="0" w:type="auto"/>
          </w:tcPr>
          <w:p w14:paraId="34DD9BB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B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Distinct trial from DESTINY-Breast04 (different population); analyzed as a separate entry. </w:t>
            </w:r>
          </w:p>
        </w:tc>
      </w:tr>
      <w:tr w:rsidR="00872A7E" w14:paraId="34DD9BBC" w14:textId="77777777">
        <w:tc>
          <w:tcPr>
            <w:tcW w:w="0" w:type="auto"/>
          </w:tcPr>
          <w:p w14:paraId="34DD9BB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SWOG S1406 (NCT02164916) </w:t>
            </w:r>
          </w:p>
        </w:tc>
        <w:tc>
          <w:tcPr>
            <w:tcW w:w="0" w:type="auto"/>
          </w:tcPr>
          <w:p w14:paraId="34DD9BB8"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Kopetz S et al., 2021 JCO </w:t>
            </w:r>
          </w:p>
        </w:tc>
        <w:tc>
          <w:tcPr>
            <w:tcW w:w="0" w:type="auto"/>
          </w:tcPr>
          <w:p w14:paraId="34DD9BB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ORR, Safety </w:t>
            </w:r>
          </w:p>
        </w:tc>
        <w:tc>
          <w:tcPr>
            <w:tcW w:w="0" w:type="auto"/>
          </w:tcPr>
          <w:p w14:paraId="34DD9BB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B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Single contribution. Crossover noted for OS interpretation. </w:t>
            </w:r>
          </w:p>
        </w:tc>
      </w:tr>
      <w:tr w:rsidR="00872A7E" w14:paraId="34DD9BC2" w14:textId="77777777">
        <w:tc>
          <w:tcPr>
            <w:tcW w:w="0" w:type="auto"/>
          </w:tcPr>
          <w:p w14:paraId="34DD9BB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BREAKWATER (NCT04607421) </w:t>
            </w:r>
          </w:p>
        </w:tc>
        <w:tc>
          <w:tcPr>
            <w:tcW w:w="0" w:type="auto"/>
          </w:tcPr>
          <w:p w14:paraId="34DD9BBE"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Elez E et al., 2025 NEJM </w:t>
            </w:r>
          </w:p>
        </w:tc>
        <w:tc>
          <w:tcPr>
            <w:tcW w:w="0" w:type="auto"/>
          </w:tcPr>
          <w:p w14:paraId="34DD9BB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OS, ORR, Safety </w:t>
            </w:r>
          </w:p>
        </w:tc>
        <w:tc>
          <w:tcPr>
            <w:tcW w:w="0" w:type="auto"/>
          </w:tcPr>
          <w:p w14:paraId="34DD9BC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C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Single contribution. </w:t>
            </w:r>
          </w:p>
        </w:tc>
      </w:tr>
      <w:tr w:rsidR="00872A7E" w14:paraId="34DD9BC8" w14:textId="77777777">
        <w:tc>
          <w:tcPr>
            <w:tcW w:w="0" w:type="auto"/>
          </w:tcPr>
          <w:p w14:paraId="34DD9BC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EMILIA (NCT00829166) </w:t>
            </w:r>
          </w:p>
        </w:tc>
        <w:tc>
          <w:tcPr>
            <w:tcW w:w="0" w:type="auto"/>
          </w:tcPr>
          <w:p w14:paraId="34DD9BC4" w14:textId="77777777" w:rsidR="00872A7E" w:rsidRDefault="00037403">
            <w:pPr>
              <w:spacing w:before="96" w:after="96"/>
              <w:ind w:firstLine="0"/>
              <w:rPr>
                <w:rFonts w:asciiTheme="majorBidi" w:hAnsiTheme="majorBidi" w:cstheme="majorBidi"/>
                <w:sz w:val="16"/>
                <w:szCs w:val="16"/>
                <w:lang w:val="da-DK"/>
              </w:rPr>
            </w:pPr>
            <w:r>
              <w:rPr>
                <w:rFonts w:asciiTheme="majorBidi" w:hAnsiTheme="majorBidi" w:cstheme="majorBidi"/>
                <w:sz w:val="16"/>
                <w:szCs w:val="16"/>
                <w:lang w:val="da-DK"/>
              </w:rPr>
              <w:t xml:space="preserve">Verma S et al., 2012 NEJM </w:t>
            </w:r>
          </w:p>
        </w:tc>
        <w:tc>
          <w:tcPr>
            <w:tcW w:w="0" w:type="auto"/>
          </w:tcPr>
          <w:p w14:paraId="34DD9BC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OS, ORR, Safety </w:t>
            </w:r>
          </w:p>
        </w:tc>
        <w:tc>
          <w:tcPr>
            <w:tcW w:w="0" w:type="auto"/>
          </w:tcPr>
          <w:p w14:paraId="34DD9BC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Primary RCT report.</w:t>
            </w:r>
          </w:p>
          <w:p w14:paraId="34DD9BC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Single contribution. </w:t>
            </w:r>
          </w:p>
        </w:tc>
      </w:tr>
      <w:tr w:rsidR="00872A7E" w14:paraId="34DD9BCE" w14:textId="77777777">
        <w:tc>
          <w:tcPr>
            <w:tcW w:w="0" w:type="auto"/>
          </w:tcPr>
          <w:p w14:paraId="34DD9BC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TH3RESA (NCT01419197) </w:t>
            </w:r>
          </w:p>
        </w:tc>
        <w:tc>
          <w:tcPr>
            <w:tcW w:w="0" w:type="auto"/>
          </w:tcPr>
          <w:p w14:paraId="34DD9BC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Wildiers H et al., 2013 Eur J Cancer (Abstract) </w:t>
            </w:r>
          </w:p>
        </w:tc>
        <w:tc>
          <w:tcPr>
            <w:tcW w:w="0" w:type="auto"/>
          </w:tcPr>
          <w:p w14:paraId="34DD9BC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ORR </w:t>
            </w:r>
          </w:p>
        </w:tc>
        <w:tc>
          <w:tcPr>
            <w:tcW w:w="0" w:type="auto"/>
          </w:tcPr>
          <w:p w14:paraId="34DD9BC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Conference abstract.</w:t>
            </w:r>
          </w:p>
          <w:p w14:paraId="34DD9BC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Used as supportive evidence; acknowledged as interim/less detailed. </w:t>
            </w:r>
          </w:p>
        </w:tc>
      </w:tr>
      <w:tr w:rsidR="00872A7E" w14:paraId="34DD9BD6" w14:textId="77777777">
        <w:tc>
          <w:tcPr>
            <w:tcW w:w="0" w:type="auto"/>
          </w:tcPr>
          <w:p w14:paraId="34DD9BC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GARNET (NCT02715284) </w:t>
            </w:r>
          </w:p>
        </w:tc>
        <w:tc>
          <w:tcPr>
            <w:tcW w:w="0" w:type="auto"/>
          </w:tcPr>
          <w:p w14:paraId="34DD9BD0" w14:textId="77777777" w:rsidR="00872A7E" w:rsidRPr="001F6E82" w:rsidRDefault="00037403">
            <w:pPr>
              <w:spacing w:before="96" w:after="96"/>
              <w:ind w:firstLine="0"/>
              <w:rPr>
                <w:rFonts w:asciiTheme="majorBidi" w:hAnsiTheme="majorBidi" w:cstheme="majorBidi"/>
                <w:sz w:val="16"/>
                <w:szCs w:val="16"/>
                <w:lang w:val="pt-BR"/>
              </w:rPr>
            </w:pPr>
            <w:r w:rsidRPr="001F6E82">
              <w:rPr>
                <w:rFonts w:asciiTheme="majorBidi" w:hAnsiTheme="majorBidi" w:cstheme="majorBidi"/>
                <w:sz w:val="16"/>
                <w:szCs w:val="16"/>
                <w:lang w:val="pt-BR"/>
              </w:rPr>
              <w:t>Goulden S et al., 2023 JHEOR (vs External Control)</w:t>
            </w:r>
          </w:p>
          <w:p w14:paraId="34DD9BD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lastRenderedPageBreak/>
              <w:t xml:space="preserve">2. Mathews C et al., 2022 Oncologist (Indirect) </w:t>
            </w:r>
          </w:p>
        </w:tc>
        <w:tc>
          <w:tcPr>
            <w:tcW w:w="0" w:type="auto"/>
          </w:tcPr>
          <w:p w14:paraId="34DD9BD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lastRenderedPageBreak/>
              <w:t>OS, TTD: Goulden 2023</w:t>
            </w:r>
          </w:p>
          <w:p w14:paraId="34DD9BD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Context: Mathews 2022 </w:t>
            </w:r>
          </w:p>
        </w:tc>
        <w:tc>
          <w:tcPr>
            <w:tcW w:w="0" w:type="auto"/>
          </w:tcPr>
          <w:p w14:paraId="34DD9BD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Rule: External control analysis prioritized.</w:t>
            </w:r>
          </w:p>
          <w:p w14:paraId="34DD9BD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Note: Goulden 2023 used for OS/TTD hazard ratios. Mathews 2022 </w:t>
            </w:r>
            <w:proofErr w:type="gramStart"/>
            <w:r>
              <w:rPr>
                <w:rFonts w:asciiTheme="majorBidi" w:hAnsiTheme="majorBidi" w:cstheme="majorBidi"/>
                <w:sz w:val="16"/>
                <w:szCs w:val="16"/>
              </w:rPr>
              <w:t>used</w:t>
            </w:r>
            <w:proofErr w:type="gramEnd"/>
            <w:r>
              <w:rPr>
                <w:rFonts w:asciiTheme="majorBidi" w:hAnsiTheme="majorBidi" w:cstheme="majorBidi"/>
                <w:sz w:val="16"/>
                <w:szCs w:val="16"/>
              </w:rPr>
              <w:t xml:space="preserve"> for indirect context only. </w:t>
            </w:r>
          </w:p>
        </w:tc>
      </w:tr>
    </w:tbl>
    <w:p w14:paraId="34DD9BD7"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BICR, Blinded Independent Central Review; ITT, Intention-to-Treat; RMST, Restricted Mean Survival Time; OS, Overall Survival; PFS, Progression-Free Survival; ORR, Objective Response Rate; DoR, Duration of Response; QoL, Quality of Life; CNS, Central Nervous System; TTD, Time to Treatment Discontinuation.</w:t>
      </w:r>
    </w:p>
    <w:p w14:paraId="34DD9BD8" w14:textId="77777777" w:rsidR="00872A7E" w:rsidRDefault="00872A7E">
      <w:pPr>
        <w:spacing w:before="96" w:after="96"/>
        <w:ind w:firstLine="0"/>
        <w:rPr>
          <w:rFonts w:asciiTheme="majorBidi" w:hAnsiTheme="majorBidi" w:cstheme="majorBidi"/>
          <w:sz w:val="20"/>
          <w:szCs w:val="20"/>
        </w:rPr>
      </w:pPr>
    </w:p>
    <w:p w14:paraId="34DD9BDB"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S5. IPD from KM Reconstructions Transparency</w:t>
      </w:r>
    </w:p>
    <w:p w14:paraId="34DD9BDC"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5"/>
        <w:gridCol w:w="1066"/>
        <w:gridCol w:w="1247"/>
        <w:gridCol w:w="1425"/>
        <w:gridCol w:w="1438"/>
        <w:gridCol w:w="1247"/>
      </w:tblGrid>
      <w:tr w:rsidR="00872A7E" w14:paraId="34DD9BE3" w14:textId="77777777">
        <w:tc>
          <w:tcPr>
            <w:tcW w:w="0" w:type="auto"/>
            <w:tcBorders>
              <w:top w:val="single" w:sz="4" w:space="0" w:color="auto"/>
              <w:bottom w:val="single" w:sz="4" w:space="0" w:color="auto"/>
            </w:tcBorders>
          </w:tcPr>
          <w:p w14:paraId="34DD9BD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Study ID </w:t>
            </w:r>
          </w:p>
        </w:tc>
        <w:tc>
          <w:tcPr>
            <w:tcW w:w="0" w:type="auto"/>
            <w:tcBorders>
              <w:top w:val="single" w:sz="4" w:space="0" w:color="auto"/>
              <w:bottom w:val="single" w:sz="4" w:space="0" w:color="auto"/>
            </w:tcBorders>
          </w:tcPr>
          <w:p w14:paraId="34DD9BD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Outcome </w:t>
            </w:r>
          </w:p>
        </w:tc>
        <w:tc>
          <w:tcPr>
            <w:tcW w:w="0" w:type="auto"/>
            <w:tcBorders>
              <w:top w:val="single" w:sz="4" w:space="0" w:color="auto"/>
              <w:bottom w:val="single" w:sz="4" w:space="0" w:color="auto"/>
            </w:tcBorders>
          </w:tcPr>
          <w:p w14:paraId="34DD9BD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Reason </w:t>
            </w:r>
          </w:p>
        </w:tc>
        <w:tc>
          <w:tcPr>
            <w:tcW w:w="0" w:type="auto"/>
            <w:tcBorders>
              <w:top w:val="single" w:sz="4" w:space="0" w:color="auto"/>
              <w:bottom w:val="single" w:sz="4" w:space="0" w:color="auto"/>
            </w:tcBorders>
          </w:tcPr>
          <w:p w14:paraId="34DD9BE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Software </w:t>
            </w:r>
          </w:p>
        </w:tc>
        <w:tc>
          <w:tcPr>
            <w:tcW w:w="0" w:type="auto"/>
            <w:tcBorders>
              <w:top w:val="single" w:sz="4" w:space="0" w:color="auto"/>
              <w:bottom w:val="single" w:sz="4" w:space="0" w:color="auto"/>
            </w:tcBorders>
          </w:tcPr>
          <w:p w14:paraId="34DD9BE1"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Validation Metric </w:t>
            </w:r>
          </w:p>
        </w:tc>
        <w:tc>
          <w:tcPr>
            <w:tcW w:w="0" w:type="auto"/>
            <w:tcBorders>
              <w:top w:val="single" w:sz="4" w:space="0" w:color="auto"/>
              <w:bottom w:val="single" w:sz="4" w:space="0" w:color="auto"/>
            </w:tcBorders>
          </w:tcPr>
          <w:p w14:paraId="34DD9BE2"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Use </w:t>
            </w:r>
          </w:p>
        </w:tc>
      </w:tr>
      <w:tr w:rsidR="00872A7E" w14:paraId="34DD9BEA" w14:textId="77777777">
        <w:tc>
          <w:tcPr>
            <w:tcW w:w="0" w:type="auto"/>
          </w:tcPr>
          <w:p w14:paraId="34DD9BE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CheckMate 8HW </w:t>
            </w:r>
          </w:p>
        </w:tc>
        <w:tc>
          <w:tcPr>
            <w:tcW w:w="0" w:type="auto"/>
          </w:tcPr>
          <w:p w14:paraId="34DD9BE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(RMST) </w:t>
            </w:r>
          </w:p>
        </w:tc>
        <w:tc>
          <w:tcPr>
            <w:tcW w:w="0" w:type="auto"/>
          </w:tcPr>
          <w:p w14:paraId="34DD9BE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Non-PH </w:t>
            </w:r>
          </w:p>
        </w:tc>
        <w:tc>
          <w:tcPr>
            <w:tcW w:w="0" w:type="auto"/>
          </w:tcPr>
          <w:p w14:paraId="34DD9BE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IPD from KM </w:t>
            </w:r>
            <w:r>
              <w:rPr>
                <w:rFonts w:asciiTheme="majorBidi" w:hAnsiTheme="majorBidi" w:cstheme="majorBidi"/>
                <w:sz w:val="16"/>
                <w:szCs w:val="16"/>
                <w:cs/>
              </w:rPr>
              <w:t>‎</w:t>
            </w:r>
          </w:p>
        </w:tc>
        <w:tc>
          <w:tcPr>
            <w:tcW w:w="0" w:type="auto"/>
          </w:tcPr>
          <w:p w14:paraId="34DD9BE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&lt; 2% deviation </w:t>
            </w:r>
          </w:p>
        </w:tc>
        <w:tc>
          <w:tcPr>
            <w:tcW w:w="0" w:type="auto"/>
          </w:tcPr>
          <w:p w14:paraId="34DD9BE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Primary </w:t>
            </w:r>
          </w:p>
        </w:tc>
      </w:tr>
      <w:tr w:rsidR="00872A7E" w14:paraId="34DD9BF1" w14:textId="77777777">
        <w:tc>
          <w:tcPr>
            <w:tcW w:w="0" w:type="auto"/>
          </w:tcPr>
          <w:p w14:paraId="34DD9BE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KEYNOTE-177 </w:t>
            </w:r>
          </w:p>
        </w:tc>
        <w:tc>
          <w:tcPr>
            <w:tcW w:w="0" w:type="auto"/>
          </w:tcPr>
          <w:p w14:paraId="34DD9BE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(RMST) </w:t>
            </w:r>
          </w:p>
        </w:tc>
        <w:tc>
          <w:tcPr>
            <w:tcW w:w="0" w:type="auto"/>
          </w:tcPr>
          <w:p w14:paraId="34DD9BE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Crossing curves </w:t>
            </w:r>
          </w:p>
        </w:tc>
        <w:tc>
          <w:tcPr>
            <w:tcW w:w="0" w:type="auto"/>
          </w:tcPr>
          <w:p w14:paraId="34DD9BE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IPD from KM </w:t>
            </w:r>
            <w:r>
              <w:rPr>
                <w:rFonts w:asciiTheme="majorBidi" w:hAnsiTheme="majorBidi" w:cstheme="majorBidi"/>
                <w:sz w:val="16"/>
                <w:szCs w:val="16"/>
                <w:cs/>
              </w:rPr>
              <w:t>‎</w:t>
            </w:r>
          </w:p>
        </w:tc>
        <w:tc>
          <w:tcPr>
            <w:tcW w:w="0" w:type="auto"/>
          </w:tcPr>
          <w:p w14:paraId="34DD9BE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&lt; 1% deviation </w:t>
            </w:r>
          </w:p>
        </w:tc>
        <w:tc>
          <w:tcPr>
            <w:tcW w:w="0" w:type="auto"/>
          </w:tcPr>
          <w:p w14:paraId="34DD9BF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Complementary </w:t>
            </w:r>
          </w:p>
        </w:tc>
      </w:tr>
      <w:tr w:rsidR="00872A7E" w14:paraId="34DD9BF8" w14:textId="77777777">
        <w:tc>
          <w:tcPr>
            <w:tcW w:w="0" w:type="auto"/>
          </w:tcPr>
          <w:p w14:paraId="34DD9BF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DESTINY-Breast04 </w:t>
            </w:r>
          </w:p>
        </w:tc>
        <w:tc>
          <w:tcPr>
            <w:tcW w:w="0" w:type="auto"/>
          </w:tcPr>
          <w:p w14:paraId="34DD9BF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(RMST) </w:t>
            </w:r>
          </w:p>
        </w:tc>
        <w:tc>
          <w:tcPr>
            <w:tcW w:w="0" w:type="auto"/>
          </w:tcPr>
          <w:p w14:paraId="34DD9BF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Late separation </w:t>
            </w:r>
          </w:p>
        </w:tc>
        <w:tc>
          <w:tcPr>
            <w:tcW w:w="0" w:type="auto"/>
          </w:tcPr>
          <w:p w14:paraId="34DD9BF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IPD from KM </w:t>
            </w:r>
          </w:p>
        </w:tc>
        <w:tc>
          <w:tcPr>
            <w:tcW w:w="0" w:type="auto"/>
          </w:tcPr>
          <w:p w14:paraId="34DD9BF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&lt; 3% deviation </w:t>
            </w:r>
          </w:p>
        </w:tc>
        <w:tc>
          <w:tcPr>
            <w:tcW w:w="0" w:type="auto"/>
          </w:tcPr>
          <w:p w14:paraId="34DD9BF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Complementary </w:t>
            </w:r>
          </w:p>
        </w:tc>
      </w:tr>
      <w:tr w:rsidR="00872A7E" w14:paraId="34DD9BFF" w14:textId="77777777">
        <w:tc>
          <w:tcPr>
            <w:tcW w:w="0" w:type="auto"/>
          </w:tcPr>
          <w:p w14:paraId="34DD9BF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Tabernero 2016 </w:t>
            </w:r>
          </w:p>
        </w:tc>
        <w:tc>
          <w:tcPr>
            <w:tcW w:w="0" w:type="auto"/>
          </w:tcPr>
          <w:p w14:paraId="34DD9BF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PFS (HR) </w:t>
            </w:r>
          </w:p>
        </w:tc>
        <w:tc>
          <w:tcPr>
            <w:tcW w:w="0" w:type="auto"/>
          </w:tcPr>
          <w:p w14:paraId="34DD9BF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 HR reported </w:t>
            </w:r>
          </w:p>
        </w:tc>
        <w:tc>
          <w:tcPr>
            <w:tcW w:w="0" w:type="auto"/>
          </w:tcPr>
          <w:p w14:paraId="34DD9BF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Web Plot Digitizer </w:t>
            </w:r>
          </w:p>
        </w:tc>
        <w:tc>
          <w:tcPr>
            <w:tcW w:w="0" w:type="auto"/>
          </w:tcPr>
          <w:p w14:paraId="34DD9BF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Matched survival </w:t>
            </w:r>
          </w:p>
        </w:tc>
        <w:tc>
          <w:tcPr>
            <w:tcW w:w="0" w:type="auto"/>
          </w:tcPr>
          <w:p w14:paraId="34DD9BF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Sensitivity </w:t>
            </w:r>
          </w:p>
        </w:tc>
      </w:tr>
      <w:tr w:rsidR="00872A7E" w14:paraId="34DD9C06" w14:textId="77777777">
        <w:tc>
          <w:tcPr>
            <w:tcW w:w="0" w:type="auto"/>
          </w:tcPr>
          <w:p w14:paraId="34DD9C0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Schettini 2021 </w:t>
            </w:r>
          </w:p>
        </w:tc>
        <w:tc>
          <w:tcPr>
            <w:tcW w:w="0" w:type="auto"/>
          </w:tcPr>
          <w:p w14:paraId="34DD9C0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OS (HR) </w:t>
            </w:r>
          </w:p>
        </w:tc>
        <w:tc>
          <w:tcPr>
            <w:tcW w:w="0" w:type="auto"/>
          </w:tcPr>
          <w:p w14:paraId="34DD9C0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Observational </w:t>
            </w:r>
          </w:p>
        </w:tc>
        <w:tc>
          <w:tcPr>
            <w:tcW w:w="0" w:type="auto"/>
          </w:tcPr>
          <w:p w14:paraId="34DD9C0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IPD from KM </w:t>
            </w:r>
          </w:p>
        </w:tc>
        <w:tc>
          <w:tcPr>
            <w:tcW w:w="0" w:type="auto"/>
          </w:tcPr>
          <w:p w14:paraId="34DD9C0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&lt; 5% deviation </w:t>
            </w:r>
          </w:p>
        </w:tc>
        <w:tc>
          <w:tcPr>
            <w:tcW w:w="0" w:type="auto"/>
          </w:tcPr>
          <w:p w14:paraId="34DD9C0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Sensitivity </w:t>
            </w:r>
          </w:p>
        </w:tc>
      </w:tr>
    </w:tbl>
    <w:p w14:paraId="34DD9C07"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HR, Hazard Ratio; IPD, Individual Patient Data; KM, Kaplan-Meier; PFS, Progression-Free Survival; PH, Proportional Hazards; RMST, Restricted Mean Survival Time.</w:t>
      </w:r>
      <w:r>
        <w:rPr>
          <w:rFonts w:asciiTheme="majorBidi" w:hAnsiTheme="majorBidi" w:cstheme="majorBidi"/>
          <w:sz w:val="20"/>
          <w:szCs w:val="20"/>
        </w:rPr>
        <w:br/>
      </w:r>
      <w:r>
        <w:rPr>
          <w:rFonts w:asciiTheme="majorBidi" w:hAnsiTheme="majorBidi" w:cstheme="majorBidi"/>
          <w:sz w:val="20"/>
          <w:szCs w:val="20"/>
        </w:rPr>
        <w:br/>
      </w:r>
    </w:p>
    <w:p w14:paraId="34DD9C08"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S6. Covariate Balance Diagnostics (Standardized Mean Differences) for External Control Studies</w:t>
      </w:r>
    </w:p>
    <w:p w14:paraId="34DD9C09" w14:textId="77777777" w:rsidR="00872A7E" w:rsidRDefault="00872A7E">
      <w:pPr>
        <w:spacing w:before="96" w:after="96"/>
        <w:ind w:firstLine="0"/>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9"/>
        <w:gridCol w:w="932"/>
        <w:gridCol w:w="1110"/>
        <w:gridCol w:w="563"/>
        <w:gridCol w:w="932"/>
        <w:gridCol w:w="1110"/>
        <w:gridCol w:w="587"/>
      </w:tblGrid>
      <w:tr w:rsidR="00872A7E" w14:paraId="34DD9C0D" w14:textId="77777777">
        <w:tc>
          <w:tcPr>
            <w:tcW w:w="0" w:type="auto"/>
            <w:tcBorders>
              <w:top w:val="single" w:sz="4" w:space="0" w:color="auto"/>
              <w:bottom w:val="single" w:sz="4" w:space="0" w:color="auto"/>
            </w:tcBorders>
          </w:tcPr>
          <w:p w14:paraId="34DD9C0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Covariate </w:t>
            </w:r>
          </w:p>
        </w:tc>
        <w:tc>
          <w:tcPr>
            <w:tcW w:w="0" w:type="auto"/>
            <w:gridSpan w:val="3"/>
            <w:tcBorders>
              <w:top w:val="single" w:sz="4" w:space="0" w:color="auto"/>
              <w:bottom w:val="single" w:sz="4" w:space="0" w:color="auto"/>
            </w:tcBorders>
          </w:tcPr>
          <w:p w14:paraId="34DD9C0B" w14:textId="77777777" w:rsidR="00872A7E" w:rsidRDefault="00037403">
            <w:pPr>
              <w:spacing w:before="96" w:after="96"/>
              <w:ind w:firstLine="0"/>
              <w:jc w:val="center"/>
              <w:rPr>
                <w:rFonts w:asciiTheme="majorBidi" w:hAnsiTheme="majorBidi" w:cstheme="majorBidi"/>
                <w:sz w:val="20"/>
                <w:szCs w:val="20"/>
              </w:rPr>
            </w:pPr>
            <w:r>
              <w:rPr>
                <w:rFonts w:asciiTheme="majorBidi" w:hAnsiTheme="majorBidi" w:cstheme="majorBidi"/>
                <w:b/>
                <w:sz w:val="16"/>
                <w:szCs w:val="20"/>
              </w:rPr>
              <w:t>Before Weighting (Unadjusted)</w:t>
            </w:r>
          </w:p>
        </w:tc>
        <w:tc>
          <w:tcPr>
            <w:tcW w:w="0" w:type="auto"/>
            <w:gridSpan w:val="3"/>
            <w:tcBorders>
              <w:top w:val="single" w:sz="4" w:space="0" w:color="auto"/>
              <w:bottom w:val="single" w:sz="4" w:space="0" w:color="auto"/>
            </w:tcBorders>
          </w:tcPr>
          <w:p w14:paraId="34DD9C0C" w14:textId="77777777" w:rsidR="00872A7E" w:rsidRDefault="00037403">
            <w:pPr>
              <w:spacing w:before="96" w:after="96"/>
              <w:ind w:firstLine="0"/>
              <w:jc w:val="center"/>
              <w:rPr>
                <w:rFonts w:asciiTheme="majorBidi" w:hAnsiTheme="majorBidi" w:cstheme="majorBidi"/>
                <w:sz w:val="20"/>
                <w:szCs w:val="20"/>
              </w:rPr>
            </w:pPr>
            <w:r>
              <w:rPr>
                <w:rFonts w:asciiTheme="majorBidi" w:hAnsiTheme="majorBidi" w:cstheme="majorBidi"/>
                <w:b/>
                <w:sz w:val="16"/>
                <w:szCs w:val="20"/>
              </w:rPr>
              <w:t>After Weighting (IPTW)</w:t>
            </w:r>
          </w:p>
        </w:tc>
      </w:tr>
      <w:tr w:rsidR="00872A7E" w14:paraId="34DD9C15" w14:textId="77777777">
        <w:tc>
          <w:tcPr>
            <w:tcW w:w="0" w:type="auto"/>
          </w:tcPr>
          <w:p w14:paraId="34DD9C0E" w14:textId="77777777" w:rsidR="00872A7E" w:rsidRDefault="00872A7E">
            <w:pPr>
              <w:spacing w:before="96" w:after="96"/>
              <w:ind w:firstLine="0"/>
              <w:rPr>
                <w:rFonts w:asciiTheme="majorBidi" w:hAnsiTheme="majorBidi" w:cstheme="majorBidi"/>
                <w:sz w:val="20"/>
                <w:szCs w:val="20"/>
              </w:rPr>
            </w:pPr>
          </w:p>
        </w:tc>
        <w:tc>
          <w:tcPr>
            <w:tcW w:w="0" w:type="auto"/>
          </w:tcPr>
          <w:p w14:paraId="34DD9C0F"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Trial Mean </w:t>
            </w:r>
          </w:p>
        </w:tc>
        <w:tc>
          <w:tcPr>
            <w:tcW w:w="0" w:type="auto"/>
          </w:tcPr>
          <w:p w14:paraId="34DD9C1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Control Mean</w:t>
            </w:r>
          </w:p>
        </w:tc>
        <w:tc>
          <w:tcPr>
            <w:tcW w:w="0" w:type="auto"/>
          </w:tcPr>
          <w:p w14:paraId="34DD9C1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SMD </w:t>
            </w:r>
          </w:p>
        </w:tc>
        <w:tc>
          <w:tcPr>
            <w:tcW w:w="0" w:type="auto"/>
          </w:tcPr>
          <w:p w14:paraId="34DD9C1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Trial Mean </w:t>
            </w:r>
          </w:p>
        </w:tc>
        <w:tc>
          <w:tcPr>
            <w:tcW w:w="0" w:type="auto"/>
          </w:tcPr>
          <w:p w14:paraId="34DD9C13"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Control Mean </w:t>
            </w:r>
          </w:p>
        </w:tc>
        <w:tc>
          <w:tcPr>
            <w:tcW w:w="0" w:type="auto"/>
          </w:tcPr>
          <w:p w14:paraId="34DD9C14"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SMD </w:t>
            </w:r>
          </w:p>
        </w:tc>
      </w:tr>
      <w:tr w:rsidR="00872A7E" w14:paraId="34DD9C1D" w14:textId="77777777">
        <w:tc>
          <w:tcPr>
            <w:tcW w:w="0" w:type="auto"/>
          </w:tcPr>
          <w:p w14:paraId="34DD9C1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Age (mean years) </w:t>
            </w:r>
          </w:p>
        </w:tc>
        <w:tc>
          <w:tcPr>
            <w:tcW w:w="0" w:type="auto"/>
          </w:tcPr>
          <w:p w14:paraId="34DD9C17"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63.5 </w:t>
            </w:r>
          </w:p>
        </w:tc>
        <w:tc>
          <w:tcPr>
            <w:tcW w:w="0" w:type="auto"/>
          </w:tcPr>
          <w:p w14:paraId="34DD9C1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67.1 </w:t>
            </w:r>
          </w:p>
        </w:tc>
        <w:tc>
          <w:tcPr>
            <w:tcW w:w="0" w:type="auto"/>
          </w:tcPr>
          <w:p w14:paraId="34DD9C19"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0.32 </w:t>
            </w:r>
          </w:p>
        </w:tc>
        <w:tc>
          <w:tcPr>
            <w:tcW w:w="0" w:type="auto"/>
          </w:tcPr>
          <w:p w14:paraId="34DD9C1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64.2 </w:t>
            </w:r>
          </w:p>
        </w:tc>
        <w:tc>
          <w:tcPr>
            <w:tcW w:w="0" w:type="auto"/>
          </w:tcPr>
          <w:p w14:paraId="34DD9C1B"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64.0 </w:t>
            </w:r>
          </w:p>
        </w:tc>
        <w:tc>
          <w:tcPr>
            <w:tcW w:w="0" w:type="auto"/>
          </w:tcPr>
          <w:p w14:paraId="34DD9C1C"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0.02 </w:t>
            </w:r>
          </w:p>
        </w:tc>
      </w:tr>
      <w:tr w:rsidR="00872A7E" w14:paraId="34DD9C25" w14:textId="77777777">
        <w:tc>
          <w:tcPr>
            <w:tcW w:w="0" w:type="auto"/>
          </w:tcPr>
          <w:p w14:paraId="34DD9C1E"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ECOG PS 0 (%) </w:t>
            </w:r>
          </w:p>
        </w:tc>
        <w:tc>
          <w:tcPr>
            <w:tcW w:w="0" w:type="auto"/>
          </w:tcPr>
          <w:p w14:paraId="34DD9C1F"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56.0% </w:t>
            </w:r>
          </w:p>
        </w:tc>
        <w:tc>
          <w:tcPr>
            <w:tcW w:w="0" w:type="auto"/>
          </w:tcPr>
          <w:p w14:paraId="34DD9C2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34.0% </w:t>
            </w:r>
          </w:p>
        </w:tc>
        <w:tc>
          <w:tcPr>
            <w:tcW w:w="0" w:type="auto"/>
          </w:tcPr>
          <w:p w14:paraId="34DD9C2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0.45 </w:t>
            </w:r>
          </w:p>
        </w:tc>
        <w:tc>
          <w:tcPr>
            <w:tcW w:w="0" w:type="auto"/>
          </w:tcPr>
          <w:p w14:paraId="34DD9C2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45.0% </w:t>
            </w:r>
          </w:p>
        </w:tc>
        <w:tc>
          <w:tcPr>
            <w:tcW w:w="0" w:type="auto"/>
          </w:tcPr>
          <w:p w14:paraId="34DD9C23"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46.2% </w:t>
            </w:r>
          </w:p>
        </w:tc>
        <w:tc>
          <w:tcPr>
            <w:tcW w:w="0" w:type="auto"/>
          </w:tcPr>
          <w:p w14:paraId="34DD9C24"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0.03 </w:t>
            </w:r>
          </w:p>
        </w:tc>
      </w:tr>
      <w:tr w:rsidR="00872A7E" w14:paraId="34DD9C2D" w14:textId="77777777">
        <w:tc>
          <w:tcPr>
            <w:tcW w:w="0" w:type="auto"/>
          </w:tcPr>
          <w:p w14:paraId="34DD9C2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Histology: Endometrioid (%) </w:t>
            </w:r>
          </w:p>
        </w:tc>
        <w:tc>
          <w:tcPr>
            <w:tcW w:w="0" w:type="auto"/>
          </w:tcPr>
          <w:p w14:paraId="34DD9C27"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72.0% </w:t>
            </w:r>
          </w:p>
        </w:tc>
        <w:tc>
          <w:tcPr>
            <w:tcW w:w="0" w:type="auto"/>
          </w:tcPr>
          <w:p w14:paraId="34DD9C2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58.0% </w:t>
            </w:r>
          </w:p>
        </w:tc>
        <w:tc>
          <w:tcPr>
            <w:tcW w:w="0" w:type="auto"/>
          </w:tcPr>
          <w:p w14:paraId="34DD9C29"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0.30 </w:t>
            </w:r>
          </w:p>
        </w:tc>
        <w:tc>
          <w:tcPr>
            <w:tcW w:w="0" w:type="auto"/>
          </w:tcPr>
          <w:p w14:paraId="34DD9C2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65.0% </w:t>
            </w:r>
          </w:p>
        </w:tc>
        <w:tc>
          <w:tcPr>
            <w:tcW w:w="0" w:type="auto"/>
          </w:tcPr>
          <w:p w14:paraId="34DD9C2B"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64.5% </w:t>
            </w:r>
          </w:p>
        </w:tc>
        <w:tc>
          <w:tcPr>
            <w:tcW w:w="0" w:type="auto"/>
          </w:tcPr>
          <w:p w14:paraId="34DD9C2C"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0.01 </w:t>
            </w:r>
          </w:p>
        </w:tc>
      </w:tr>
      <w:tr w:rsidR="00872A7E" w14:paraId="34DD9C35" w14:textId="77777777">
        <w:tc>
          <w:tcPr>
            <w:tcW w:w="0" w:type="auto"/>
          </w:tcPr>
          <w:p w14:paraId="34DD9C2E"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Histology: Serous/Clear Cell (%) </w:t>
            </w:r>
          </w:p>
        </w:tc>
        <w:tc>
          <w:tcPr>
            <w:tcW w:w="0" w:type="auto"/>
          </w:tcPr>
          <w:p w14:paraId="34DD9C2F"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8.0% </w:t>
            </w:r>
          </w:p>
        </w:tc>
        <w:tc>
          <w:tcPr>
            <w:tcW w:w="0" w:type="auto"/>
          </w:tcPr>
          <w:p w14:paraId="34DD9C3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15.0% </w:t>
            </w:r>
          </w:p>
        </w:tc>
        <w:tc>
          <w:tcPr>
            <w:tcW w:w="0" w:type="auto"/>
          </w:tcPr>
          <w:p w14:paraId="34DD9C3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0.22 </w:t>
            </w:r>
          </w:p>
        </w:tc>
        <w:tc>
          <w:tcPr>
            <w:tcW w:w="0" w:type="auto"/>
          </w:tcPr>
          <w:p w14:paraId="34DD9C3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11.0% </w:t>
            </w:r>
          </w:p>
        </w:tc>
        <w:tc>
          <w:tcPr>
            <w:tcW w:w="0" w:type="auto"/>
          </w:tcPr>
          <w:p w14:paraId="34DD9C33"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11.2% </w:t>
            </w:r>
          </w:p>
        </w:tc>
        <w:tc>
          <w:tcPr>
            <w:tcW w:w="0" w:type="auto"/>
          </w:tcPr>
          <w:p w14:paraId="34DD9C34"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0.01 </w:t>
            </w:r>
          </w:p>
        </w:tc>
      </w:tr>
      <w:tr w:rsidR="00872A7E" w14:paraId="34DD9C3D" w14:textId="77777777">
        <w:tc>
          <w:tcPr>
            <w:tcW w:w="0" w:type="auto"/>
          </w:tcPr>
          <w:p w14:paraId="34DD9C3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FIGO Stage IV (%) </w:t>
            </w:r>
          </w:p>
        </w:tc>
        <w:tc>
          <w:tcPr>
            <w:tcW w:w="0" w:type="auto"/>
          </w:tcPr>
          <w:p w14:paraId="34DD9C37"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61.0% </w:t>
            </w:r>
          </w:p>
        </w:tc>
        <w:tc>
          <w:tcPr>
            <w:tcW w:w="0" w:type="auto"/>
          </w:tcPr>
          <w:p w14:paraId="34DD9C3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48.0% </w:t>
            </w:r>
          </w:p>
        </w:tc>
        <w:tc>
          <w:tcPr>
            <w:tcW w:w="0" w:type="auto"/>
          </w:tcPr>
          <w:p w14:paraId="34DD9C39"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0.26 </w:t>
            </w:r>
          </w:p>
        </w:tc>
        <w:tc>
          <w:tcPr>
            <w:tcW w:w="0" w:type="auto"/>
          </w:tcPr>
          <w:p w14:paraId="34DD9C3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54.5% </w:t>
            </w:r>
          </w:p>
        </w:tc>
        <w:tc>
          <w:tcPr>
            <w:tcW w:w="0" w:type="auto"/>
          </w:tcPr>
          <w:p w14:paraId="34DD9C3B"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55.0% </w:t>
            </w:r>
          </w:p>
        </w:tc>
        <w:tc>
          <w:tcPr>
            <w:tcW w:w="0" w:type="auto"/>
          </w:tcPr>
          <w:p w14:paraId="34DD9C3C"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0.01 </w:t>
            </w:r>
          </w:p>
        </w:tc>
      </w:tr>
      <w:tr w:rsidR="00872A7E" w14:paraId="34DD9C45" w14:textId="77777777">
        <w:tc>
          <w:tcPr>
            <w:tcW w:w="0" w:type="auto"/>
          </w:tcPr>
          <w:p w14:paraId="34DD9C3E"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Prior Lines of Therapy (Median) </w:t>
            </w:r>
          </w:p>
        </w:tc>
        <w:tc>
          <w:tcPr>
            <w:tcW w:w="0" w:type="auto"/>
          </w:tcPr>
          <w:p w14:paraId="34DD9C3F"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1.0 </w:t>
            </w:r>
          </w:p>
        </w:tc>
        <w:tc>
          <w:tcPr>
            <w:tcW w:w="0" w:type="auto"/>
          </w:tcPr>
          <w:p w14:paraId="34DD9C4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1.0 </w:t>
            </w:r>
          </w:p>
        </w:tc>
        <w:tc>
          <w:tcPr>
            <w:tcW w:w="0" w:type="auto"/>
          </w:tcPr>
          <w:p w14:paraId="34DD9C4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0.05 </w:t>
            </w:r>
          </w:p>
        </w:tc>
        <w:tc>
          <w:tcPr>
            <w:tcW w:w="0" w:type="auto"/>
          </w:tcPr>
          <w:p w14:paraId="34DD9C4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1.0 </w:t>
            </w:r>
          </w:p>
        </w:tc>
        <w:tc>
          <w:tcPr>
            <w:tcW w:w="0" w:type="auto"/>
          </w:tcPr>
          <w:p w14:paraId="34DD9C43"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1.0 </w:t>
            </w:r>
          </w:p>
        </w:tc>
        <w:tc>
          <w:tcPr>
            <w:tcW w:w="0" w:type="auto"/>
          </w:tcPr>
          <w:p w14:paraId="34DD9C44"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&lt;0.01 </w:t>
            </w:r>
          </w:p>
        </w:tc>
      </w:tr>
      <w:tr w:rsidR="00872A7E" w14:paraId="34DD9C4D" w14:textId="77777777">
        <w:tc>
          <w:tcPr>
            <w:tcW w:w="0" w:type="auto"/>
          </w:tcPr>
          <w:p w14:paraId="34DD9C4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lastRenderedPageBreak/>
              <w:t xml:space="preserve">Race: White (%) </w:t>
            </w:r>
          </w:p>
        </w:tc>
        <w:tc>
          <w:tcPr>
            <w:tcW w:w="0" w:type="auto"/>
          </w:tcPr>
          <w:p w14:paraId="34DD9C47"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82.0% </w:t>
            </w:r>
          </w:p>
        </w:tc>
        <w:tc>
          <w:tcPr>
            <w:tcW w:w="0" w:type="auto"/>
          </w:tcPr>
          <w:p w14:paraId="34DD9C4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70.0% </w:t>
            </w:r>
          </w:p>
        </w:tc>
        <w:tc>
          <w:tcPr>
            <w:tcW w:w="0" w:type="auto"/>
          </w:tcPr>
          <w:p w14:paraId="34DD9C49"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0.28 </w:t>
            </w:r>
          </w:p>
        </w:tc>
        <w:tc>
          <w:tcPr>
            <w:tcW w:w="0" w:type="auto"/>
          </w:tcPr>
          <w:p w14:paraId="34DD9C4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76.0% </w:t>
            </w:r>
          </w:p>
        </w:tc>
        <w:tc>
          <w:tcPr>
            <w:tcW w:w="0" w:type="auto"/>
          </w:tcPr>
          <w:p w14:paraId="34DD9C4B"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75.5% </w:t>
            </w:r>
          </w:p>
        </w:tc>
        <w:tc>
          <w:tcPr>
            <w:tcW w:w="0" w:type="auto"/>
          </w:tcPr>
          <w:p w14:paraId="34DD9C4C"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0.01 </w:t>
            </w:r>
          </w:p>
        </w:tc>
      </w:tr>
    </w:tbl>
    <w:p w14:paraId="34DD9C4E" w14:textId="77777777" w:rsidR="00872A7E" w:rsidRDefault="00037403">
      <w:pPr>
        <w:spacing w:before="96" w:after="96"/>
        <w:ind w:firstLine="0"/>
        <w:rPr>
          <w:rFonts w:asciiTheme="majorBidi" w:hAnsiTheme="majorBidi" w:cstheme="majorBidi"/>
          <w:sz w:val="20"/>
          <w:szCs w:val="20"/>
          <w:rtl/>
          <w:lang w:bidi="ar-EG"/>
        </w:rPr>
      </w:pPr>
      <w:r>
        <w:rPr>
          <w:rFonts w:asciiTheme="majorBidi" w:hAnsiTheme="majorBidi" w:cstheme="majorBidi"/>
          <w:sz w:val="20"/>
          <w:szCs w:val="20"/>
        </w:rPr>
        <w:t xml:space="preserve">ECOG PS, Eastern Cooperative Oncology Group Performance Status; FIGO, International Federation of Gynecology and Obstetrics; IPTW, Inverse Probability of Treatment Weighting; SMD, Standardized Mean Difference. Note: SMD &gt; 0.10 indicates meaningful imbalance; SMD &lt; 0.10 indicates negligible imbalance. </w:t>
      </w:r>
      <w:r>
        <w:rPr>
          <w:rFonts w:asciiTheme="majorBidi" w:hAnsiTheme="majorBidi" w:cstheme="majorBidi"/>
          <w:sz w:val="20"/>
          <w:szCs w:val="20"/>
          <w:cs/>
        </w:rPr>
        <w:t>‎</w:t>
      </w:r>
      <w:r>
        <w:rPr>
          <w:rFonts w:asciiTheme="majorBidi" w:hAnsiTheme="majorBidi" w:cstheme="majorBidi"/>
          <w:sz w:val="20"/>
          <w:szCs w:val="20"/>
        </w:rPr>
        <w:t>Study: Goulden S et al., 2023 (GARNET Trial vs. Real-World External Control), Population: dMMR/MSI-H Endometrial Cancer (Post-Platinum).</w:t>
      </w:r>
      <w:r>
        <w:rPr>
          <w:rFonts w:asciiTheme="majorBidi" w:hAnsiTheme="majorBidi" w:cstheme="majorBidi"/>
          <w:sz w:val="20"/>
          <w:szCs w:val="20"/>
          <w:cs/>
        </w:rPr>
        <w:t>‎</w:t>
      </w:r>
    </w:p>
    <w:p w14:paraId="34DD9C4F" w14:textId="77777777" w:rsidR="00872A7E" w:rsidRDefault="00872A7E">
      <w:pPr>
        <w:spacing w:before="96" w:after="96"/>
        <w:ind w:firstLine="0"/>
        <w:rPr>
          <w:rFonts w:asciiTheme="majorBidi" w:hAnsiTheme="majorBidi" w:cstheme="majorBidi"/>
          <w:sz w:val="20"/>
          <w:szCs w:val="20"/>
        </w:rPr>
      </w:pPr>
    </w:p>
    <w:p w14:paraId="34DD9C50"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S7. Baseline Characteristics of Included Studies</w:t>
      </w:r>
    </w:p>
    <w:p w14:paraId="34DD9C51"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5"/>
        <w:gridCol w:w="1345"/>
        <w:gridCol w:w="1239"/>
        <w:gridCol w:w="994"/>
        <w:gridCol w:w="1460"/>
        <w:gridCol w:w="1292"/>
        <w:gridCol w:w="2003"/>
      </w:tblGrid>
      <w:tr w:rsidR="00872A7E" w14:paraId="34DD9C59" w14:textId="77777777">
        <w:tc>
          <w:tcPr>
            <w:tcW w:w="0" w:type="auto"/>
            <w:tcBorders>
              <w:top w:val="single" w:sz="4" w:space="0" w:color="auto"/>
              <w:bottom w:val="single" w:sz="4" w:space="0" w:color="auto"/>
            </w:tcBorders>
          </w:tcPr>
          <w:p w14:paraId="34DD9C5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Study ID </w:t>
            </w:r>
          </w:p>
        </w:tc>
        <w:tc>
          <w:tcPr>
            <w:tcW w:w="0" w:type="auto"/>
            <w:tcBorders>
              <w:top w:val="single" w:sz="4" w:space="0" w:color="auto"/>
              <w:bottom w:val="single" w:sz="4" w:space="0" w:color="auto"/>
            </w:tcBorders>
          </w:tcPr>
          <w:p w14:paraId="34DD9C5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Median Age (yr) </w:t>
            </w:r>
          </w:p>
        </w:tc>
        <w:tc>
          <w:tcPr>
            <w:tcW w:w="0" w:type="auto"/>
            <w:tcBorders>
              <w:top w:val="single" w:sz="4" w:space="0" w:color="auto"/>
              <w:bottom w:val="single" w:sz="4" w:space="0" w:color="auto"/>
            </w:tcBorders>
          </w:tcPr>
          <w:p w14:paraId="34DD9C5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ECOG 0/1 (%) </w:t>
            </w:r>
          </w:p>
        </w:tc>
        <w:tc>
          <w:tcPr>
            <w:tcW w:w="0" w:type="auto"/>
            <w:tcBorders>
              <w:top w:val="single" w:sz="4" w:space="0" w:color="auto"/>
              <w:bottom w:val="single" w:sz="4" w:space="0" w:color="auto"/>
            </w:tcBorders>
          </w:tcPr>
          <w:p w14:paraId="34DD9C5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Prior Lines </w:t>
            </w:r>
          </w:p>
        </w:tc>
        <w:tc>
          <w:tcPr>
            <w:tcW w:w="0" w:type="auto"/>
            <w:tcBorders>
              <w:top w:val="single" w:sz="4" w:space="0" w:color="auto"/>
              <w:bottom w:val="single" w:sz="4" w:space="0" w:color="auto"/>
            </w:tcBorders>
          </w:tcPr>
          <w:p w14:paraId="34DD9C5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Visceral Mets (%) </w:t>
            </w:r>
          </w:p>
        </w:tc>
        <w:tc>
          <w:tcPr>
            <w:tcW w:w="0" w:type="auto"/>
            <w:tcBorders>
              <w:top w:val="single" w:sz="4" w:space="0" w:color="auto"/>
              <w:bottom w:val="single" w:sz="4" w:space="0" w:color="auto"/>
            </w:tcBorders>
          </w:tcPr>
          <w:p w14:paraId="34DD9C5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Brain Mets (%) </w:t>
            </w:r>
          </w:p>
        </w:tc>
        <w:tc>
          <w:tcPr>
            <w:tcW w:w="0" w:type="auto"/>
            <w:tcBorders>
              <w:top w:val="single" w:sz="4" w:space="0" w:color="auto"/>
              <w:bottom w:val="single" w:sz="4" w:space="0" w:color="auto"/>
            </w:tcBorders>
          </w:tcPr>
          <w:p w14:paraId="34DD9C5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Biomarker Method </w:t>
            </w:r>
          </w:p>
        </w:tc>
      </w:tr>
      <w:tr w:rsidR="00872A7E" w14:paraId="34DD9C61" w14:textId="77777777">
        <w:tc>
          <w:tcPr>
            <w:tcW w:w="0" w:type="auto"/>
            <w:tcBorders>
              <w:top w:val="single" w:sz="4" w:space="0" w:color="auto"/>
            </w:tcBorders>
          </w:tcPr>
          <w:p w14:paraId="34DD9C5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KEYNOTE-177 </w:t>
            </w:r>
          </w:p>
        </w:tc>
        <w:tc>
          <w:tcPr>
            <w:tcW w:w="0" w:type="auto"/>
            <w:tcBorders>
              <w:top w:val="single" w:sz="4" w:space="0" w:color="auto"/>
            </w:tcBorders>
          </w:tcPr>
          <w:p w14:paraId="34DD9C5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63 </w:t>
            </w:r>
          </w:p>
        </w:tc>
        <w:tc>
          <w:tcPr>
            <w:tcW w:w="0" w:type="auto"/>
            <w:tcBorders>
              <w:top w:val="single" w:sz="4" w:space="0" w:color="auto"/>
            </w:tcBorders>
          </w:tcPr>
          <w:p w14:paraId="34DD9C5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49 / 55 </w:t>
            </w:r>
          </w:p>
        </w:tc>
        <w:tc>
          <w:tcPr>
            <w:tcW w:w="0" w:type="auto"/>
            <w:tcBorders>
              <w:top w:val="single" w:sz="4" w:space="0" w:color="auto"/>
            </w:tcBorders>
          </w:tcPr>
          <w:p w14:paraId="34DD9C5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 (1L) </w:t>
            </w:r>
          </w:p>
        </w:tc>
        <w:tc>
          <w:tcPr>
            <w:tcW w:w="0" w:type="auto"/>
            <w:tcBorders>
              <w:top w:val="single" w:sz="4" w:space="0" w:color="auto"/>
            </w:tcBorders>
          </w:tcPr>
          <w:p w14:paraId="34DD9C5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NR </w:t>
            </w:r>
          </w:p>
        </w:tc>
        <w:tc>
          <w:tcPr>
            <w:tcW w:w="0" w:type="auto"/>
            <w:tcBorders>
              <w:top w:val="single" w:sz="4" w:space="0" w:color="auto"/>
            </w:tcBorders>
          </w:tcPr>
          <w:p w14:paraId="34DD9C5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p>
        </w:tc>
        <w:tc>
          <w:tcPr>
            <w:tcW w:w="0" w:type="auto"/>
            <w:tcBorders>
              <w:top w:val="single" w:sz="4" w:space="0" w:color="auto"/>
            </w:tcBorders>
          </w:tcPr>
          <w:p w14:paraId="34DD9C6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PCR / IHC (Local) </w:t>
            </w:r>
          </w:p>
        </w:tc>
      </w:tr>
      <w:tr w:rsidR="00872A7E" w14:paraId="34DD9C69" w14:textId="77777777">
        <w:tc>
          <w:tcPr>
            <w:tcW w:w="0" w:type="auto"/>
          </w:tcPr>
          <w:p w14:paraId="34DD9C6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CheckMate 8HW </w:t>
            </w:r>
          </w:p>
        </w:tc>
        <w:tc>
          <w:tcPr>
            <w:tcW w:w="0" w:type="auto"/>
          </w:tcPr>
          <w:p w14:paraId="34DD9C6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61 </w:t>
            </w:r>
          </w:p>
        </w:tc>
        <w:tc>
          <w:tcPr>
            <w:tcW w:w="0" w:type="auto"/>
          </w:tcPr>
          <w:p w14:paraId="34DD9C6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58 / 42 </w:t>
            </w:r>
          </w:p>
        </w:tc>
        <w:tc>
          <w:tcPr>
            <w:tcW w:w="0" w:type="auto"/>
          </w:tcPr>
          <w:p w14:paraId="34DD9C6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 (1L) </w:t>
            </w:r>
          </w:p>
        </w:tc>
        <w:tc>
          <w:tcPr>
            <w:tcW w:w="0" w:type="auto"/>
          </w:tcPr>
          <w:p w14:paraId="34DD9C6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NR </w:t>
            </w:r>
          </w:p>
        </w:tc>
        <w:tc>
          <w:tcPr>
            <w:tcW w:w="0" w:type="auto"/>
          </w:tcPr>
          <w:p w14:paraId="34DD9C6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p>
        </w:tc>
        <w:tc>
          <w:tcPr>
            <w:tcW w:w="0" w:type="auto"/>
          </w:tcPr>
          <w:p w14:paraId="34DD9C6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Central Confirmation </w:t>
            </w:r>
          </w:p>
        </w:tc>
      </w:tr>
      <w:tr w:rsidR="00872A7E" w14:paraId="34DD9C71" w14:textId="77777777">
        <w:tc>
          <w:tcPr>
            <w:tcW w:w="0" w:type="auto"/>
          </w:tcPr>
          <w:p w14:paraId="34DD9C6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DESTINY-Breast04 </w:t>
            </w:r>
          </w:p>
        </w:tc>
        <w:tc>
          <w:tcPr>
            <w:tcW w:w="0" w:type="auto"/>
          </w:tcPr>
          <w:p w14:paraId="34DD9C6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57 </w:t>
            </w:r>
          </w:p>
        </w:tc>
        <w:tc>
          <w:tcPr>
            <w:tcW w:w="0" w:type="auto"/>
          </w:tcPr>
          <w:p w14:paraId="34DD9C6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56 / 44 </w:t>
            </w:r>
          </w:p>
        </w:tc>
        <w:tc>
          <w:tcPr>
            <w:tcW w:w="0" w:type="auto"/>
          </w:tcPr>
          <w:p w14:paraId="34DD9C6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1-2 </w:t>
            </w:r>
          </w:p>
        </w:tc>
        <w:tc>
          <w:tcPr>
            <w:tcW w:w="0" w:type="auto"/>
          </w:tcPr>
          <w:p w14:paraId="34DD9C6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70 </w:t>
            </w:r>
          </w:p>
        </w:tc>
        <w:tc>
          <w:tcPr>
            <w:tcW w:w="0" w:type="auto"/>
          </w:tcPr>
          <w:p w14:paraId="34DD9C6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r>
              <w:rPr>
                <w:rFonts w:asciiTheme="majorBidi" w:hAnsiTheme="majorBidi" w:cstheme="majorBidi"/>
                <w:sz w:val="16"/>
                <w:szCs w:val="16"/>
                <w:cs/>
              </w:rPr>
              <w:t>‎</w:t>
            </w:r>
            <w:r>
              <w:rPr>
                <w:rFonts w:asciiTheme="majorBidi" w:hAnsiTheme="majorBidi" w:cstheme="majorBidi"/>
                <w:sz w:val="16"/>
                <w:szCs w:val="16"/>
              </w:rPr>
              <w:t>†</w:t>
            </w:r>
          </w:p>
        </w:tc>
        <w:tc>
          <w:tcPr>
            <w:tcW w:w="0" w:type="auto"/>
          </w:tcPr>
          <w:p w14:paraId="34DD9C7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IHC 1+/2+ ISH- (Central) </w:t>
            </w:r>
          </w:p>
        </w:tc>
      </w:tr>
      <w:tr w:rsidR="00872A7E" w14:paraId="34DD9C79" w14:textId="77777777">
        <w:tc>
          <w:tcPr>
            <w:tcW w:w="0" w:type="auto"/>
          </w:tcPr>
          <w:p w14:paraId="34DD9C7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DESTINY-Breast02 </w:t>
            </w:r>
          </w:p>
        </w:tc>
        <w:tc>
          <w:tcPr>
            <w:tcW w:w="0" w:type="auto"/>
          </w:tcPr>
          <w:p w14:paraId="34DD9C7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54 </w:t>
            </w:r>
          </w:p>
        </w:tc>
        <w:tc>
          <w:tcPr>
            <w:tcW w:w="0" w:type="auto"/>
          </w:tcPr>
          <w:p w14:paraId="34DD9C7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56 / 43 </w:t>
            </w:r>
          </w:p>
        </w:tc>
        <w:tc>
          <w:tcPr>
            <w:tcW w:w="0" w:type="auto"/>
          </w:tcPr>
          <w:p w14:paraId="34DD9C7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 </w:t>
            </w:r>
          </w:p>
        </w:tc>
        <w:tc>
          <w:tcPr>
            <w:tcW w:w="0" w:type="auto"/>
          </w:tcPr>
          <w:p w14:paraId="34DD9C7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78 </w:t>
            </w:r>
          </w:p>
        </w:tc>
        <w:tc>
          <w:tcPr>
            <w:tcW w:w="0" w:type="auto"/>
          </w:tcPr>
          <w:p w14:paraId="34DD9C7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18 </w:t>
            </w:r>
          </w:p>
        </w:tc>
        <w:tc>
          <w:tcPr>
            <w:tcW w:w="0" w:type="auto"/>
          </w:tcPr>
          <w:p w14:paraId="34DD9C7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IHC 3+ (Central) </w:t>
            </w:r>
          </w:p>
        </w:tc>
      </w:tr>
      <w:tr w:rsidR="00872A7E" w14:paraId="34DD9C81" w14:textId="77777777">
        <w:tc>
          <w:tcPr>
            <w:tcW w:w="0" w:type="auto"/>
          </w:tcPr>
          <w:p w14:paraId="34DD9C7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RUBY </w:t>
            </w:r>
          </w:p>
        </w:tc>
        <w:tc>
          <w:tcPr>
            <w:tcW w:w="0" w:type="auto"/>
          </w:tcPr>
          <w:p w14:paraId="34DD9C7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64 </w:t>
            </w:r>
          </w:p>
        </w:tc>
        <w:tc>
          <w:tcPr>
            <w:tcW w:w="0" w:type="auto"/>
          </w:tcPr>
          <w:p w14:paraId="34DD9C7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54 / 46 </w:t>
            </w:r>
          </w:p>
        </w:tc>
        <w:tc>
          <w:tcPr>
            <w:tcW w:w="0" w:type="auto"/>
          </w:tcPr>
          <w:p w14:paraId="34DD9C7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 (1L) </w:t>
            </w:r>
          </w:p>
        </w:tc>
        <w:tc>
          <w:tcPr>
            <w:tcW w:w="0" w:type="auto"/>
          </w:tcPr>
          <w:p w14:paraId="34DD9C7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NR </w:t>
            </w:r>
          </w:p>
        </w:tc>
        <w:tc>
          <w:tcPr>
            <w:tcW w:w="0" w:type="auto"/>
          </w:tcPr>
          <w:p w14:paraId="34DD9C7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p>
        </w:tc>
        <w:tc>
          <w:tcPr>
            <w:tcW w:w="0" w:type="auto"/>
          </w:tcPr>
          <w:p w14:paraId="34DD9C8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IHC (Local) </w:t>
            </w:r>
          </w:p>
        </w:tc>
      </w:tr>
      <w:tr w:rsidR="00872A7E" w14:paraId="34DD9C89" w14:textId="77777777">
        <w:tc>
          <w:tcPr>
            <w:tcW w:w="0" w:type="auto"/>
          </w:tcPr>
          <w:p w14:paraId="34DD9C8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BEACON CRC </w:t>
            </w:r>
          </w:p>
        </w:tc>
        <w:tc>
          <w:tcPr>
            <w:tcW w:w="0" w:type="auto"/>
          </w:tcPr>
          <w:p w14:paraId="34DD9C8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61 </w:t>
            </w:r>
          </w:p>
        </w:tc>
        <w:tc>
          <w:tcPr>
            <w:tcW w:w="0" w:type="auto"/>
          </w:tcPr>
          <w:p w14:paraId="34DD9C8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51 / 45 </w:t>
            </w:r>
          </w:p>
        </w:tc>
        <w:tc>
          <w:tcPr>
            <w:tcW w:w="0" w:type="auto"/>
          </w:tcPr>
          <w:p w14:paraId="34DD9C8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1-2 </w:t>
            </w:r>
          </w:p>
        </w:tc>
        <w:tc>
          <w:tcPr>
            <w:tcW w:w="0" w:type="auto"/>
          </w:tcPr>
          <w:p w14:paraId="34DD9C8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66 </w:t>
            </w:r>
          </w:p>
        </w:tc>
        <w:tc>
          <w:tcPr>
            <w:tcW w:w="0" w:type="auto"/>
          </w:tcPr>
          <w:p w14:paraId="34DD9C8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p>
        </w:tc>
        <w:tc>
          <w:tcPr>
            <w:tcW w:w="0" w:type="auto"/>
          </w:tcPr>
          <w:p w14:paraId="34DD9C8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PCR (Local/Central) </w:t>
            </w:r>
          </w:p>
        </w:tc>
      </w:tr>
      <w:tr w:rsidR="00872A7E" w14:paraId="34DD9C91" w14:textId="77777777">
        <w:tc>
          <w:tcPr>
            <w:tcW w:w="0" w:type="auto"/>
          </w:tcPr>
          <w:p w14:paraId="34DD9C8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Shitara 2020 </w:t>
            </w:r>
          </w:p>
        </w:tc>
        <w:tc>
          <w:tcPr>
            <w:tcW w:w="0" w:type="auto"/>
          </w:tcPr>
          <w:p w14:paraId="34DD9C8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66 </w:t>
            </w:r>
          </w:p>
        </w:tc>
        <w:tc>
          <w:tcPr>
            <w:tcW w:w="0" w:type="auto"/>
          </w:tcPr>
          <w:p w14:paraId="34DD9C8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45 / 55 </w:t>
            </w:r>
          </w:p>
        </w:tc>
        <w:tc>
          <w:tcPr>
            <w:tcW w:w="0" w:type="auto"/>
          </w:tcPr>
          <w:p w14:paraId="34DD9C8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 </w:t>
            </w:r>
          </w:p>
        </w:tc>
        <w:tc>
          <w:tcPr>
            <w:tcW w:w="0" w:type="auto"/>
          </w:tcPr>
          <w:p w14:paraId="34DD9C8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90 </w:t>
            </w:r>
          </w:p>
        </w:tc>
        <w:tc>
          <w:tcPr>
            <w:tcW w:w="0" w:type="auto"/>
          </w:tcPr>
          <w:p w14:paraId="34DD9C8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p>
        </w:tc>
        <w:tc>
          <w:tcPr>
            <w:tcW w:w="0" w:type="auto"/>
          </w:tcPr>
          <w:p w14:paraId="34DD9C9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IHC 3+ / 2+ ISH+ (Central) </w:t>
            </w:r>
          </w:p>
        </w:tc>
      </w:tr>
      <w:tr w:rsidR="00872A7E" w14:paraId="34DD9C99" w14:textId="77777777">
        <w:tc>
          <w:tcPr>
            <w:tcW w:w="0" w:type="auto"/>
          </w:tcPr>
          <w:p w14:paraId="34DD9C9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Shitara 2025 </w:t>
            </w:r>
          </w:p>
        </w:tc>
        <w:tc>
          <w:tcPr>
            <w:tcW w:w="0" w:type="auto"/>
          </w:tcPr>
          <w:p w14:paraId="34DD9C9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62 </w:t>
            </w:r>
          </w:p>
        </w:tc>
        <w:tc>
          <w:tcPr>
            <w:tcW w:w="0" w:type="auto"/>
          </w:tcPr>
          <w:p w14:paraId="34DD9C9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53 / 47 </w:t>
            </w:r>
          </w:p>
        </w:tc>
        <w:tc>
          <w:tcPr>
            <w:tcW w:w="0" w:type="auto"/>
          </w:tcPr>
          <w:p w14:paraId="34DD9C9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 </w:t>
            </w:r>
          </w:p>
        </w:tc>
        <w:tc>
          <w:tcPr>
            <w:tcW w:w="0" w:type="auto"/>
          </w:tcPr>
          <w:p w14:paraId="34DD9C9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85 </w:t>
            </w:r>
          </w:p>
        </w:tc>
        <w:tc>
          <w:tcPr>
            <w:tcW w:w="0" w:type="auto"/>
          </w:tcPr>
          <w:p w14:paraId="34DD9C9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Excluded </w:t>
            </w:r>
          </w:p>
        </w:tc>
        <w:tc>
          <w:tcPr>
            <w:tcW w:w="0" w:type="auto"/>
          </w:tcPr>
          <w:p w14:paraId="34DD9C9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IHC (Central Rebiopsy) </w:t>
            </w:r>
          </w:p>
        </w:tc>
      </w:tr>
    </w:tbl>
    <w:p w14:paraId="34DD9C9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 xml:space="preserve">ECOG, Eastern Cooperative Oncology Group; IHC, Immunohistochemistry; PCR, Polymerase Chain Reaction; 1L, First Line; NR, Not Reported; </w:t>
      </w:r>
      <w:r>
        <w:rPr>
          <w:rFonts w:asciiTheme="majorBidi" w:hAnsiTheme="majorBidi" w:cstheme="majorBidi"/>
          <w:sz w:val="20"/>
          <w:szCs w:val="20"/>
          <w:cs/>
        </w:rPr>
        <w:t>‎</w:t>
      </w:r>
      <w:r>
        <w:rPr>
          <w:rFonts w:asciiTheme="majorBidi" w:hAnsiTheme="majorBidi" w:cstheme="majorBidi"/>
          <w:sz w:val="20"/>
          <w:szCs w:val="20"/>
        </w:rPr>
        <w:t xml:space="preserve">†, Active brain mets excluded; stable treated allowed. </w:t>
      </w:r>
      <w:r>
        <w:rPr>
          <w:rFonts w:asciiTheme="majorBidi" w:hAnsiTheme="majorBidi" w:cstheme="majorBidi"/>
          <w:sz w:val="20"/>
          <w:szCs w:val="20"/>
          <w:cs/>
        </w:rPr>
        <w:t>‎</w:t>
      </w:r>
    </w:p>
    <w:p w14:paraId="34DD9C9B" w14:textId="77777777" w:rsidR="00872A7E" w:rsidRDefault="00872A7E">
      <w:pPr>
        <w:spacing w:before="96" w:after="96"/>
        <w:ind w:firstLine="0"/>
        <w:rPr>
          <w:rFonts w:asciiTheme="majorBidi" w:hAnsiTheme="majorBidi" w:cstheme="majorBidi"/>
          <w:sz w:val="20"/>
          <w:szCs w:val="20"/>
        </w:rPr>
      </w:pPr>
    </w:p>
    <w:p w14:paraId="34DD9C9C"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S8. Multiplicity-Adjusted Interaction Results</w:t>
      </w:r>
    </w:p>
    <w:p w14:paraId="34DD9C9D"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8"/>
        <w:gridCol w:w="1381"/>
        <w:gridCol w:w="305"/>
        <w:gridCol w:w="1137"/>
        <w:gridCol w:w="1443"/>
        <w:gridCol w:w="1403"/>
      </w:tblGrid>
      <w:tr w:rsidR="00872A7E" w14:paraId="34DD9CA4" w14:textId="77777777">
        <w:tc>
          <w:tcPr>
            <w:tcW w:w="0" w:type="auto"/>
            <w:tcBorders>
              <w:top w:val="single" w:sz="4" w:space="0" w:color="auto"/>
              <w:bottom w:val="single" w:sz="4" w:space="0" w:color="auto"/>
            </w:tcBorders>
          </w:tcPr>
          <w:p w14:paraId="34DD9C9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Moderator </w:t>
            </w:r>
          </w:p>
        </w:tc>
        <w:tc>
          <w:tcPr>
            <w:tcW w:w="0" w:type="auto"/>
            <w:tcBorders>
              <w:top w:val="single" w:sz="4" w:space="0" w:color="auto"/>
              <w:bottom w:val="single" w:sz="4" w:space="0" w:color="auto"/>
            </w:tcBorders>
          </w:tcPr>
          <w:p w14:paraId="34DD9C9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Comparison </w:t>
            </w:r>
          </w:p>
        </w:tc>
        <w:tc>
          <w:tcPr>
            <w:tcW w:w="0" w:type="auto"/>
            <w:tcBorders>
              <w:top w:val="single" w:sz="4" w:space="0" w:color="auto"/>
              <w:bottom w:val="single" w:sz="4" w:space="0" w:color="auto"/>
            </w:tcBorders>
          </w:tcPr>
          <w:p w14:paraId="34DD9CA0"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k </w:t>
            </w:r>
          </w:p>
        </w:tc>
        <w:tc>
          <w:tcPr>
            <w:tcW w:w="0" w:type="auto"/>
            <w:tcBorders>
              <w:top w:val="single" w:sz="4" w:space="0" w:color="auto"/>
              <w:bottom w:val="single" w:sz="4" w:space="0" w:color="auto"/>
            </w:tcBorders>
          </w:tcPr>
          <w:p w14:paraId="34DD9CA1"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Unadjusted p </w:t>
            </w:r>
          </w:p>
        </w:tc>
        <w:tc>
          <w:tcPr>
            <w:tcW w:w="0" w:type="auto"/>
            <w:tcBorders>
              <w:top w:val="single" w:sz="4" w:space="0" w:color="auto"/>
              <w:bottom w:val="single" w:sz="4" w:space="0" w:color="auto"/>
            </w:tcBorders>
          </w:tcPr>
          <w:p w14:paraId="34DD9CA2"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Adjusted q (FDR) </w:t>
            </w:r>
          </w:p>
        </w:tc>
        <w:tc>
          <w:tcPr>
            <w:tcW w:w="0" w:type="auto"/>
            <w:tcBorders>
              <w:top w:val="single" w:sz="4" w:space="0" w:color="auto"/>
              <w:bottom w:val="single" w:sz="4" w:space="0" w:color="auto"/>
            </w:tcBorders>
          </w:tcPr>
          <w:p w14:paraId="34DD9CA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Interpretation </w:t>
            </w:r>
          </w:p>
        </w:tc>
      </w:tr>
      <w:tr w:rsidR="00872A7E" w14:paraId="34DD9CAB" w14:textId="77777777">
        <w:tc>
          <w:tcPr>
            <w:tcW w:w="0" w:type="auto"/>
            <w:tcBorders>
              <w:top w:val="single" w:sz="4" w:space="0" w:color="auto"/>
            </w:tcBorders>
          </w:tcPr>
          <w:p w14:paraId="34DD9CA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MMR Status </w:t>
            </w:r>
          </w:p>
        </w:tc>
        <w:tc>
          <w:tcPr>
            <w:tcW w:w="0" w:type="auto"/>
            <w:tcBorders>
              <w:top w:val="single" w:sz="4" w:space="0" w:color="auto"/>
            </w:tcBorders>
          </w:tcPr>
          <w:p w14:paraId="34DD9CA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dMMR vs pMMR </w:t>
            </w:r>
          </w:p>
        </w:tc>
        <w:tc>
          <w:tcPr>
            <w:tcW w:w="0" w:type="auto"/>
            <w:tcBorders>
              <w:top w:val="single" w:sz="4" w:space="0" w:color="auto"/>
            </w:tcBorders>
          </w:tcPr>
          <w:p w14:paraId="34DD9CA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 </w:t>
            </w:r>
          </w:p>
        </w:tc>
        <w:tc>
          <w:tcPr>
            <w:tcW w:w="0" w:type="auto"/>
            <w:tcBorders>
              <w:top w:val="single" w:sz="4" w:space="0" w:color="auto"/>
            </w:tcBorders>
          </w:tcPr>
          <w:p w14:paraId="34DD9CA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&lt; 0.001 </w:t>
            </w:r>
          </w:p>
        </w:tc>
        <w:tc>
          <w:tcPr>
            <w:tcW w:w="0" w:type="auto"/>
            <w:tcBorders>
              <w:top w:val="single" w:sz="4" w:space="0" w:color="auto"/>
            </w:tcBorders>
          </w:tcPr>
          <w:p w14:paraId="34DD9CA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&lt; 0.001 </w:t>
            </w:r>
          </w:p>
        </w:tc>
        <w:tc>
          <w:tcPr>
            <w:tcW w:w="0" w:type="auto"/>
            <w:tcBorders>
              <w:top w:val="single" w:sz="4" w:space="0" w:color="auto"/>
            </w:tcBorders>
          </w:tcPr>
          <w:p w14:paraId="34DD9CA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Robust </w:t>
            </w:r>
          </w:p>
        </w:tc>
      </w:tr>
      <w:tr w:rsidR="00872A7E" w14:paraId="34DD9CB2" w14:textId="77777777">
        <w:tc>
          <w:tcPr>
            <w:tcW w:w="0" w:type="auto"/>
          </w:tcPr>
          <w:p w14:paraId="34DD9CA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ADC Dose </w:t>
            </w:r>
          </w:p>
        </w:tc>
        <w:tc>
          <w:tcPr>
            <w:tcW w:w="0" w:type="auto"/>
          </w:tcPr>
          <w:p w14:paraId="34DD9CA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5.4 vs 6.4 mg/kg </w:t>
            </w:r>
          </w:p>
        </w:tc>
        <w:tc>
          <w:tcPr>
            <w:tcW w:w="0" w:type="auto"/>
          </w:tcPr>
          <w:p w14:paraId="34DD9CA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4 </w:t>
            </w:r>
          </w:p>
        </w:tc>
        <w:tc>
          <w:tcPr>
            <w:tcW w:w="0" w:type="auto"/>
          </w:tcPr>
          <w:p w14:paraId="34DD9CA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0.041 </w:t>
            </w:r>
          </w:p>
        </w:tc>
        <w:tc>
          <w:tcPr>
            <w:tcW w:w="0" w:type="auto"/>
          </w:tcPr>
          <w:p w14:paraId="34DD9CB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0.082 </w:t>
            </w:r>
          </w:p>
        </w:tc>
        <w:tc>
          <w:tcPr>
            <w:tcW w:w="0" w:type="auto"/>
          </w:tcPr>
          <w:p w14:paraId="34DD9CB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Exploratory Trend </w:t>
            </w:r>
          </w:p>
        </w:tc>
      </w:tr>
      <w:tr w:rsidR="00872A7E" w14:paraId="34DD9CB9" w14:textId="77777777">
        <w:tc>
          <w:tcPr>
            <w:tcW w:w="0" w:type="auto"/>
          </w:tcPr>
          <w:p w14:paraId="34DD9CB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Line of Therapy </w:t>
            </w:r>
          </w:p>
        </w:tc>
        <w:tc>
          <w:tcPr>
            <w:tcW w:w="0" w:type="auto"/>
          </w:tcPr>
          <w:p w14:paraId="34DD9CB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1L vs Later </w:t>
            </w:r>
          </w:p>
        </w:tc>
        <w:tc>
          <w:tcPr>
            <w:tcW w:w="0" w:type="auto"/>
          </w:tcPr>
          <w:p w14:paraId="34DD9CB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 </w:t>
            </w:r>
          </w:p>
        </w:tc>
        <w:tc>
          <w:tcPr>
            <w:tcW w:w="0" w:type="auto"/>
          </w:tcPr>
          <w:p w14:paraId="34DD9CB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0.032 </w:t>
            </w:r>
          </w:p>
        </w:tc>
        <w:tc>
          <w:tcPr>
            <w:tcW w:w="0" w:type="auto"/>
          </w:tcPr>
          <w:p w14:paraId="34DD9CB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0.075 </w:t>
            </w:r>
          </w:p>
        </w:tc>
        <w:tc>
          <w:tcPr>
            <w:tcW w:w="0" w:type="auto"/>
          </w:tcPr>
          <w:p w14:paraId="34DD9CB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Exploratory Trend </w:t>
            </w:r>
          </w:p>
        </w:tc>
      </w:tr>
      <w:tr w:rsidR="00872A7E" w14:paraId="34DD9CC0" w14:textId="77777777">
        <w:tc>
          <w:tcPr>
            <w:tcW w:w="0" w:type="auto"/>
          </w:tcPr>
          <w:p w14:paraId="34DD9CB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lastRenderedPageBreak/>
              <w:t xml:space="preserve">Geography </w:t>
            </w:r>
          </w:p>
        </w:tc>
        <w:tc>
          <w:tcPr>
            <w:tcW w:w="0" w:type="auto"/>
          </w:tcPr>
          <w:p w14:paraId="34DD9CB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Japan vs Others </w:t>
            </w:r>
          </w:p>
        </w:tc>
        <w:tc>
          <w:tcPr>
            <w:tcW w:w="0" w:type="auto"/>
          </w:tcPr>
          <w:p w14:paraId="34DD9CB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3 </w:t>
            </w:r>
          </w:p>
        </w:tc>
        <w:tc>
          <w:tcPr>
            <w:tcW w:w="0" w:type="auto"/>
          </w:tcPr>
          <w:p w14:paraId="34DD9CB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0.045 </w:t>
            </w:r>
          </w:p>
        </w:tc>
        <w:tc>
          <w:tcPr>
            <w:tcW w:w="0" w:type="auto"/>
          </w:tcPr>
          <w:p w14:paraId="34DD9CB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0.082 </w:t>
            </w:r>
          </w:p>
        </w:tc>
        <w:tc>
          <w:tcPr>
            <w:tcW w:w="0" w:type="auto"/>
          </w:tcPr>
          <w:p w14:paraId="34DD9CB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Exploratory Trend </w:t>
            </w:r>
          </w:p>
        </w:tc>
      </w:tr>
      <w:tr w:rsidR="00872A7E" w14:paraId="34DD9CC7" w14:textId="77777777">
        <w:tc>
          <w:tcPr>
            <w:tcW w:w="0" w:type="auto"/>
          </w:tcPr>
          <w:p w14:paraId="34DD9CC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TMB Assay </w:t>
            </w:r>
          </w:p>
        </w:tc>
        <w:tc>
          <w:tcPr>
            <w:tcW w:w="0" w:type="auto"/>
          </w:tcPr>
          <w:p w14:paraId="34DD9CC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Tissue vs Blood </w:t>
            </w:r>
          </w:p>
        </w:tc>
        <w:tc>
          <w:tcPr>
            <w:tcW w:w="0" w:type="auto"/>
          </w:tcPr>
          <w:p w14:paraId="34DD9CC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 </w:t>
            </w:r>
          </w:p>
        </w:tc>
        <w:tc>
          <w:tcPr>
            <w:tcW w:w="0" w:type="auto"/>
          </w:tcPr>
          <w:p w14:paraId="34DD9CC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0.070 </w:t>
            </w:r>
          </w:p>
        </w:tc>
        <w:tc>
          <w:tcPr>
            <w:tcW w:w="0" w:type="auto"/>
          </w:tcPr>
          <w:p w14:paraId="34DD9CC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0.112 </w:t>
            </w:r>
          </w:p>
        </w:tc>
        <w:tc>
          <w:tcPr>
            <w:tcW w:w="0" w:type="auto"/>
          </w:tcPr>
          <w:p w14:paraId="34DD9CC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Not Significant </w:t>
            </w:r>
          </w:p>
        </w:tc>
      </w:tr>
    </w:tbl>
    <w:p w14:paraId="34DD9CC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FDR, False Discovery Rate; MMR, Mismatch Repair; TMB, Tumor Mutational Burden.</w:t>
      </w:r>
    </w:p>
    <w:p w14:paraId="34DD9CC9" w14:textId="77777777" w:rsidR="00872A7E" w:rsidRDefault="00872A7E">
      <w:pPr>
        <w:spacing w:before="96" w:after="96"/>
        <w:ind w:firstLine="0"/>
        <w:rPr>
          <w:rFonts w:asciiTheme="majorBidi" w:hAnsiTheme="majorBidi" w:cstheme="majorBidi"/>
          <w:sz w:val="20"/>
          <w:szCs w:val="20"/>
          <w:rtl/>
        </w:rPr>
      </w:pPr>
    </w:p>
    <w:p w14:paraId="34DD9CCA" w14:textId="77777777" w:rsidR="00872A7E" w:rsidRDefault="00872A7E">
      <w:pPr>
        <w:spacing w:before="96" w:after="96"/>
        <w:ind w:firstLine="0"/>
        <w:rPr>
          <w:rFonts w:asciiTheme="majorBidi" w:hAnsiTheme="majorBidi" w:cstheme="majorBidi"/>
          <w:b/>
          <w:bCs/>
          <w:sz w:val="20"/>
          <w:szCs w:val="20"/>
        </w:rPr>
      </w:pPr>
    </w:p>
    <w:p w14:paraId="34DD9CCB"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S9. Exact Test Specifications and Synthesis-Level Results for Funnel Plot-Based Assessments</w:t>
      </w:r>
    </w:p>
    <w:p w14:paraId="34DD9CCC" w14:textId="77777777" w:rsidR="00872A7E" w:rsidRDefault="00872A7E">
      <w:pPr>
        <w:spacing w:before="96" w:after="96"/>
        <w:ind w:firstLine="0"/>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1"/>
        <w:gridCol w:w="1499"/>
        <w:gridCol w:w="720"/>
        <w:gridCol w:w="900"/>
        <w:gridCol w:w="630"/>
        <w:gridCol w:w="900"/>
        <w:gridCol w:w="7568"/>
      </w:tblGrid>
      <w:tr w:rsidR="00872A7E" w14:paraId="34DD9CD4" w14:textId="77777777">
        <w:tc>
          <w:tcPr>
            <w:tcW w:w="1741" w:type="dxa"/>
            <w:tcBorders>
              <w:top w:val="single" w:sz="4" w:space="0" w:color="auto"/>
              <w:bottom w:val="single" w:sz="4" w:space="0" w:color="auto"/>
            </w:tcBorders>
          </w:tcPr>
          <w:p w14:paraId="34DD9CCD"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Outcome Family </w:t>
            </w:r>
          </w:p>
        </w:tc>
        <w:tc>
          <w:tcPr>
            <w:tcW w:w="1499" w:type="dxa"/>
            <w:tcBorders>
              <w:top w:val="single" w:sz="4" w:space="0" w:color="auto"/>
              <w:bottom w:val="single" w:sz="4" w:space="0" w:color="auto"/>
            </w:tcBorders>
          </w:tcPr>
          <w:p w14:paraId="34DD9CCE"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Eligibility (k≥10) </w:t>
            </w:r>
          </w:p>
        </w:tc>
        <w:tc>
          <w:tcPr>
            <w:tcW w:w="720" w:type="dxa"/>
            <w:tcBorders>
              <w:top w:val="single" w:sz="4" w:space="0" w:color="auto"/>
              <w:bottom w:val="single" w:sz="4" w:space="0" w:color="auto"/>
            </w:tcBorders>
          </w:tcPr>
          <w:p w14:paraId="34DD9CCF"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Metric </w:t>
            </w:r>
          </w:p>
        </w:tc>
        <w:tc>
          <w:tcPr>
            <w:tcW w:w="900" w:type="dxa"/>
            <w:tcBorders>
              <w:top w:val="single" w:sz="4" w:space="0" w:color="auto"/>
              <w:bottom w:val="single" w:sz="4" w:space="0" w:color="auto"/>
            </w:tcBorders>
          </w:tcPr>
          <w:p w14:paraId="34DD9CD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Test </w:t>
            </w:r>
          </w:p>
        </w:tc>
        <w:tc>
          <w:tcPr>
            <w:tcW w:w="630" w:type="dxa"/>
            <w:tcBorders>
              <w:top w:val="single" w:sz="4" w:space="0" w:color="auto"/>
              <w:bottom w:val="single" w:sz="4" w:space="0" w:color="auto"/>
            </w:tcBorders>
          </w:tcPr>
          <w:p w14:paraId="34DD9CD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k </w:t>
            </w:r>
          </w:p>
        </w:tc>
        <w:tc>
          <w:tcPr>
            <w:tcW w:w="900" w:type="dxa"/>
            <w:tcBorders>
              <w:top w:val="single" w:sz="4" w:space="0" w:color="auto"/>
              <w:bottom w:val="single" w:sz="4" w:space="0" w:color="auto"/>
            </w:tcBorders>
          </w:tcPr>
          <w:p w14:paraId="34DD9CD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p-value </w:t>
            </w:r>
          </w:p>
        </w:tc>
        <w:tc>
          <w:tcPr>
            <w:tcW w:w="7568" w:type="dxa"/>
            <w:tcBorders>
              <w:top w:val="single" w:sz="4" w:space="0" w:color="auto"/>
              <w:bottom w:val="single" w:sz="4" w:space="0" w:color="auto"/>
            </w:tcBorders>
          </w:tcPr>
          <w:p w14:paraId="34DD9CD3"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Interpretation &amp; Selection Model Check </w:t>
            </w:r>
          </w:p>
        </w:tc>
      </w:tr>
      <w:tr w:rsidR="00872A7E" w14:paraId="34DD9CDC" w14:textId="77777777">
        <w:tc>
          <w:tcPr>
            <w:tcW w:w="1741" w:type="dxa"/>
          </w:tcPr>
          <w:p w14:paraId="34DD9CD5"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Confirmed ORR </w:t>
            </w:r>
          </w:p>
        </w:tc>
        <w:tc>
          <w:tcPr>
            <w:tcW w:w="1499" w:type="dxa"/>
          </w:tcPr>
          <w:p w14:paraId="34DD9CD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Yes </w:t>
            </w:r>
          </w:p>
        </w:tc>
        <w:tc>
          <w:tcPr>
            <w:tcW w:w="720" w:type="dxa"/>
          </w:tcPr>
          <w:p w14:paraId="34DD9CD7" w14:textId="77777777" w:rsidR="00872A7E" w:rsidRDefault="00037403">
            <w:pPr>
              <w:spacing w:before="96" w:after="96"/>
              <w:ind w:firstLine="0"/>
              <w:rPr>
                <w:rFonts w:asciiTheme="majorBidi" w:hAnsiTheme="majorBidi" w:cstheme="majorBidi"/>
                <w:sz w:val="20"/>
                <w:szCs w:val="20"/>
              </w:rPr>
            </w:pPr>
            <w:proofErr w:type="gramStart"/>
            <w:r>
              <w:rPr>
                <w:rFonts w:asciiTheme="majorBidi" w:hAnsiTheme="majorBidi" w:cstheme="majorBidi"/>
                <w:sz w:val="16"/>
                <w:szCs w:val="20"/>
              </w:rPr>
              <w:t>log</w:t>
            </w:r>
            <w:proofErr w:type="gramEnd"/>
            <w:r>
              <w:rPr>
                <w:rFonts w:asciiTheme="majorBidi" w:hAnsiTheme="majorBidi" w:cstheme="majorBidi"/>
                <w:sz w:val="16"/>
                <w:szCs w:val="20"/>
              </w:rPr>
              <w:t xml:space="preserve"> RR </w:t>
            </w:r>
          </w:p>
        </w:tc>
        <w:tc>
          <w:tcPr>
            <w:tcW w:w="900" w:type="dxa"/>
          </w:tcPr>
          <w:p w14:paraId="34DD9CD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Egger </w:t>
            </w:r>
          </w:p>
        </w:tc>
        <w:tc>
          <w:tcPr>
            <w:tcW w:w="630" w:type="dxa"/>
          </w:tcPr>
          <w:p w14:paraId="34DD9CD9"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24 </w:t>
            </w:r>
          </w:p>
        </w:tc>
        <w:tc>
          <w:tcPr>
            <w:tcW w:w="900" w:type="dxa"/>
          </w:tcPr>
          <w:p w14:paraId="34DD9CD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0.62 </w:t>
            </w:r>
          </w:p>
        </w:tc>
        <w:tc>
          <w:tcPr>
            <w:tcW w:w="7568" w:type="dxa"/>
          </w:tcPr>
          <w:p w14:paraId="34DD9CDB"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No evidence of bias. </w:t>
            </w:r>
          </w:p>
        </w:tc>
      </w:tr>
      <w:tr w:rsidR="00872A7E" w14:paraId="34DD9CE4" w14:textId="77777777">
        <w:tc>
          <w:tcPr>
            <w:tcW w:w="1741" w:type="dxa"/>
          </w:tcPr>
          <w:p w14:paraId="34DD9CDD"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PFS </w:t>
            </w:r>
          </w:p>
        </w:tc>
        <w:tc>
          <w:tcPr>
            <w:tcW w:w="1499" w:type="dxa"/>
          </w:tcPr>
          <w:p w14:paraId="34DD9CDE"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Yes </w:t>
            </w:r>
          </w:p>
        </w:tc>
        <w:tc>
          <w:tcPr>
            <w:tcW w:w="720" w:type="dxa"/>
          </w:tcPr>
          <w:p w14:paraId="34DD9CDF" w14:textId="77777777" w:rsidR="00872A7E" w:rsidRDefault="00037403">
            <w:pPr>
              <w:spacing w:before="96" w:after="96"/>
              <w:ind w:firstLine="0"/>
              <w:rPr>
                <w:rFonts w:asciiTheme="majorBidi" w:hAnsiTheme="majorBidi" w:cstheme="majorBidi"/>
                <w:sz w:val="20"/>
                <w:szCs w:val="20"/>
              </w:rPr>
            </w:pPr>
            <w:proofErr w:type="gramStart"/>
            <w:r>
              <w:rPr>
                <w:rFonts w:asciiTheme="majorBidi" w:hAnsiTheme="majorBidi" w:cstheme="majorBidi"/>
                <w:sz w:val="16"/>
                <w:szCs w:val="20"/>
              </w:rPr>
              <w:t>log</w:t>
            </w:r>
            <w:proofErr w:type="gramEnd"/>
            <w:r>
              <w:rPr>
                <w:rFonts w:asciiTheme="majorBidi" w:hAnsiTheme="majorBidi" w:cstheme="majorBidi"/>
                <w:sz w:val="16"/>
                <w:szCs w:val="20"/>
              </w:rPr>
              <w:t xml:space="preserve"> HR </w:t>
            </w:r>
          </w:p>
        </w:tc>
        <w:tc>
          <w:tcPr>
            <w:tcW w:w="900" w:type="dxa"/>
          </w:tcPr>
          <w:p w14:paraId="34DD9CE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Egger </w:t>
            </w:r>
          </w:p>
        </w:tc>
        <w:tc>
          <w:tcPr>
            <w:tcW w:w="630" w:type="dxa"/>
          </w:tcPr>
          <w:p w14:paraId="34DD9CE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28 </w:t>
            </w:r>
          </w:p>
        </w:tc>
        <w:tc>
          <w:tcPr>
            <w:tcW w:w="900" w:type="dxa"/>
          </w:tcPr>
          <w:p w14:paraId="34DD9CE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0.64 </w:t>
            </w:r>
          </w:p>
        </w:tc>
        <w:tc>
          <w:tcPr>
            <w:tcW w:w="7568" w:type="dxa"/>
          </w:tcPr>
          <w:p w14:paraId="34DD9CE3"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No evidence of bias. </w:t>
            </w:r>
          </w:p>
        </w:tc>
      </w:tr>
      <w:tr w:rsidR="00872A7E" w14:paraId="34DD9CEC" w14:textId="77777777">
        <w:tc>
          <w:tcPr>
            <w:tcW w:w="1741" w:type="dxa"/>
          </w:tcPr>
          <w:p w14:paraId="34DD9CE5"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Grade ≥3 AEs </w:t>
            </w:r>
          </w:p>
        </w:tc>
        <w:tc>
          <w:tcPr>
            <w:tcW w:w="1499" w:type="dxa"/>
          </w:tcPr>
          <w:p w14:paraId="34DD9CE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Yes </w:t>
            </w:r>
          </w:p>
        </w:tc>
        <w:tc>
          <w:tcPr>
            <w:tcW w:w="720" w:type="dxa"/>
          </w:tcPr>
          <w:p w14:paraId="34DD9CE7" w14:textId="77777777" w:rsidR="00872A7E" w:rsidRDefault="00037403">
            <w:pPr>
              <w:spacing w:before="96" w:after="96"/>
              <w:ind w:firstLine="0"/>
              <w:rPr>
                <w:rFonts w:asciiTheme="majorBidi" w:hAnsiTheme="majorBidi" w:cstheme="majorBidi"/>
                <w:sz w:val="20"/>
                <w:szCs w:val="20"/>
              </w:rPr>
            </w:pPr>
            <w:proofErr w:type="gramStart"/>
            <w:r>
              <w:rPr>
                <w:rFonts w:asciiTheme="majorBidi" w:hAnsiTheme="majorBidi" w:cstheme="majorBidi"/>
                <w:sz w:val="16"/>
                <w:szCs w:val="20"/>
              </w:rPr>
              <w:t>log</w:t>
            </w:r>
            <w:proofErr w:type="gramEnd"/>
            <w:r>
              <w:rPr>
                <w:rFonts w:asciiTheme="majorBidi" w:hAnsiTheme="majorBidi" w:cstheme="majorBidi"/>
                <w:sz w:val="16"/>
                <w:szCs w:val="20"/>
              </w:rPr>
              <w:t xml:space="preserve"> RR </w:t>
            </w:r>
          </w:p>
        </w:tc>
        <w:tc>
          <w:tcPr>
            <w:tcW w:w="900" w:type="dxa"/>
          </w:tcPr>
          <w:p w14:paraId="34DD9CE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Egger </w:t>
            </w:r>
          </w:p>
        </w:tc>
        <w:tc>
          <w:tcPr>
            <w:tcW w:w="630" w:type="dxa"/>
          </w:tcPr>
          <w:p w14:paraId="34DD9CE9"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21 </w:t>
            </w:r>
          </w:p>
        </w:tc>
        <w:tc>
          <w:tcPr>
            <w:tcW w:w="900" w:type="dxa"/>
          </w:tcPr>
          <w:p w14:paraId="34DD9CE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0.40 </w:t>
            </w:r>
          </w:p>
        </w:tc>
        <w:tc>
          <w:tcPr>
            <w:tcW w:w="7568" w:type="dxa"/>
          </w:tcPr>
          <w:p w14:paraId="34DD9CEB"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No evidence of bias. </w:t>
            </w:r>
          </w:p>
        </w:tc>
      </w:tr>
      <w:tr w:rsidR="00872A7E" w14:paraId="34DD9CF7" w14:textId="77777777">
        <w:tc>
          <w:tcPr>
            <w:tcW w:w="1741" w:type="dxa"/>
          </w:tcPr>
          <w:p w14:paraId="34DD9CED"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b/>
                <w:sz w:val="16"/>
                <w:szCs w:val="20"/>
              </w:rPr>
              <w:t xml:space="preserve">Binary Harm (Exploratory) </w:t>
            </w:r>
          </w:p>
        </w:tc>
        <w:tc>
          <w:tcPr>
            <w:tcW w:w="1499" w:type="dxa"/>
          </w:tcPr>
          <w:p w14:paraId="34DD9CEE"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Yes </w:t>
            </w:r>
          </w:p>
        </w:tc>
        <w:tc>
          <w:tcPr>
            <w:tcW w:w="720" w:type="dxa"/>
          </w:tcPr>
          <w:p w14:paraId="34DD9CEF" w14:textId="77777777" w:rsidR="00872A7E" w:rsidRDefault="00037403">
            <w:pPr>
              <w:spacing w:before="96" w:after="96"/>
              <w:ind w:firstLine="0"/>
              <w:rPr>
                <w:rFonts w:asciiTheme="majorBidi" w:hAnsiTheme="majorBidi" w:cstheme="majorBidi"/>
                <w:sz w:val="20"/>
                <w:szCs w:val="20"/>
              </w:rPr>
            </w:pPr>
            <w:proofErr w:type="gramStart"/>
            <w:r>
              <w:rPr>
                <w:rFonts w:asciiTheme="majorBidi" w:hAnsiTheme="majorBidi" w:cstheme="majorBidi"/>
                <w:sz w:val="16"/>
                <w:szCs w:val="20"/>
              </w:rPr>
              <w:t>log</w:t>
            </w:r>
            <w:proofErr w:type="gramEnd"/>
            <w:r>
              <w:rPr>
                <w:rFonts w:asciiTheme="majorBidi" w:hAnsiTheme="majorBidi" w:cstheme="majorBidi"/>
                <w:sz w:val="16"/>
                <w:szCs w:val="20"/>
              </w:rPr>
              <w:t xml:space="preserve"> RR </w:t>
            </w:r>
          </w:p>
        </w:tc>
        <w:tc>
          <w:tcPr>
            <w:tcW w:w="900" w:type="dxa"/>
          </w:tcPr>
          <w:p w14:paraId="34DD9CF0"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Egger </w:t>
            </w:r>
          </w:p>
        </w:tc>
        <w:tc>
          <w:tcPr>
            <w:tcW w:w="630" w:type="dxa"/>
          </w:tcPr>
          <w:p w14:paraId="34DD9CF1"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12 </w:t>
            </w:r>
          </w:p>
        </w:tc>
        <w:tc>
          <w:tcPr>
            <w:tcW w:w="900" w:type="dxa"/>
          </w:tcPr>
          <w:p w14:paraId="34DD9CF2"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0.046 </w:t>
            </w:r>
          </w:p>
        </w:tc>
        <w:tc>
          <w:tcPr>
            <w:tcW w:w="7568" w:type="dxa"/>
          </w:tcPr>
          <w:p w14:paraId="34DD9CF3" w14:textId="77777777" w:rsidR="00872A7E" w:rsidRDefault="00037403">
            <w:pPr>
              <w:spacing w:before="96" w:after="96"/>
              <w:ind w:firstLine="0"/>
              <w:rPr>
                <w:rFonts w:asciiTheme="majorBidi" w:hAnsiTheme="majorBidi" w:cstheme="majorBidi"/>
                <w:sz w:val="16"/>
                <w:szCs w:val="20"/>
              </w:rPr>
            </w:pPr>
            <w:r>
              <w:rPr>
                <w:rFonts w:asciiTheme="majorBidi" w:hAnsiTheme="majorBidi" w:cstheme="majorBidi"/>
                <w:sz w:val="16"/>
                <w:szCs w:val="20"/>
              </w:rPr>
              <w:t xml:space="preserve">Mild asymmetry. </w:t>
            </w:r>
          </w:p>
          <w:p w14:paraId="34DD9CF4" w14:textId="77777777" w:rsidR="00872A7E" w:rsidRDefault="00037403">
            <w:pPr>
              <w:spacing w:before="96" w:after="96"/>
              <w:ind w:firstLine="0"/>
              <w:rPr>
                <w:rFonts w:asciiTheme="majorBidi" w:hAnsiTheme="majorBidi" w:cstheme="majorBidi"/>
                <w:sz w:val="16"/>
                <w:szCs w:val="20"/>
              </w:rPr>
            </w:pPr>
            <w:r>
              <w:rPr>
                <w:rFonts w:asciiTheme="majorBidi" w:hAnsiTheme="majorBidi" w:cstheme="majorBidi"/>
                <w:sz w:val="16"/>
                <w:szCs w:val="20"/>
              </w:rPr>
              <w:t xml:space="preserve">Sensitivity: Trim-and-fill imputed 2 studies (effect unchanged). </w:t>
            </w:r>
          </w:p>
          <w:p w14:paraId="34DD9CF5" w14:textId="77777777" w:rsidR="00872A7E" w:rsidRDefault="00037403">
            <w:pPr>
              <w:spacing w:before="96" w:after="96"/>
              <w:ind w:firstLine="0"/>
              <w:rPr>
                <w:rFonts w:asciiTheme="majorBidi" w:hAnsiTheme="majorBidi" w:cstheme="majorBidi"/>
                <w:sz w:val="16"/>
                <w:szCs w:val="20"/>
              </w:rPr>
            </w:pPr>
            <w:r>
              <w:rPr>
                <w:rFonts w:asciiTheme="majorBidi" w:hAnsiTheme="majorBidi" w:cstheme="majorBidi"/>
                <w:sz w:val="16"/>
                <w:szCs w:val="20"/>
              </w:rPr>
              <w:t xml:space="preserve">Selection Model (Vevea-Hedges): Adjusted RR 0.88 (95% CI 0.64-1.12) vs. unadjusted RR 0.86; difference negligible. </w:t>
            </w:r>
          </w:p>
          <w:p w14:paraId="34DD9CF6"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16"/>
                <w:szCs w:val="20"/>
              </w:rPr>
              <w:t xml:space="preserve">Robust to selection bias. </w:t>
            </w:r>
          </w:p>
        </w:tc>
      </w:tr>
    </w:tbl>
    <w:p w14:paraId="34DD9CF8"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AE, Adverse Event; HR, Hazard Ratio; k, Number of Studies; ORR, Objective Response Rate; PFS, Progression-Free Survival; RR, Risk Ratio. Note: Funnel asymmetry tests are synthesis-level procedures and yield one p-value per synthesis/outcome family. For all other pooled comparisons with k &lt; 10 (including rare harms such as ILD/pneumonitis), formal funnel-based asymmetry testing was not performed, and any funnel visualizations were interpreted qualitatively with explicit caution due to low power and unreliabi</w:t>
      </w:r>
      <w:r>
        <w:rPr>
          <w:rFonts w:asciiTheme="majorBidi" w:hAnsiTheme="majorBidi" w:cstheme="majorBidi"/>
          <w:sz w:val="20"/>
          <w:szCs w:val="20"/>
        </w:rPr>
        <w:t>lity at small k.</w:t>
      </w:r>
    </w:p>
    <w:p w14:paraId="34DD9CF9" w14:textId="77777777" w:rsidR="00872A7E" w:rsidRDefault="00872A7E">
      <w:pPr>
        <w:spacing w:before="96" w:after="96"/>
        <w:ind w:firstLine="0"/>
        <w:rPr>
          <w:rFonts w:asciiTheme="majorBidi" w:hAnsiTheme="majorBidi" w:cstheme="majorBidi"/>
          <w:sz w:val="20"/>
          <w:szCs w:val="20"/>
        </w:rPr>
      </w:pPr>
    </w:p>
    <w:p w14:paraId="34DD9CFA"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S10. Sensitivity Analyses</w:t>
      </w:r>
    </w:p>
    <w:p w14:paraId="34DD9CFB"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3"/>
        <w:gridCol w:w="1678"/>
        <w:gridCol w:w="1852"/>
        <w:gridCol w:w="1985"/>
        <w:gridCol w:w="981"/>
      </w:tblGrid>
      <w:tr w:rsidR="00872A7E" w14:paraId="34DD9D01" w14:textId="77777777">
        <w:tc>
          <w:tcPr>
            <w:tcW w:w="0" w:type="auto"/>
            <w:tcBorders>
              <w:top w:val="single" w:sz="4" w:space="0" w:color="auto"/>
              <w:bottom w:val="single" w:sz="4" w:space="0" w:color="auto"/>
            </w:tcBorders>
          </w:tcPr>
          <w:p w14:paraId="34DD9CF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Synthesis </w:t>
            </w:r>
          </w:p>
        </w:tc>
        <w:tc>
          <w:tcPr>
            <w:tcW w:w="0" w:type="auto"/>
            <w:tcBorders>
              <w:top w:val="single" w:sz="4" w:space="0" w:color="auto"/>
              <w:bottom w:val="single" w:sz="4" w:space="0" w:color="auto"/>
            </w:tcBorders>
          </w:tcPr>
          <w:p w14:paraId="34DD9CF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Method Change </w:t>
            </w:r>
          </w:p>
        </w:tc>
        <w:tc>
          <w:tcPr>
            <w:tcW w:w="0" w:type="auto"/>
            <w:tcBorders>
              <w:top w:val="single" w:sz="4" w:space="0" w:color="auto"/>
              <w:bottom w:val="single" w:sz="4" w:space="0" w:color="auto"/>
            </w:tcBorders>
          </w:tcPr>
          <w:p w14:paraId="34DD9CFE"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Pooled Effect (Original) </w:t>
            </w:r>
          </w:p>
        </w:tc>
        <w:tc>
          <w:tcPr>
            <w:tcW w:w="0" w:type="auto"/>
            <w:tcBorders>
              <w:top w:val="single" w:sz="4" w:space="0" w:color="auto"/>
              <w:bottom w:val="single" w:sz="4" w:space="0" w:color="auto"/>
            </w:tcBorders>
          </w:tcPr>
          <w:p w14:paraId="34DD9CFF"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Pooled Effect (Sensitivity) </w:t>
            </w:r>
          </w:p>
        </w:tc>
        <w:tc>
          <w:tcPr>
            <w:tcW w:w="0" w:type="auto"/>
            <w:tcBorders>
              <w:top w:val="single" w:sz="4" w:space="0" w:color="auto"/>
              <w:bottom w:val="single" w:sz="4" w:space="0" w:color="auto"/>
            </w:tcBorders>
          </w:tcPr>
          <w:p w14:paraId="34DD9D00"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Conclusion </w:t>
            </w:r>
          </w:p>
        </w:tc>
      </w:tr>
      <w:tr w:rsidR="00872A7E" w14:paraId="34DD9D07" w14:textId="77777777">
        <w:tc>
          <w:tcPr>
            <w:tcW w:w="0" w:type="auto"/>
            <w:tcBorders>
              <w:top w:val="single" w:sz="4" w:space="0" w:color="auto"/>
            </w:tcBorders>
          </w:tcPr>
          <w:p w14:paraId="34DD9D0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MSI-H PFS </w:t>
            </w:r>
          </w:p>
        </w:tc>
        <w:tc>
          <w:tcPr>
            <w:tcW w:w="0" w:type="auto"/>
            <w:tcBorders>
              <w:top w:val="single" w:sz="4" w:space="0" w:color="auto"/>
            </w:tcBorders>
          </w:tcPr>
          <w:p w14:paraId="34DD9D0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Fixed Effect </w:t>
            </w:r>
          </w:p>
        </w:tc>
        <w:tc>
          <w:tcPr>
            <w:tcW w:w="0" w:type="auto"/>
            <w:tcBorders>
              <w:top w:val="single" w:sz="4" w:space="0" w:color="auto"/>
            </w:tcBorders>
          </w:tcPr>
          <w:p w14:paraId="34DD9D0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0.60 </w:t>
            </w:r>
          </w:p>
        </w:tc>
        <w:tc>
          <w:tcPr>
            <w:tcW w:w="0" w:type="auto"/>
            <w:tcBorders>
              <w:top w:val="single" w:sz="4" w:space="0" w:color="auto"/>
            </w:tcBorders>
          </w:tcPr>
          <w:p w14:paraId="34DD9D0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0.59 </w:t>
            </w:r>
          </w:p>
        </w:tc>
        <w:tc>
          <w:tcPr>
            <w:tcW w:w="0" w:type="auto"/>
            <w:tcBorders>
              <w:top w:val="single" w:sz="4" w:space="0" w:color="auto"/>
            </w:tcBorders>
          </w:tcPr>
          <w:p w14:paraId="34DD9D0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Robust </w:t>
            </w:r>
          </w:p>
        </w:tc>
      </w:tr>
      <w:tr w:rsidR="00872A7E" w14:paraId="34DD9D0D" w14:textId="77777777">
        <w:tc>
          <w:tcPr>
            <w:tcW w:w="0" w:type="auto"/>
          </w:tcPr>
          <w:p w14:paraId="34DD9D0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HER2-low OS </w:t>
            </w:r>
          </w:p>
        </w:tc>
        <w:tc>
          <w:tcPr>
            <w:tcW w:w="0" w:type="auto"/>
          </w:tcPr>
          <w:p w14:paraId="34DD9D0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Leave-One-Out </w:t>
            </w:r>
          </w:p>
        </w:tc>
        <w:tc>
          <w:tcPr>
            <w:tcW w:w="0" w:type="auto"/>
          </w:tcPr>
          <w:p w14:paraId="34DD9D0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0.69 </w:t>
            </w:r>
          </w:p>
        </w:tc>
        <w:tc>
          <w:tcPr>
            <w:tcW w:w="0" w:type="auto"/>
          </w:tcPr>
          <w:p w14:paraId="34DD9D0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0.69-0.72 </w:t>
            </w:r>
          </w:p>
        </w:tc>
        <w:tc>
          <w:tcPr>
            <w:tcW w:w="0" w:type="auto"/>
          </w:tcPr>
          <w:p w14:paraId="34DD9D0C"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Robust </w:t>
            </w:r>
          </w:p>
        </w:tc>
      </w:tr>
      <w:tr w:rsidR="00872A7E" w14:paraId="34DD9D13" w14:textId="77777777">
        <w:tc>
          <w:tcPr>
            <w:tcW w:w="0" w:type="auto"/>
          </w:tcPr>
          <w:p w14:paraId="34DD9D0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lastRenderedPageBreak/>
              <w:t xml:space="preserve">BRAF OS </w:t>
            </w:r>
          </w:p>
        </w:tc>
        <w:tc>
          <w:tcPr>
            <w:tcW w:w="0" w:type="auto"/>
          </w:tcPr>
          <w:p w14:paraId="34DD9D0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 Observational </w:t>
            </w:r>
          </w:p>
        </w:tc>
        <w:tc>
          <w:tcPr>
            <w:tcW w:w="0" w:type="auto"/>
          </w:tcPr>
          <w:p w14:paraId="34DD9D1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0.53 </w:t>
            </w:r>
          </w:p>
        </w:tc>
        <w:tc>
          <w:tcPr>
            <w:tcW w:w="0" w:type="auto"/>
          </w:tcPr>
          <w:p w14:paraId="34DD9D1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0.52 </w:t>
            </w:r>
          </w:p>
        </w:tc>
        <w:tc>
          <w:tcPr>
            <w:tcW w:w="0" w:type="auto"/>
          </w:tcPr>
          <w:p w14:paraId="34DD9D1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Robust </w:t>
            </w:r>
          </w:p>
        </w:tc>
      </w:tr>
      <w:tr w:rsidR="00872A7E" w14:paraId="34DD9D19" w14:textId="77777777">
        <w:tc>
          <w:tcPr>
            <w:tcW w:w="0" w:type="auto"/>
          </w:tcPr>
          <w:p w14:paraId="34DD9D1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Endometrial PFS </w:t>
            </w:r>
          </w:p>
        </w:tc>
        <w:tc>
          <w:tcPr>
            <w:tcW w:w="0" w:type="auto"/>
          </w:tcPr>
          <w:p w14:paraId="34DD9D1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Adjusted Adjudication </w:t>
            </w:r>
          </w:p>
        </w:tc>
        <w:tc>
          <w:tcPr>
            <w:tcW w:w="0" w:type="auto"/>
          </w:tcPr>
          <w:p w14:paraId="34DD9D1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0.29 </w:t>
            </w:r>
          </w:p>
        </w:tc>
        <w:tc>
          <w:tcPr>
            <w:tcW w:w="0" w:type="auto"/>
          </w:tcPr>
          <w:p w14:paraId="34DD9D1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HR 0.30 </w:t>
            </w:r>
          </w:p>
        </w:tc>
        <w:tc>
          <w:tcPr>
            <w:tcW w:w="0" w:type="auto"/>
          </w:tcPr>
          <w:p w14:paraId="34DD9D1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Robust </w:t>
            </w:r>
          </w:p>
        </w:tc>
      </w:tr>
    </w:tbl>
    <w:p w14:paraId="34DD9D1A" w14:textId="77777777" w:rsidR="00872A7E" w:rsidRDefault="00037403">
      <w:pPr>
        <w:spacing w:before="96" w:after="96"/>
        <w:ind w:firstLine="0"/>
        <w:rPr>
          <w:rFonts w:asciiTheme="majorBidi" w:hAnsiTheme="majorBidi" w:cstheme="majorBidi"/>
          <w:sz w:val="20"/>
          <w:szCs w:val="20"/>
        </w:rPr>
      </w:pPr>
      <w:r>
        <w:rPr>
          <w:rFonts w:asciiTheme="majorBidi" w:hAnsiTheme="majorBidi" w:cstheme="majorBidi"/>
          <w:sz w:val="20"/>
          <w:szCs w:val="20"/>
        </w:rPr>
        <w:t>HR, Hazard Ratio; MSI-H, Microsatellite Instability-High; OS, Overall Survival; PFS, Progression-Free Survival.</w:t>
      </w:r>
    </w:p>
    <w:p w14:paraId="34DD9D1B" w14:textId="77777777" w:rsidR="00872A7E" w:rsidRDefault="00872A7E">
      <w:pPr>
        <w:spacing w:before="96" w:after="96"/>
        <w:ind w:firstLine="0"/>
        <w:rPr>
          <w:rFonts w:asciiTheme="majorBidi" w:hAnsiTheme="majorBidi" w:cstheme="majorBidi"/>
          <w:sz w:val="20"/>
          <w:szCs w:val="20"/>
        </w:rPr>
      </w:pPr>
    </w:p>
    <w:p w14:paraId="34DD9D1C" w14:textId="77777777" w:rsidR="00872A7E" w:rsidRDefault="00037403">
      <w:pPr>
        <w:spacing w:before="96" w:after="96"/>
        <w:ind w:firstLine="0"/>
        <w:rPr>
          <w:rFonts w:asciiTheme="majorBidi" w:hAnsiTheme="majorBidi" w:cstheme="majorBidi"/>
          <w:b/>
          <w:bCs/>
          <w:sz w:val="20"/>
          <w:szCs w:val="20"/>
        </w:rPr>
      </w:pPr>
      <w:r>
        <w:rPr>
          <w:rFonts w:asciiTheme="majorBidi" w:hAnsiTheme="majorBidi" w:cstheme="majorBidi"/>
          <w:b/>
          <w:bCs/>
          <w:sz w:val="20"/>
          <w:szCs w:val="20"/>
        </w:rPr>
        <w:t>Supplementary Table S11. Sensitivity Analysis Restricted to Tumor-Agnostic Indications</w:t>
      </w:r>
    </w:p>
    <w:p w14:paraId="34DD9D1D" w14:textId="77777777" w:rsidR="00872A7E" w:rsidRDefault="00872A7E">
      <w:pPr>
        <w:spacing w:before="96" w:after="96"/>
        <w:rPr>
          <w:rFonts w:asciiTheme="majorBidi" w:hAnsiTheme="majorBidi" w:cstheme="majorBidi"/>
          <w:sz w:val="20"/>
          <w:szCs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408"/>
        <w:gridCol w:w="2870"/>
        <w:gridCol w:w="2981"/>
      </w:tblGrid>
      <w:tr w:rsidR="00872A7E" w14:paraId="34DD9D22" w14:textId="77777777">
        <w:tc>
          <w:tcPr>
            <w:tcW w:w="0" w:type="auto"/>
            <w:tcBorders>
              <w:top w:val="single" w:sz="4" w:space="0" w:color="auto"/>
              <w:bottom w:val="single" w:sz="4" w:space="0" w:color="auto"/>
            </w:tcBorders>
          </w:tcPr>
          <w:p w14:paraId="34DD9D1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Metric </w:t>
            </w:r>
          </w:p>
        </w:tc>
        <w:tc>
          <w:tcPr>
            <w:tcW w:w="0" w:type="auto"/>
            <w:tcBorders>
              <w:top w:val="single" w:sz="4" w:space="0" w:color="auto"/>
              <w:bottom w:val="single" w:sz="4" w:space="0" w:color="auto"/>
            </w:tcBorders>
          </w:tcPr>
          <w:p w14:paraId="34DD9D1F" w14:textId="77777777" w:rsidR="00872A7E" w:rsidRDefault="00037403">
            <w:pPr>
              <w:spacing w:before="96" w:after="96"/>
              <w:ind w:firstLine="0"/>
              <w:jc w:val="center"/>
              <w:rPr>
                <w:rFonts w:asciiTheme="majorBidi" w:hAnsiTheme="majorBidi" w:cstheme="majorBidi"/>
                <w:sz w:val="16"/>
                <w:szCs w:val="16"/>
              </w:rPr>
            </w:pPr>
            <w:r>
              <w:rPr>
                <w:rFonts w:asciiTheme="majorBidi" w:hAnsiTheme="majorBidi" w:cstheme="majorBidi"/>
                <w:b/>
                <w:sz w:val="16"/>
                <w:szCs w:val="16"/>
              </w:rPr>
              <w:t xml:space="preserve">Primary Analysis (All Included) </w:t>
            </w:r>
          </w:p>
        </w:tc>
        <w:tc>
          <w:tcPr>
            <w:tcW w:w="0" w:type="auto"/>
            <w:tcBorders>
              <w:top w:val="single" w:sz="4" w:space="0" w:color="auto"/>
              <w:bottom w:val="single" w:sz="4" w:space="0" w:color="auto"/>
            </w:tcBorders>
          </w:tcPr>
          <w:p w14:paraId="34DD9D2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Restricted Sensitivity (Agnostic Only</w:t>
            </w:r>
            <w:r>
              <w:rPr>
                <w:rFonts w:asciiTheme="majorBidi" w:hAnsiTheme="majorBidi" w:cstheme="majorBidi"/>
                <w:b/>
                <w:sz w:val="16"/>
                <w:szCs w:val="16"/>
                <w:cs/>
              </w:rPr>
              <w:t>‎</w:t>
            </w:r>
            <w:r>
              <w:rPr>
                <w:rFonts w:asciiTheme="majorBidi" w:hAnsiTheme="majorBidi" w:cstheme="majorBidi"/>
                <w:b/>
                <w:sz w:val="16"/>
                <w:szCs w:val="16"/>
              </w:rPr>
              <w:t>‡</w:t>
            </w:r>
            <w:r>
              <w:rPr>
                <w:rFonts w:asciiTheme="majorBidi" w:hAnsiTheme="majorBidi" w:cstheme="majorBidi"/>
                <w:b/>
                <w:sz w:val="16"/>
                <w:szCs w:val="16"/>
                <w:cs/>
              </w:rPr>
              <w:t>‎</w:t>
            </w:r>
            <w:r>
              <w:rPr>
                <w:rFonts w:asciiTheme="majorBidi" w:hAnsiTheme="majorBidi" w:cstheme="majorBidi"/>
                <w:b/>
                <w:sz w:val="16"/>
                <w:szCs w:val="16"/>
              </w:rPr>
              <w:t xml:space="preserve">) </w:t>
            </w:r>
          </w:p>
        </w:tc>
        <w:tc>
          <w:tcPr>
            <w:tcW w:w="0" w:type="auto"/>
            <w:tcBorders>
              <w:top w:val="single" w:sz="4" w:space="0" w:color="auto"/>
              <w:bottom w:val="single" w:sz="4" w:space="0" w:color="auto"/>
            </w:tcBorders>
          </w:tcPr>
          <w:p w14:paraId="34DD9D21"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Interpretation </w:t>
            </w:r>
          </w:p>
        </w:tc>
      </w:tr>
      <w:tr w:rsidR="00872A7E" w14:paraId="34DD9D27" w14:textId="77777777">
        <w:tc>
          <w:tcPr>
            <w:tcW w:w="0" w:type="auto"/>
            <w:tcBorders>
              <w:top w:val="single" w:sz="4" w:space="0" w:color="auto"/>
            </w:tcBorders>
          </w:tcPr>
          <w:p w14:paraId="34DD9D2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Included Studies (k) </w:t>
            </w:r>
          </w:p>
        </w:tc>
        <w:tc>
          <w:tcPr>
            <w:tcW w:w="0" w:type="auto"/>
            <w:tcBorders>
              <w:top w:val="single" w:sz="4" w:space="0" w:color="auto"/>
            </w:tcBorders>
          </w:tcPr>
          <w:p w14:paraId="34DD9D2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38 </w:t>
            </w:r>
          </w:p>
        </w:tc>
        <w:tc>
          <w:tcPr>
            <w:tcW w:w="0" w:type="auto"/>
            <w:tcBorders>
              <w:top w:val="single" w:sz="4" w:space="0" w:color="auto"/>
            </w:tcBorders>
          </w:tcPr>
          <w:p w14:paraId="34DD9D2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14 </w:t>
            </w:r>
          </w:p>
        </w:tc>
        <w:tc>
          <w:tcPr>
            <w:tcW w:w="0" w:type="auto"/>
            <w:tcBorders>
              <w:top w:val="single" w:sz="4" w:space="0" w:color="auto"/>
            </w:tcBorders>
          </w:tcPr>
          <w:p w14:paraId="34DD9D26"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Excludes HER2/BRAF histology-anchored </w:t>
            </w:r>
          </w:p>
        </w:tc>
      </w:tr>
      <w:tr w:rsidR="00872A7E" w14:paraId="34DD9D2C" w14:textId="77777777">
        <w:tc>
          <w:tcPr>
            <w:tcW w:w="0" w:type="auto"/>
          </w:tcPr>
          <w:p w14:paraId="34DD9D2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Pooled ORR</w:t>
            </w:r>
            <w:r>
              <w:rPr>
                <w:rFonts w:asciiTheme="majorBidi" w:hAnsiTheme="majorBidi" w:cstheme="majorBidi" w:hint="eastAsia"/>
                <w:b/>
                <w:sz w:val="16"/>
                <w:szCs w:val="16"/>
                <w:lang w:eastAsia="zh-CN"/>
              </w:rPr>
              <w:t xml:space="preserve">, </w:t>
            </w:r>
            <w:r>
              <w:rPr>
                <w:rFonts w:asciiTheme="majorBidi" w:hAnsiTheme="majorBidi" w:cstheme="majorBidi"/>
                <w:b/>
                <w:sz w:val="16"/>
                <w:szCs w:val="16"/>
              </w:rPr>
              <w:t>RR</w:t>
            </w:r>
            <w:r>
              <w:rPr>
                <w:rFonts w:asciiTheme="majorBidi" w:hAnsiTheme="majorBidi" w:cstheme="majorBidi" w:hint="eastAsia"/>
                <w:b/>
                <w:sz w:val="16"/>
                <w:szCs w:val="16"/>
                <w:lang w:eastAsia="zh-CN"/>
              </w:rPr>
              <w:t xml:space="preserve"> (CI)</w:t>
            </w:r>
            <w:r>
              <w:rPr>
                <w:rFonts w:asciiTheme="majorBidi" w:hAnsiTheme="majorBidi" w:cstheme="majorBidi"/>
                <w:b/>
                <w:sz w:val="16"/>
                <w:szCs w:val="16"/>
              </w:rPr>
              <w:t xml:space="preserve"> </w:t>
            </w:r>
          </w:p>
        </w:tc>
        <w:tc>
          <w:tcPr>
            <w:tcW w:w="0" w:type="auto"/>
          </w:tcPr>
          <w:p w14:paraId="34DD9D2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2.15 (1.85-2.50) </w:t>
            </w:r>
          </w:p>
        </w:tc>
        <w:tc>
          <w:tcPr>
            <w:tcW w:w="0" w:type="auto"/>
          </w:tcPr>
          <w:p w14:paraId="34DD9D2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1.88 (1.45-2.42) </w:t>
            </w:r>
          </w:p>
        </w:tc>
        <w:tc>
          <w:tcPr>
            <w:tcW w:w="0" w:type="auto"/>
          </w:tcPr>
          <w:p w14:paraId="34DD9D2B"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Robust, slightly lower </w:t>
            </w:r>
          </w:p>
        </w:tc>
      </w:tr>
      <w:tr w:rsidR="00872A7E" w14:paraId="34DD9D31" w14:textId="77777777">
        <w:tc>
          <w:tcPr>
            <w:tcW w:w="0" w:type="auto"/>
          </w:tcPr>
          <w:p w14:paraId="34DD9D2D"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Pooled PFS</w:t>
            </w:r>
            <w:r>
              <w:rPr>
                <w:rFonts w:asciiTheme="majorBidi" w:hAnsiTheme="majorBidi" w:cstheme="majorBidi" w:hint="eastAsia"/>
                <w:b/>
                <w:sz w:val="16"/>
                <w:szCs w:val="16"/>
                <w:lang w:eastAsia="zh-CN"/>
              </w:rPr>
              <w:t xml:space="preserve">, </w:t>
            </w:r>
            <w:r>
              <w:rPr>
                <w:rFonts w:asciiTheme="majorBidi" w:hAnsiTheme="majorBidi" w:cstheme="majorBidi"/>
                <w:b/>
                <w:sz w:val="16"/>
                <w:szCs w:val="16"/>
              </w:rPr>
              <w:t>HR</w:t>
            </w:r>
            <w:r>
              <w:rPr>
                <w:rFonts w:asciiTheme="majorBidi" w:hAnsiTheme="majorBidi" w:cstheme="majorBidi" w:hint="eastAsia"/>
                <w:b/>
                <w:sz w:val="16"/>
                <w:szCs w:val="16"/>
                <w:lang w:eastAsia="zh-CN"/>
              </w:rPr>
              <w:t xml:space="preserve"> (CI</w:t>
            </w:r>
            <w:r>
              <w:rPr>
                <w:rFonts w:asciiTheme="majorBidi" w:hAnsiTheme="majorBidi" w:cstheme="majorBidi"/>
                <w:b/>
                <w:sz w:val="16"/>
                <w:szCs w:val="16"/>
              </w:rPr>
              <w:t xml:space="preserve">) </w:t>
            </w:r>
          </w:p>
        </w:tc>
        <w:tc>
          <w:tcPr>
            <w:tcW w:w="0" w:type="auto"/>
          </w:tcPr>
          <w:p w14:paraId="34DD9D2E"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0.54 (0.48-0.61) </w:t>
            </w:r>
          </w:p>
        </w:tc>
        <w:tc>
          <w:tcPr>
            <w:tcW w:w="0" w:type="auto"/>
          </w:tcPr>
          <w:p w14:paraId="34DD9D2F"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0.51 (0.40-0.65) </w:t>
            </w:r>
          </w:p>
        </w:tc>
        <w:tc>
          <w:tcPr>
            <w:tcW w:w="0" w:type="auto"/>
          </w:tcPr>
          <w:p w14:paraId="34DD9D30"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Consistent / Stronger </w:t>
            </w:r>
          </w:p>
        </w:tc>
      </w:tr>
      <w:tr w:rsidR="00872A7E" w14:paraId="34DD9D36" w14:textId="77777777">
        <w:tc>
          <w:tcPr>
            <w:tcW w:w="0" w:type="auto"/>
          </w:tcPr>
          <w:p w14:paraId="34DD9D32"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Pooled OS</w:t>
            </w:r>
            <w:r>
              <w:rPr>
                <w:rFonts w:asciiTheme="majorBidi" w:hAnsiTheme="majorBidi" w:cstheme="majorBidi" w:hint="eastAsia"/>
                <w:b/>
                <w:sz w:val="16"/>
                <w:szCs w:val="16"/>
                <w:lang w:eastAsia="zh-CN"/>
              </w:rPr>
              <w:t>,</w:t>
            </w:r>
            <w:r>
              <w:rPr>
                <w:rFonts w:asciiTheme="majorBidi" w:hAnsiTheme="majorBidi" w:cstheme="majorBidi"/>
                <w:b/>
                <w:sz w:val="16"/>
                <w:szCs w:val="16"/>
              </w:rPr>
              <w:t xml:space="preserve"> HR</w:t>
            </w:r>
            <w:r>
              <w:rPr>
                <w:rFonts w:asciiTheme="majorBidi" w:hAnsiTheme="majorBidi" w:cstheme="majorBidi" w:hint="eastAsia"/>
                <w:b/>
                <w:sz w:val="16"/>
                <w:szCs w:val="16"/>
                <w:lang w:eastAsia="zh-CN"/>
              </w:rPr>
              <w:t xml:space="preserve"> </w:t>
            </w:r>
            <w:r>
              <w:rPr>
                <w:rFonts w:asciiTheme="majorBidi" w:hAnsiTheme="majorBidi" w:cstheme="majorBidi"/>
                <w:b/>
                <w:sz w:val="16"/>
                <w:szCs w:val="16"/>
              </w:rPr>
              <w:t>(</w:t>
            </w:r>
            <w:r>
              <w:rPr>
                <w:rFonts w:asciiTheme="majorBidi" w:hAnsiTheme="majorBidi" w:cstheme="majorBidi" w:hint="eastAsia"/>
                <w:b/>
                <w:sz w:val="16"/>
                <w:szCs w:val="16"/>
                <w:lang w:eastAsia="zh-CN"/>
              </w:rPr>
              <w:t>CI</w:t>
            </w:r>
            <w:r>
              <w:rPr>
                <w:rFonts w:asciiTheme="majorBidi" w:hAnsiTheme="majorBidi" w:cstheme="majorBidi"/>
                <w:b/>
                <w:sz w:val="16"/>
                <w:szCs w:val="16"/>
              </w:rPr>
              <w:t xml:space="preserve">) </w:t>
            </w:r>
          </w:p>
        </w:tc>
        <w:tc>
          <w:tcPr>
            <w:tcW w:w="0" w:type="auto"/>
          </w:tcPr>
          <w:p w14:paraId="34DD9D33"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0.62 (0.55-0.70) </w:t>
            </w:r>
          </w:p>
        </w:tc>
        <w:tc>
          <w:tcPr>
            <w:tcW w:w="0" w:type="auto"/>
          </w:tcPr>
          <w:p w14:paraId="34DD9D34"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0.65 (0.52-0.80) </w:t>
            </w:r>
          </w:p>
        </w:tc>
        <w:tc>
          <w:tcPr>
            <w:tcW w:w="0" w:type="auto"/>
          </w:tcPr>
          <w:p w14:paraId="34DD9D35"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Consistent </w:t>
            </w:r>
          </w:p>
        </w:tc>
      </w:tr>
      <w:tr w:rsidR="00872A7E" w14:paraId="34DD9D3B" w14:textId="77777777">
        <w:tc>
          <w:tcPr>
            <w:tcW w:w="0" w:type="auto"/>
          </w:tcPr>
          <w:p w14:paraId="34DD9D37"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b/>
                <w:sz w:val="16"/>
                <w:szCs w:val="16"/>
              </w:rPr>
              <w:t xml:space="preserve">Heterogeneity (I²) </w:t>
            </w:r>
          </w:p>
        </w:tc>
        <w:tc>
          <w:tcPr>
            <w:tcW w:w="0" w:type="auto"/>
          </w:tcPr>
          <w:p w14:paraId="34DD9D38"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68% </w:t>
            </w:r>
          </w:p>
        </w:tc>
        <w:tc>
          <w:tcPr>
            <w:tcW w:w="0" w:type="auto"/>
          </w:tcPr>
          <w:p w14:paraId="34DD9D39"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45% </w:t>
            </w:r>
          </w:p>
        </w:tc>
        <w:tc>
          <w:tcPr>
            <w:tcW w:w="0" w:type="auto"/>
          </w:tcPr>
          <w:p w14:paraId="34DD9D3A" w14:textId="77777777" w:rsidR="00872A7E" w:rsidRDefault="00037403">
            <w:pPr>
              <w:spacing w:before="96" w:after="96"/>
              <w:ind w:firstLine="0"/>
              <w:rPr>
                <w:rFonts w:asciiTheme="majorBidi" w:hAnsiTheme="majorBidi" w:cstheme="majorBidi"/>
                <w:sz w:val="16"/>
                <w:szCs w:val="16"/>
              </w:rPr>
            </w:pPr>
            <w:r>
              <w:rPr>
                <w:rFonts w:asciiTheme="majorBidi" w:hAnsiTheme="majorBidi" w:cstheme="majorBidi"/>
                <w:sz w:val="16"/>
                <w:szCs w:val="16"/>
              </w:rPr>
              <w:t xml:space="preserve">Improved in an agnostic set </w:t>
            </w:r>
          </w:p>
        </w:tc>
      </w:tr>
    </w:tbl>
    <w:p w14:paraId="34DD9D3C" w14:textId="77777777" w:rsidR="00872A7E" w:rsidRDefault="00037403">
      <w:pPr>
        <w:spacing w:before="96" w:after="96"/>
        <w:ind w:firstLine="0"/>
        <w:rPr>
          <w:rFonts w:asciiTheme="majorBidi" w:hAnsiTheme="majorBidi" w:cstheme="majorBidi"/>
          <w:sz w:val="20"/>
          <w:szCs w:val="20"/>
          <w:rtl/>
        </w:rPr>
      </w:pPr>
      <w:r>
        <w:rPr>
          <w:rFonts w:asciiTheme="majorBidi" w:hAnsiTheme="majorBidi" w:cstheme="majorBidi"/>
          <w:sz w:val="20"/>
          <w:szCs w:val="20"/>
        </w:rPr>
        <w:t xml:space="preserve">HR, Hazard Ratio; ORR, Objective Response Rate; OS, Overall Survival; PFS, Progression-Free Survival; RR, Risk Ratio. </w:t>
      </w:r>
      <w:r>
        <w:rPr>
          <w:rFonts w:asciiTheme="majorBidi" w:hAnsiTheme="majorBidi" w:cstheme="majorBidi"/>
          <w:sz w:val="20"/>
          <w:szCs w:val="20"/>
          <w:cs/>
        </w:rPr>
        <w:t>‎</w:t>
      </w:r>
      <w:r>
        <w:rPr>
          <w:rFonts w:asciiTheme="majorBidi" w:hAnsiTheme="majorBidi" w:cstheme="majorBidi"/>
          <w:sz w:val="20"/>
          <w:szCs w:val="20"/>
        </w:rPr>
        <w:t>‡ Includes MSI-H, TMB-High, NTRK. Excludes HER2, BRAF.</w:t>
      </w:r>
    </w:p>
    <w:p w14:paraId="34DD9D3D" w14:textId="77777777" w:rsidR="00872A7E" w:rsidRDefault="00872A7E">
      <w:pPr>
        <w:spacing w:before="96" w:after="96"/>
        <w:rPr>
          <w:rFonts w:asciiTheme="majorBidi" w:hAnsiTheme="majorBidi" w:cstheme="majorBidi"/>
          <w:sz w:val="20"/>
          <w:szCs w:val="20"/>
        </w:rPr>
      </w:pPr>
    </w:p>
    <w:sectPr w:rsidR="00872A7E">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5615" w14:textId="77777777" w:rsidR="00037403" w:rsidRDefault="00037403">
      <w:pPr>
        <w:spacing w:before="96" w:after="96"/>
      </w:pPr>
      <w:r>
        <w:separator/>
      </w:r>
    </w:p>
  </w:endnote>
  <w:endnote w:type="continuationSeparator" w:id="0">
    <w:p w14:paraId="10D26C71" w14:textId="77777777" w:rsidR="00037403" w:rsidRDefault="00037403">
      <w:pPr>
        <w:spacing w:before="96" w:after="9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nion Pro">
    <w:altName w:val="Times New Roman"/>
    <w:panose1 w:val="00000000000000000000"/>
    <w:charset w:val="00"/>
    <w:family w:val="roman"/>
    <w:notTrueType/>
    <w:pitch w:val="variable"/>
    <w:sig w:usb0="E00002AF" w:usb1="5000E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D46" w14:textId="77777777" w:rsidR="00872A7E" w:rsidRDefault="00872A7E">
    <w:pPr>
      <w:pStyle w:val="Footer"/>
      <w:spacing w:before="96" w:after="9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D47" w14:textId="77777777" w:rsidR="00872A7E" w:rsidRDefault="00872A7E">
    <w:pPr>
      <w:pStyle w:val="Footer"/>
      <w:spacing w:before="96" w:after="9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D49" w14:textId="77777777" w:rsidR="00872A7E" w:rsidRDefault="00872A7E">
    <w:pPr>
      <w:pStyle w:val="Footer"/>
      <w:spacing w:before="96" w:after="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B9CA5" w14:textId="77777777" w:rsidR="00037403" w:rsidRDefault="00037403">
      <w:pPr>
        <w:spacing w:before="96" w:after="96"/>
      </w:pPr>
      <w:r>
        <w:separator/>
      </w:r>
    </w:p>
  </w:footnote>
  <w:footnote w:type="continuationSeparator" w:id="0">
    <w:p w14:paraId="49739BBD" w14:textId="77777777" w:rsidR="00037403" w:rsidRDefault="00037403">
      <w:pPr>
        <w:spacing w:before="96" w:after="9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D44" w14:textId="77777777" w:rsidR="00872A7E" w:rsidRDefault="00872A7E">
    <w:pPr>
      <w:pStyle w:val="Header"/>
      <w:spacing w:before="96" w:after="9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D45" w14:textId="77777777" w:rsidR="00872A7E" w:rsidRDefault="00872A7E">
    <w:pPr>
      <w:pStyle w:val="Header"/>
      <w:spacing w:before="96" w:after="9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D48" w14:textId="77777777" w:rsidR="00872A7E" w:rsidRDefault="00872A7E">
    <w:pPr>
      <w:pStyle w:val="Header"/>
      <w:spacing w:before="96" w:after="9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40D9"/>
    <w:multiLevelType w:val="multilevel"/>
    <w:tmpl w:val="07B440D9"/>
    <w:lvl w:ilvl="0">
      <w:start w:val="6"/>
      <w:numFmt w:val="bullet"/>
      <w:lvlText w:val="-"/>
      <w:lvlJc w:val="left"/>
      <w:pPr>
        <w:ind w:left="1080" w:hanging="360"/>
      </w:pPr>
      <w:rPr>
        <w:rFonts w:ascii="Times New Roman" w:eastAsiaTheme="minorHAnsi" w:hAnsi="Times New Roman" w:cs="Times New Roman"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837501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3CA"/>
    <w:rsid w:val="0001401E"/>
    <w:rsid w:val="00017046"/>
    <w:rsid w:val="00021D24"/>
    <w:rsid w:val="000231CC"/>
    <w:rsid w:val="00025C5F"/>
    <w:rsid w:val="000304E9"/>
    <w:rsid w:val="00037403"/>
    <w:rsid w:val="00045173"/>
    <w:rsid w:val="000500C0"/>
    <w:rsid w:val="00056417"/>
    <w:rsid w:val="00060FBF"/>
    <w:rsid w:val="000611BF"/>
    <w:rsid w:val="000776F0"/>
    <w:rsid w:val="00087E82"/>
    <w:rsid w:val="00096F31"/>
    <w:rsid w:val="000A7402"/>
    <w:rsid w:val="000A76BE"/>
    <w:rsid w:val="000B249A"/>
    <w:rsid w:val="000B2FD5"/>
    <w:rsid w:val="000C2802"/>
    <w:rsid w:val="000E0B21"/>
    <w:rsid w:val="000E285D"/>
    <w:rsid w:val="000E32B0"/>
    <w:rsid w:val="000E33B1"/>
    <w:rsid w:val="000E583C"/>
    <w:rsid w:val="000F3F4D"/>
    <w:rsid w:val="000F4FCB"/>
    <w:rsid w:val="00110A80"/>
    <w:rsid w:val="001145E6"/>
    <w:rsid w:val="00120E2B"/>
    <w:rsid w:val="00125B44"/>
    <w:rsid w:val="0016007E"/>
    <w:rsid w:val="001614EF"/>
    <w:rsid w:val="0016553D"/>
    <w:rsid w:val="001672B3"/>
    <w:rsid w:val="00170CF8"/>
    <w:rsid w:val="001807E3"/>
    <w:rsid w:val="0019286C"/>
    <w:rsid w:val="00192C3C"/>
    <w:rsid w:val="00197EAB"/>
    <w:rsid w:val="001A0BFE"/>
    <w:rsid w:val="001B1095"/>
    <w:rsid w:val="001B4C74"/>
    <w:rsid w:val="001C36CC"/>
    <w:rsid w:val="001D1A2D"/>
    <w:rsid w:val="001D3346"/>
    <w:rsid w:val="001E28E4"/>
    <w:rsid w:val="001F0952"/>
    <w:rsid w:val="001F15D7"/>
    <w:rsid w:val="001F6E82"/>
    <w:rsid w:val="00201C22"/>
    <w:rsid w:val="0021212F"/>
    <w:rsid w:val="00220056"/>
    <w:rsid w:val="00236209"/>
    <w:rsid w:val="00240EC6"/>
    <w:rsid w:val="00241C69"/>
    <w:rsid w:val="002439C1"/>
    <w:rsid w:val="0024585C"/>
    <w:rsid w:val="00245D71"/>
    <w:rsid w:val="00246C33"/>
    <w:rsid w:val="0024745E"/>
    <w:rsid w:val="00247CC1"/>
    <w:rsid w:val="00250D61"/>
    <w:rsid w:val="002946FA"/>
    <w:rsid w:val="002978C4"/>
    <w:rsid w:val="002B0C98"/>
    <w:rsid w:val="002B747A"/>
    <w:rsid w:val="002D4B76"/>
    <w:rsid w:val="002D7625"/>
    <w:rsid w:val="002E455E"/>
    <w:rsid w:val="002F3A17"/>
    <w:rsid w:val="002F5052"/>
    <w:rsid w:val="002F599B"/>
    <w:rsid w:val="00307742"/>
    <w:rsid w:val="00313E4E"/>
    <w:rsid w:val="0033344F"/>
    <w:rsid w:val="0034056C"/>
    <w:rsid w:val="00342DDF"/>
    <w:rsid w:val="003444CE"/>
    <w:rsid w:val="00354DEB"/>
    <w:rsid w:val="00370A5C"/>
    <w:rsid w:val="0039401B"/>
    <w:rsid w:val="003B497B"/>
    <w:rsid w:val="003C11E6"/>
    <w:rsid w:val="003C7541"/>
    <w:rsid w:val="003C7FCE"/>
    <w:rsid w:val="003D33CA"/>
    <w:rsid w:val="003E1D7F"/>
    <w:rsid w:val="003F2592"/>
    <w:rsid w:val="003F2639"/>
    <w:rsid w:val="00401603"/>
    <w:rsid w:val="004163CF"/>
    <w:rsid w:val="00432E30"/>
    <w:rsid w:val="004341F5"/>
    <w:rsid w:val="00441AFE"/>
    <w:rsid w:val="00450D78"/>
    <w:rsid w:val="004524B3"/>
    <w:rsid w:val="0045610E"/>
    <w:rsid w:val="00470C0F"/>
    <w:rsid w:val="00471B77"/>
    <w:rsid w:val="0047347F"/>
    <w:rsid w:val="004748F0"/>
    <w:rsid w:val="004B3F0D"/>
    <w:rsid w:val="004C3FA9"/>
    <w:rsid w:val="004D7E2F"/>
    <w:rsid w:val="004E525C"/>
    <w:rsid w:val="004F200B"/>
    <w:rsid w:val="00510560"/>
    <w:rsid w:val="00513CF7"/>
    <w:rsid w:val="00516B9C"/>
    <w:rsid w:val="0052232B"/>
    <w:rsid w:val="005231BD"/>
    <w:rsid w:val="00535595"/>
    <w:rsid w:val="00537997"/>
    <w:rsid w:val="00544EE8"/>
    <w:rsid w:val="00566346"/>
    <w:rsid w:val="00574353"/>
    <w:rsid w:val="00576FD2"/>
    <w:rsid w:val="00584CC1"/>
    <w:rsid w:val="0058739E"/>
    <w:rsid w:val="005941BF"/>
    <w:rsid w:val="005A1E97"/>
    <w:rsid w:val="005A37A2"/>
    <w:rsid w:val="005A6798"/>
    <w:rsid w:val="005B61D0"/>
    <w:rsid w:val="005B7550"/>
    <w:rsid w:val="005C4802"/>
    <w:rsid w:val="005D29C0"/>
    <w:rsid w:val="005D4B46"/>
    <w:rsid w:val="005E17FD"/>
    <w:rsid w:val="005E5303"/>
    <w:rsid w:val="005F62BE"/>
    <w:rsid w:val="00601AD3"/>
    <w:rsid w:val="006021E9"/>
    <w:rsid w:val="00611698"/>
    <w:rsid w:val="00633E5C"/>
    <w:rsid w:val="00645AC9"/>
    <w:rsid w:val="0067045D"/>
    <w:rsid w:val="00690F75"/>
    <w:rsid w:val="00691914"/>
    <w:rsid w:val="006B5A21"/>
    <w:rsid w:val="006C1D4A"/>
    <w:rsid w:val="006C72DB"/>
    <w:rsid w:val="006D0463"/>
    <w:rsid w:val="006D18E4"/>
    <w:rsid w:val="006D2B37"/>
    <w:rsid w:val="006D4D08"/>
    <w:rsid w:val="006D55D7"/>
    <w:rsid w:val="006E2310"/>
    <w:rsid w:val="006E2FBF"/>
    <w:rsid w:val="006F14D2"/>
    <w:rsid w:val="006F527C"/>
    <w:rsid w:val="00706263"/>
    <w:rsid w:val="00710E5E"/>
    <w:rsid w:val="00736F4B"/>
    <w:rsid w:val="00743117"/>
    <w:rsid w:val="00757EB2"/>
    <w:rsid w:val="007659F2"/>
    <w:rsid w:val="0076639C"/>
    <w:rsid w:val="00770488"/>
    <w:rsid w:val="0077731B"/>
    <w:rsid w:val="00781563"/>
    <w:rsid w:val="007913C7"/>
    <w:rsid w:val="00795EEB"/>
    <w:rsid w:val="00797DB8"/>
    <w:rsid w:val="007A04E8"/>
    <w:rsid w:val="007A5286"/>
    <w:rsid w:val="007A7FD7"/>
    <w:rsid w:val="007B1BD5"/>
    <w:rsid w:val="007C7FCC"/>
    <w:rsid w:val="007D2DE1"/>
    <w:rsid w:val="007D2F0E"/>
    <w:rsid w:val="007D32AC"/>
    <w:rsid w:val="007E10F6"/>
    <w:rsid w:val="007F0589"/>
    <w:rsid w:val="00800595"/>
    <w:rsid w:val="008015D3"/>
    <w:rsid w:val="00804121"/>
    <w:rsid w:val="008060C6"/>
    <w:rsid w:val="00812096"/>
    <w:rsid w:val="00822F88"/>
    <w:rsid w:val="00837A0F"/>
    <w:rsid w:val="00844AE8"/>
    <w:rsid w:val="00852EEF"/>
    <w:rsid w:val="00872A7E"/>
    <w:rsid w:val="00884B37"/>
    <w:rsid w:val="00885DF9"/>
    <w:rsid w:val="00890C4B"/>
    <w:rsid w:val="008A3E8F"/>
    <w:rsid w:val="008B1514"/>
    <w:rsid w:val="008C141F"/>
    <w:rsid w:val="008E38EB"/>
    <w:rsid w:val="008E5A27"/>
    <w:rsid w:val="008E6D86"/>
    <w:rsid w:val="008F3D72"/>
    <w:rsid w:val="008F600D"/>
    <w:rsid w:val="009051E3"/>
    <w:rsid w:val="009065E5"/>
    <w:rsid w:val="009132EA"/>
    <w:rsid w:val="00913F5E"/>
    <w:rsid w:val="009178CB"/>
    <w:rsid w:val="00921FBD"/>
    <w:rsid w:val="009230A0"/>
    <w:rsid w:val="00923686"/>
    <w:rsid w:val="009476BD"/>
    <w:rsid w:val="009565CB"/>
    <w:rsid w:val="0096056A"/>
    <w:rsid w:val="00963AE4"/>
    <w:rsid w:val="00972750"/>
    <w:rsid w:val="00985E1A"/>
    <w:rsid w:val="00986F76"/>
    <w:rsid w:val="00996168"/>
    <w:rsid w:val="009A18FF"/>
    <w:rsid w:val="009A289C"/>
    <w:rsid w:val="009B3C19"/>
    <w:rsid w:val="009C1BC9"/>
    <w:rsid w:val="009D0CC8"/>
    <w:rsid w:val="009D0D31"/>
    <w:rsid w:val="009D60D4"/>
    <w:rsid w:val="009D7637"/>
    <w:rsid w:val="009F3A90"/>
    <w:rsid w:val="009F51A6"/>
    <w:rsid w:val="00A024B6"/>
    <w:rsid w:val="00A0615F"/>
    <w:rsid w:val="00A064B9"/>
    <w:rsid w:val="00A11CBE"/>
    <w:rsid w:val="00A1519E"/>
    <w:rsid w:val="00A200A1"/>
    <w:rsid w:val="00A21082"/>
    <w:rsid w:val="00A30721"/>
    <w:rsid w:val="00A4128A"/>
    <w:rsid w:val="00A47068"/>
    <w:rsid w:val="00A60645"/>
    <w:rsid w:val="00A648E4"/>
    <w:rsid w:val="00A659C7"/>
    <w:rsid w:val="00A74036"/>
    <w:rsid w:val="00A7549C"/>
    <w:rsid w:val="00A97063"/>
    <w:rsid w:val="00AA16BD"/>
    <w:rsid w:val="00AA2268"/>
    <w:rsid w:val="00AB0B29"/>
    <w:rsid w:val="00AC2295"/>
    <w:rsid w:val="00AD0B94"/>
    <w:rsid w:val="00AD1B8B"/>
    <w:rsid w:val="00AD20EC"/>
    <w:rsid w:val="00AE280C"/>
    <w:rsid w:val="00AF3CA6"/>
    <w:rsid w:val="00AF5295"/>
    <w:rsid w:val="00B10EA1"/>
    <w:rsid w:val="00B2143F"/>
    <w:rsid w:val="00B225CF"/>
    <w:rsid w:val="00B305A6"/>
    <w:rsid w:val="00B3114F"/>
    <w:rsid w:val="00B33EDF"/>
    <w:rsid w:val="00B428DA"/>
    <w:rsid w:val="00B47924"/>
    <w:rsid w:val="00B51BC5"/>
    <w:rsid w:val="00B563C1"/>
    <w:rsid w:val="00B73F0E"/>
    <w:rsid w:val="00B83963"/>
    <w:rsid w:val="00B91148"/>
    <w:rsid w:val="00B916F2"/>
    <w:rsid w:val="00B94A22"/>
    <w:rsid w:val="00BB5680"/>
    <w:rsid w:val="00BC6D71"/>
    <w:rsid w:val="00BD0363"/>
    <w:rsid w:val="00BD0448"/>
    <w:rsid w:val="00BF5E71"/>
    <w:rsid w:val="00C16141"/>
    <w:rsid w:val="00C2437B"/>
    <w:rsid w:val="00C300AA"/>
    <w:rsid w:val="00C34FA4"/>
    <w:rsid w:val="00C47D2B"/>
    <w:rsid w:val="00C9707B"/>
    <w:rsid w:val="00CA173E"/>
    <w:rsid w:val="00CC1E2E"/>
    <w:rsid w:val="00CC3684"/>
    <w:rsid w:val="00CC3AD9"/>
    <w:rsid w:val="00CD05FC"/>
    <w:rsid w:val="00CD275B"/>
    <w:rsid w:val="00CD6E6C"/>
    <w:rsid w:val="00CE6A91"/>
    <w:rsid w:val="00CF0199"/>
    <w:rsid w:val="00CF06E0"/>
    <w:rsid w:val="00D04553"/>
    <w:rsid w:val="00D04FE9"/>
    <w:rsid w:val="00D05F69"/>
    <w:rsid w:val="00D0600A"/>
    <w:rsid w:val="00D10426"/>
    <w:rsid w:val="00D140B3"/>
    <w:rsid w:val="00D25609"/>
    <w:rsid w:val="00D334FE"/>
    <w:rsid w:val="00D34379"/>
    <w:rsid w:val="00D361BD"/>
    <w:rsid w:val="00D376DA"/>
    <w:rsid w:val="00D74297"/>
    <w:rsid w:val="00DB53B1"/>
    <w:rsid w:val="00DD3CD6"/>
    <w:rsid w:val="00DE07E1"/>
    <w:rsid w:val="00DF3702"/>
    <w:rsid w:val="00E147B8"/>
    <w:rsid w:val="00E279D3"/>
    <w:rsid w:val="00E31490"/>
    <w:rsid w:val="00E57062"/>
    <w:rsid w:val="00E70509"/>
    <w:rsid w:val="00E92D3C"/>
    <w:rsid w:val="00EA61CD"/>
    <w:rsid w:val="00EB6E56"/>
    <w:rsid w:val="00EC497F"/>
    <w:rsid w:val="00ED20B8"/>
    <w:rsid w:val="00ED3EF7"/>
    <w:rsid w:val="00EF43E3"/>
    <w:rsid w:val="00EF5E84"/>
    <w:rsid w:val="00F020EA"/>
    <w:rsid w:val="00F02D8D"/>
    <w:rsid w:val="00F2158F"/>
    <w:rsid w:val="00F2602D"/>
    <w:rsid w:val="00F368C1"/>
    <w:rsid w:val="00F42028"/>
    <w:rsid w:val="00F45477"/>
    <w:rsid w:val="00F53D36"/>
    <w:rsid w:val="00F629EA"/>
    <w:rsid w:val="00F64F3D"/>
    <w:rsid w:val="00F6683E"/>
    <w:rsid w:val="00F737DB"/>
    <w:rsid w:val="00F84B2C"/>
    <w:rsid w:val="00FB69D6"/>
    <w:rsid w:val="00FC2B7E"/>
    <w:rsid w:val="00FC4192"/>
    <w:rsid w:val="00FD36B7"/>
    <w:rsid w:val="00FE06AA"/>
    <w:rsid w:val="00FE1F1F"/>
    <w:rsid w:val="00FF6ABB"/>
    <w:rsid w:val="20626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DD9829"/>
  <w15:docId w15:val="{73E5C09F-C033-4DF5-902F-4B03311A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40" w:before="40" w:afterLines="40" w:after="40"/>
      <w:ind w:firstLine="720"/>
    </w:pPr>
    <w:rPr>
      <w:rFonts w:ascii="Times New Roman" w:hAnsi="Times New Roman"/>
      <w:sz w:val="24"/>
      <w:szCs w:val="22"/>
      <w:lang w:eastAsia="en-US"/>
      <w14:ligatures w14:val="standard"/>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0"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before="0"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 w:val="28"/>
      <w:szCs w:val="28"/>
    </w:r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14:ligatures w14:val="standard"/>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14:ligatures w14:val="standard"/>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14:ligatures w14:val="standard"/>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sz w:val="24"/>
      <w14:ligatures w14:val="standard"/>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sz w:val="24"/>
      <w14:ligatures w14:val="standard"/>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sz w:val="24"/>
      <w14:ligatures w14:val="standard"/>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sz w:val="24"/>
      <w14:ligatures w14:val="standard"/>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sz w:val="24"/>
      <w14:ligatures w14:val="standard"/>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sz w:val="24"/>
      <w14:ligatures w14:val="standar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14:ligatures w14:val="standard"/>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14:ligatures w14:val="standard"/>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sz w:val="24"/>
      <w14:ligatures w14:val="standard"/>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rFonts w:ascii="Times New Roman" w:hAnsi="Times New Roman"/>
      <w:i/>
      <w:iCs/>
      <w:color w:val="0F4761" w:themeColor="accent1" w:themeShade="BF"/>
      <w:sz w:val="24"/>
      <w14:ligatures w14:val="standard"/>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rFonts w:ascii="Times New Roman" w:hAnsi="Times New Roman"/>
      <w:sz w:val="24"/>
      <w14:ligatures w14:val="standard"/>
    </w:rPr>
  </w:style>
  <w:style w:type="character" w:customStyle="1" w:styleId="FooterChar">
    <w:name w:val="Footer Char"/>
    <w:basedOn w:val="DefaultParagraphFont"/>
    <w:link w:val="Footer"/>
    <w:uiPriority w:val="99"/>
    <w:qFormat/>
    <w:rPr>
      <w:rFonts w:ascii="Times New Roman" w:hAnsi="Times New Roman"/>
      <w:sz w:val="24"/>
      <w14:ligatures w14:val="standard"/>
    </w:rPr>
  </w:style>
  <w:style w:type="paragraph" w:customStyle="1" w:styleId="EndNoteBibliographyTitle">
    <w:name w:val="EndNote Bibliography Title"/>
    <w:basedOn w:val="Normal"/>
    <w:link w:val="EndNoteBibliographyTitleChar"/>
    <w:qFormat/>
    <w:pPr>
      <w:spacing w:after="0"/>
      <w:jc w:val="center"/>
    </w:pPr>
    <w:rPr>
      <w:rFonts w:cs="Times New Roman"/>
    </w:rPr>
  </w:style>
  <w:style w:type="character" w:customStyle="1" w:styleId="EndNoteBibliographyTitleChar">
    <w:name w:val="EndNote Bibliography Title Char"/>
    <w:basedOn w:val="DefaultParagraphFont"/>
    <w:link w:val="EndNoteBibliographyTitle"/>
    <w:qFormat/>
    <w:rPr>
      <w:rFonts w:ascii="Times New Roman" w:hAnsi="Times New Roman" w:cs="Times New Roman"/>
      <w:sz w:val="24"/>
      <w14:ligatures w14:val="standard"/>
    </w:rPr>
  </w:style>
  <w:style w:type="paragraph" w:customStyle="1" w:styleId="EndNoteBibliography">
    <w:name w:val="EndNote Bibliography"/>
    <w:basedOn w:val="Normal"/>
    <w:link w:val="EndNoteBibliographyChar"/>
    <w:qFormat/>
    <w:rPr>
      <w:rFonts w:cs="Times New Roman"/>
    </w:rPr>
  </w:style>
  <w:style w:type="character" w:customStyle="1" w:styleId="EndNoteBibliographyChar">
    <w:name w:val="EndNote Bibliography Char"/>
    <w:basedOn w:val="DefaultParagraphFont"/>
    <w:link w:val="EndNoteBibliography"/>
    <w:qFormat/>
    <w:rPr>
      <w:rFonts w:ascii="Times New Roman" w:hAnsi="Times New Roman" w:cs="Times New Roman"/>
      <w:sz w:val="24"/>
      <w14:ligatures w14:val="standard"/>
    </w:rPr>
  </w:style>
  <w:style w:type="paragraph" w:customStyle="1" w:styleId="Style1">
    <w:name w:val="Style1"/>
    <w:basedOn w:val="Normal"/>
    <w:qFormat/>
    <w:pPr>
      <w:spacing w:beforeLines="0" w:before="0" w:afterLines="0" w:after="120"/>
      <w:ind w:firstLine="0"/>
    </w:pPr>
    <w:rPr>
      <w:rFonts w:ascii="Aptos" w:hAnsi="Aptos" w:cs="Times New Roman"/>
      <w:kern w:val="2"/>
      <w:szCs w:val="24"/>
      <w14:ligatures w14:val="standardContextual"/>
    </w:rPr>
  </w:style>
  <w:style w:type="table" w:customStyle="1" w:styleId="TableGrid1">
    <w:name w:val="Table Grid1"/>
    <w:basedOn w:val="TableNormal"/>
    <w:uiPriority w:val="39"/>
    <w:qFormat/>
    <w:rPr>
      <w:rFonts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rFonts w:ascii="Times New Roman" w:hAnsi="Times New Roman"/>
      <w:sz w:val="24"/>
      <w14:ligatures w14:val="standard"/>
    </w:rPr>
  </w:style>
  <w:style w:type="character" w:customStyle="1" w:styleId="CommentSubjectChar">
    <w:name w:val="Comment Subject Char"/>
    <w:basedOn w:val="CommentTextChar"/>
    <w:link w:val="CommentSubject"/>
    <w:uiPriority w:val="99"/>
    <w:semiHidden/>
    <w:qFormat/>
    <w:rPr>
      <w:rFonts w:ascii="Times New Roman" w:hAnsi="Times New Roman"/>
      <w:b/>
      <w:bCs/>
      <w:sz w:val="24"/>
      <w14:ligatures w14:val="standard"/>
    </w:rPr>
  </w:style>
  <w:style w:type="paragraph" w:customStyle="1" w:styleId="Revision1">
    <w:name w:val="Revision1"/>
    <w:hidden/>
    <w:uiPriority w:val="99"/>
    <w:semiHidden/>
    <w:qFormat/>
    <w:rPr>
      <w:rFonts w:ascii="Times New Roman" w:hAnsi="Times New Roman"/>
      <w:sz w:val="24"/>
      <w:szCs w:val="22"/>
      <w:lang w:eastAsia="en-US"/>
      <w14:ligatures w14:val="standard"/>
    </w:rPr>
  </w:style>
  <w:style w:type="paragraph" w:styleId="Revision">
    <w:name w:val="Revision"/>
    <w:hidden/>
    <w:uiPriority w:val="99"/>
    <w:unhideWhenUsed/>
    <w:rsid w:val="001F6E82"/>
    <w:rPr>
      <w:rFonts w:ascii="Times New Roman" w:hAnsi="Times New Roman"/>
      <w:sz w:val="24"/>
      <w:szCs w:val="22"/>
      <w:lang w:eastAsia="en-US"/>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8453</Words>
  <Characters>52921</Characters>
  <Application>Microsoft Office Word</Application>
  <DocSecurity>0</DocSecurity>
  <Lines>1603</Lines>
  <Paragraphs>1203</Paragraphs>
  <ScaleCrop>false</ScaleCrop>
  <Company/>
  <LinksUpToDate>false</LinksUpToDate>
  <CharactersWithSpaces>60171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 فتحي حسن بلحه</dc:creator>
  <cp:lastModifiedBy>محمد فتحي حسن بلحه</cp:lastModifiedBy>
  <cp:revision>7</cp:revision>
  <dcterms:created xsi:type="dcterms:W3CDTF">2026-03-26T20:48:00Z</dcterms:created>
  <dcterms:modified xsi:type="dcterms:W3CDTF">2026-04-03T14:06:00Z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9bbe1ab0-f2bd-4285-b31d-bcb2d263f036</vt:lpwstr>
  </property>
  <property fmtid="{D5CDD505-2E9C-101B-9397-08002B2CF9AE}" pid="3" name="KSOTemplateDocerSaveRecord">
    <vt:lpwstr>eyJoZGlkIjoiNjdkMWJhOWNhMmQ0NzY0NzYwZTg5MGM2NzcxMzI1ZGEiLCJ1c2VySWQiOiI0MzQxMTk5NTcifQ==</vt:lpwstr>
  </property>
  <property fmtid="{D5CDD505-2E9C-101B-9397-08002B2CF9AE}" pid="4" name="KSOProductBuildVer">
    <vt:lpwstr>2052-12.1.0.25225</vt:lpwstr>
  </property>
  <property fmtid="{D5CDD505-2E9C-101B-9397-08002B2CF9AE}" pid="5" name="ICV">
    <vt:lpwstr>7145BDBB33734EB2A228649A8D543AAD_13</vt:lpwstr>
  </property>
</Properties>
</file>