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8791AE">
      <w:pPr>
        <w:spacing w:line="240" w:lineRule="auto"/>
        <w:jc w:val="center"/>
        <w:rPr>
          <w:rFonts w:asciiTheme="majorBidi" w:hAnsiTheme="majorBidi" w:cstheme="majorBidi"/>
          <w:b/>
          <w:bCs/>
          <w:sz w:val="32"/>
          <w:szCs w:val="32"/>
        </w:rPr>
      </w:pPr>
      <w:r>
        <w:rPr>
          <w:rFonts w:hint="eastAsia" w:asciiTheme="majorBidi" w:hAnsiTheme="majorBidi" w:cstheme="majorBidi"/>
          <w:b/>
          <w:bCs/>
          <w:sz w:val="32"/>
          <w:szCs w:val="32"/>
        </w:rPr>
        <w:t>Supplementary Materials</w:t>
      </w:r>
    </w:p>
    <w:p w14:paraId="3DE53285">
      <w:pPr>
        <w:spacing w:line="240" w:lineRule="auto"/>
        <w:jc w:val="center"/>
        <w:rPr>
          <w:rFonts w:asciiTheme="majorBidi" w:hAnsiTheme="majorBidi" w:cstheme="majorBidi"/>
          <w:b/>
          <w:bCs/>
          <w:sz w:val="32"/>
          <w:szCs w:val="32"/>
        </w:rPr>
      </w:pPr>
    </w:p>
    <w:p w14:paraId="6565AEA0">
      <w:pPr>
        <w:spacing w:line="240" w:lineRule="auto"/>
        <w:jc w:val="center"/>
        <w:rPr>
          <w:rFonts w:asciiTheme="majorBidi" w:hAnsiTheme="majorBidi" w:cstheme="majorBidi"/>
          <w:b/>
          <w:bCs/>
        </w:rPr>
      </w:pPr>
      <w:r>
        <w:rPr>
          <w:rFonts w:asciiTheme="majorBidi" w:hAnsiTheme="majorBidi" w:cstheme="majorBidi"/>
          <w:b/>
          <w:bCs/>
        </w:rPr>
        <w:drawing>
          <wp:inline distT="0" distB="0" distL="0" distR="0">
            <wp:extent cx="4319905" cy="2185670"/>
            <wp:effectExtent l="0" t="0" r="4445" b="5080"/>
            <wp:docPr id="1615264357"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5264357" name="圖片 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4320000" cy="2186132"/>
                    </a:xfrm>
                    <a:prstGeom prst="rect">
                      <a:avLst/>
                    </a:prstGeom>
                    <a:noFill/>
                  </pic:spPr>
                </pic:pic>
              </a:graphicData>
            </a:graphic>
          </wp:inline>
        </w:drawing>
      </w:r>
    </w:p>
    <w:p w14:paraId="57BF43B0">
      <w:pPr>
        <w:spacing w:line="240" w:lineRule="auto"/>
        <w:rPr>
          <w:rFonts w:asciiTheme="majorBidi" w:hAnsiTheme="majorBidi" w:cstheme="majorBidi"/>
        </w:rPr>
      </w:pPr>
      <w:r>
        <w:rPr>
          <w:rFonts w:asciiTheme="majorBidi" w:hAnsiTheme="majorBidi" w:cstheme="majorBidi"/>
          <w:b/>
          <w:bCs/>
        </w:rPr>
        <w:t xml:space="preserve">Supplementary Figure S1. Computational validation of the molecular docking protocol. </w:t>
      </w:r>
      <w:r>
        <w:rPr>
          <w:rFonts w:asciiTheme="majorBidi" w:hAnsiTheme="majorBidi" w:cstheme="majorBidi"/>
        </w:rPr>
        <w:t>The known endogenous substrate, guanosine monophosphate (GMP), was docked into the predicted active site of the human GUK1 structural model using the AutoDock Vina algorithm. The left panel displays the overall three-dimensional conformation of the GUK1-GMP complex (cartoon representation). The right panel provides a close-up surface view of the core nucleotide monophosphate (NMP) binding pocket, demonstrating a highly favorable binding affinity of -8.726 kcal/mol. This procedure empirically validates the accuracy of the grid box and system parameters applied in the subsequent screening for Apitolisib.</w:t>
      </w:r>
      <w:r>
        <w:rPr>
          <w:rFonts w:asciiTheme="majorBidi" w:hAnsiTheme="majorBidi" w:cstheme="majorBidi"/>
        </w:rPr>
        <w:br w:type="page"/>
      </w:r>
    </w:p>
    <w:p w14:paraId="69048A16">
      <w:pPr>
        <w:spacing w:line="240" w:lineRule="auto"/>
        <w:rPr>
          <w:rFonts w:asciiTheme="majorBidi" w:hAnsiTheme="majorBidi" w:cstheme="majorBidi"/>
        </w:rPr>
      </w:pPr>
    </w:p>
    <w:p w14:paraId="0038C902">
      <w:pPr>
        <w:spacing w:line="240" w:lineRule="auto"/>
        <w:rPr>
          <w:b/>
          <w:bCs/>
          <w:sz w:val="32"/>
          <w:szCs w:val="32"/>
        </w:rPr>
      </w:pPr>
      <w:r>
        <w:rPr>
          <w:b/>
          <w:bCs/>
          <w:sz w:val="32"/>
          <w:szCs w:val="32"/>
        </w:rPr>
        <w:drawing>
          <wp:inline distT="0" distB="0" distL="0" distR="0">
            <wp:extent cx="5939790" cy="2085340"/>
            <wp:effectExtent l="0" t="0" r="3810" b="0"/>
            <wp:docPr id="183370561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3705611" name="圖片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5940000" cy="2085527"/>
                    </a:xfrm>
                    <a:prstGeom prst="rect">
                      <a:avLst/>
                    </a:prstGeom>
                    <a:noFill/>
                  </pic:spPr>
                </pic:pic>
              </a:graphicData>
            </a:graphic>
          </wp:inline>
        </w:drawing>
      </w:r>
    </w:p>
    <w:p w14:paraId="5C43AF33">
      <w:pPr>
        <w:pStyle w:val="15"/>
        <w:spacing w:before="0" w:beforeAutospacing="0" w:after="0" w:afterAutospacing="0"/>
        <w:rPr>
          <w:rFonts w:asciiTheme="majorBidi" w:hAnsiTheme="majorBidi" w:cstheme="majorBidi"/>
        </w:rPr>
      </w:pPr>
      <w:r>
        <w:rPr>
          <w:rFonts w:asciiTheme="majorBidi" w:hAnsiTheme="majorBidi" w:cstheme="majorBidi"/>
          <w:b/>
          <w:bCs/>
          <w:color w:val="000000"/>
          <w:kern w:val="24"/>
        </w:rPr>
        <w:t>Supplementary Figure S</w:t>
      </w:r>
      <w:r>
        <w:rPr>
          <w:rFonts w:hint="eastAsia" w:asciiTheme="majorBidi" w:hAnsiTheme="majorBidi" w:cstheme="majorBidi"/>
          <w:b/>
          <w:bCs/>
          <w:color w:val="000000"/>
          <w:kern w:val="24"/>
        </w:rPr>
        <w:t>2</w:t>
      </w:r>
      <w:r>
        <w:rPr>
          <w:rFonts w:asciiTheme="majorBidi" w:hAnsiTheme="majorBidi" w:cstheme="majorBidi"/>
          <w:b/>
          <w:bCs/>
          <w:color w:val="000000"/>
          <w:kern w:val="24"/>
        </w:rPr>
        <w:t xml:space="preserve">. Correlation between </w:t>
      </w:r>
      <w:r>
        <w:rPr>
          <w:rFonts w:asciiTheme="majorBidi" w:hAnsiTheme="majorBidi" w:cstheme="majorBidi"/>
          <w:b/>
          <w:bCs/>
          <w:i/>
          <w:iCs/>
          <w:color w:val="000000"/>
          <w:kern w:val="24"/>
        </w:rPr>
        <w:t>TP53</w:t>
      </w:r>
      <w:r>
        <w:rPr>
          <w:rFonts w:asciiTheme="majorBidi" w:hAnsiTheme="majorBidi" w:cstheme="majorBidi"/>
          <w:b/>
          <w:bCs/>
          <w:color w:val="000000"/>
          <w:kern w:val="24"/>
        </w:rPr>
        <w:t xml:space="preserve"> mutation status and DNA methyltransferase expression in TCGA-BRCA patients.</w:t>
      </w:r>
      <w:r>
        <w:rPr>
          <w:rFonts w:asciiTheme="majorBidi" w:hAnsiTheme="majorBidi" w:cstheme="majorBidi"/>
          <w:color w:val="000000"/>
          <w:kern w:val="24"/>
        </w:rPr>
        <w:t xml:space="preserve"> Violin plots illustrate mRNA expression levels of </w:t>
      </w:r>
      <w:r>
        <w:rPr>
          <w:rFonts w:asciiTheme="majorBidi" w:hAnsiTheme="majorBidi" w:cstheme="majorBidi"/>
          <w:b/>
          <w:bCs/>
          <w:color w:val="000000"/>
          <w:kern w:val="24"/>
        </w:rPr>
        <w:t>(A)</w:t>
      </w:r>
      <w:r>
        <w:rPr>
          <w:rFonts w:asciiTheme="majorBidi" w:hAnsiTheme="majorBidi" w:cstheme="majorBidi"/>
          <w:color w:val="000000"/>
          <w:kern w:val="24"/>
        </w:rPr>
        <w:t xml:space="preserve"> DNMT1, </w:t>
      </w:r>
      <w:r>
        <w:rPr>
          <w:rFonts w:asciiTheme="majorBidi" w:hAnsiTheme="majorBidi" w:cstheme="majorBidi"/>
          <w:b/>
          <w:bCs/>
          <w:color w:val="000000"/>
          <w:kern w:val="24"/>
        </w:rPr>
        <w:t>(B)</w:t>
      </w:r>
      <w:r>
        <w:rPr>
          <w:rFonts w:asciiTheme="majorBidi" w:hAnsiTheme="majorBidi" w:cstheme="majorBidi"/>
          <w:color w:val="000000"/>
          <w:kern w:val="24"/>
        </w:rPr>
        <w:t xml:space="preserve"> DNMT3A, and </w:t>
      </w:r>
      <w:r>
        <w:rPr>
          <w:rFonts w:asciiTheme="majorBidi" w:hAnsiTheme="majorBidi" w:cstheme="majorBidi"/>
          <w:b/>
          <w:bCs/>
          <w:color w:val="000000"/>
          <w:kern w:val="24"/>
        </w:rPr>
        <w:t>(C)</w:t>
      </w:r>
      <w:r>
        <w:rPr>
          <w:rFonts w:asciiTheme="majorBidi" w:hAnsiTheme="majorBidi" w:cstheme="majorBidi"/>
          <w:color w:val="000000"/>
          <w:kern w:val="24"/>
        </w:rPr>
        <w:t xml:space="preserve"> DNMT3B in TCGA breast invasive carcinoma (BRCA) cohorts. Patients are stratified by </w:t>
      </w:r>
      <w:r>
        <w:rPr>
          <w:rFonts w:asciiTheme="majorBidi" w:hAnsiTheme="majorBidi" w:cstheme="majorBidi"/>
          <w:i/>
          <w:iCs/>
          <w:color w:val="000000"/>
          <w:kern w:val="24"/>
        </w:rPr>
        <w:t xml:space="preserve">TP53 </w:t>
      </w:r>
      <w:r>
        <w:rPr>
          <w:rFonts w:asciiTheme="majorBidi" w:hAnsiTheme="majorBidi" w:cstheme="majorBidi"/>
          <w:color w:val="000000"/>
          <w:kern w:val="24"/>
        </w:rPr>
        <w:t>status: wild type (WT, green) versus mutated (red). Each plot includes an internal box plot representing median and interquartile ranges, with individual patient data points overlaid. Statistical significance was determined using the Wilcoxon rank-sum test.</w:t>
      </w:r>
    </w:p>
    <w:p w14:paraId="3E941B80">
      <w:r>
        <w:br w:type="page"/>
      </w:r>
    </w:p>
    <w:p w14:paraId="3CB9101B"/>
    <w:p w14:paraId="4A235DB8">
      <w:pPr>
        <w:jc w:val="center"/>
      </w:pPr>
      <w:r>
        <w:drawing>
          <wp:anchor distT="0" distB="0" distL="114300" distR="114300" simplePos="0" relativeHeight="251659264" behindDoc="0" locked="0" layoutInCell="1" allowOverlap="1">
            <wp:simplePos x="0" y="0"/>
            <wp:positionH relativeFrom="column">
              <wp:posOffset>848995</wp:posOffset>
            </wp:positionH>
            <wp:positionV relativeFrom="paragraph">
              <wp:posOffset>314325</wp:posOffset>
            </wp:positionV>
            <wp:extent cx="3933825" cy="3114675"/>
            <wp:effectExtent l="0" t="0" r="0" b="0"/>
            <wp:wrapTopAndBottom/>
            <wp:docPr id="815335258"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5335258" name="圖片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3933825" cy="3114670"/>
                    </a:xfrm>
                    <a:prstGeom prst="rect">
                      <a:avLst/>
                    </a:prstGeom>
                    <a:noFill/>
                  </pic:spPr>
                </pic:pic>
              </a:graphicData>
            </a:graphic>
          </wp:anchor>
        </w:drawing>
      </w:r>
    </w:p>
    <w:p w14:paraId="1D48C9CE">
      <w:pPr>
        <w:rPr>
          <w:rFonts w:asciiTheme="majorBidi" w:hAnsiTheme="majorBidi" w:cstheme="majorBidi"/>
        </w:rPr>
      </w:pPr>
      <w:r>
        <w:rPr>
          <w:rFonts w:asciiTheme="majorBidi" w:hAnsiTheme="majorBidi" w:cstheme="majorBidi"/>
          <w:b/>
          <w:bCs/>
        </w:rPr>
        <w:t>Supplementary Figure S</w:t>
      </w:r>
      <w:r>
        <w:rPr>
          <w:rFonts w:hint="eastAsia" w:asciiTheme="majorBidi" w:hAnsiTheme="majorBidi" w:cstheme="majorBidi"/>
          <w:b/>
          <w:bCs/>
        </w:rPr>
        <w:t>3</w:t>
      </w:r>
      <w:r>
        <w:rPr>
          <w:rFonts w:asciiTheme="majorBidi" w:hAnsiTheme="majorBidi" w:cstheme="majorBidi"/>
          <w:b/>
          <w:bCs/>
        </w:rPr>
        <w:t xml:space="preserve">. GSEA enrichment plot for the Adenosine Pathway (Ectonucleotidases) following </w:t>
      </w:r>
      <w:r>
        <w:rPr>
          <w:rFonts w:asciiTheme="majorBidi" w:hAnsiTheme="majorBidi" w:cstheme="majorBidi"/>
          <w:b/>
          <w:bCs/>
          <w:i/>
          <w:iCs/>
        </w:rPr>
        <w:t>GUK1</w:t>
      </w:r>
      <w:r>
        <w:rPr>
          <w:rFonts w:asciiTheme="majorBidi" w:hAnsiTheme="majorBidi" w:cstheme="majorBidi"/>
          <w:b/>
          <w:bCs/>
        </w:rPr>
        <w:t xml:space="preserve"> knockdown. </w:t>
      </w:r>
      <w:r>
        <w:rPr>
          <w:rFonts w:asciiTheme="majorBidi" w:hAnsiTheme="majorBidi" w:cstheme="majorBidi"/>
        </w:rPr>
        <w:t xml:space="preserve">Gene Set Enrichment Analysis (GSEA) was performed using RNA-seq data comparing si-ctrl and si-GUK1 treated cells. The enrichment plot for the "Ectonucleotidases (The Adenosine Pathway)" gene set shows a negative Enrichment Score (ES = -0.683) and a significant Normalized Enrichment Score (NES = -1.618, </w:t>
      </w:r>
      <w:r>
        <w:rPr>
          <w:rFonts w:hint="eastAsia" w:asciiTheme="majorBidi" w:hAnsiTheme="majorBidi" w:cstheme="majorBidi"/>
          <w:i/>
          <w:iCs/>
          <w:lang w:eastAsia="zh-CN"/>
        </w:rPr>
        <w:t>p</w:t>
      </w:r>
      <w:r>
        <w:rPr>
          <w:rFonts w:asciiTheme="majorBidi" w:hAnsiTheme="majorBidi" w:cstheme="majorBidi"/>
        </w:rPr>
        <w:t xml:space="preserve">-value = 0.006). The distribution of genes (vertical black bars) is skewed toward the right </w:t>
      </w:r>
      <w:r>
        <w:rPr>
          <w:rFonts w:hint="eastAsia" w:asciiTheme="majorBidi" w:hAnsiTheme="majorBidi" w:cstheme="majorBidi"/>
        </w:rPr>
        <w:t xml:space="preserve">(blue) </w:t>
      </w:r>
      <w:r>
        <w:rPr>
          <w:rFonts w:asciiTheme="majorBidi" w:hAnsiTheme="majorBidi" w:cstheme="majorBidi"/>
        </w:rPr>
        <w:t>side of the rank</w:t>
      </w:r>
      <w:r>
        <w:rPr>
          <w:rFonts w:hint="eastAsia" w:asciiTheme="majorBidi" w:hAnsiTheme="majorBidi" w:cstheme="majorBidi"/>
        </w:rPr>
        <w:t>-order</w:t>
      </w:r>
      <w:r>
        <w:rPr>
          <w:rFonts w:asciiTheme="majorBidi" w:hAnsiTheme="majorBidi" w:cstheme="majorBidi"/>
        </w:rPr>
        <w:t>ed list (downregulated in si-GUK1)</w:t>
      </w:r>
      <w:r>
        <w:rPr>
          <w:rFonts w:ascii="PMingLiU" w:hAnsi="PMingLiU" w:eastAsia="PMingLiU" w:cs="PMingLiU"/>
          <w:kern w:val="0"/>
          <w14:ligatures w14:val="none"/>
        </w:rPr>
        <w:t xml:space="preserve"> </w:t>
      </w:r>
      <w:r>
        <w:rPr>
          <w:rFonts w:asciiTheme="majorBidi" w:hAnsiTheme="majorBidi" w:cstheme="majorBidi"/>
        </w:rPr>
        <w:t xml:space="preserve">confirms a significant transcriptional downregulation of this pathway upon </w:t>
      </w:r>
      <w:r>
        <w:rPr>
          <w:rFonts w:asciiTheme="majorBidi" w:hAnsiTheme="majorBidi" w:cstheme="majorBidi"/>
          <w:i/>
          <w:iCs/>
        </w:rPr>
        <w:t>GUK1</w:t>
      </w:r>
      <w:r>
        <w:rPr>
          <w:rFonts w:asciiTheme="majorBidi" w:hAnsiTheme="majorBidi" w:cstheme="majorBidi"/>
        </w:rPr>
        <w:t xml:space="preserve"> silencing</w:t>
      </w:r>
      <w:r>
        <w:rPr>
          <w:rFonts w:hint="eastAsia" w:asciiTheme="majorBidi" w:hAnsiTheme="majorBidi" w:cstheme="majorBidi"/>
        </w:rPr>
        <w:t>.</w:t>
      </w:r>
    </w:p>
    <w:p w14:paraId="783E8173">
      <w:pPr>
        <w:rPr>
          <w:rFonts w:asciiTheme="majorBidi" w:hAnsiTheme="majorBidi" w:cstheme="majorBidi"/>
        </w:rPr>
      </w:pPr>
    </w:p>
    <w:p w14:paraId="52DD9C0A">
      <w:pPr>
        <w:rPr>
          <w:rFonts w:asciiTheme="majorBidi" w:hAnsiTheme="majorBidi" w:cstheme="majorBidi"/>
        </w:rPr>
      </w:pPr>
      <w:r>
        <w:rPr>
          <w:rFonts w:asciiTheme="majorBidi" w:hAnsiTheme="majorBidi" w:cstheme="majorBidi"/>
        </w:rPr>
        <w:br w:type="page"/>
      </w:r>
    </w:p>
    <w:p w14:paraId="3B8FA46A">
      <w:pPr>
        <w:jc w:val="center"/>
        <w:rPr>
          <w:rFonts w:asciiTheme="majorBidi" w:hAnsiTheme="majorBidi" w:cstheme="majorBidi"/>
        </w:rPr>
      </w:pPr>
      <w:r>
        <w:rPr>
          <w:rFonts w:asciiTheme="majorBidi" w:hAnsiTheme="majorBidi" w:cstheme="majorBidi"/>
        </w:rPr>
        <w:drawing>
          <wp:inline distT="0" distB="0" distL="0" distR="0">
            <wp:extent cx="5399405" cy="2506345"/>
            <wp:effectExtent l="0" t="0" r="0" b="0"/>
            <wp:docPr id="906335429"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6335429" name="圖片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5400000" cy="2506685"/>
                    </a:xfrm>
                    <a:prstGeom prst="rect">
                      <a:avLst/>
                    </a:prstGeom>
                    <a:noFill/>
                  </pic:spPr>
                </pic:pic>
              </a:graphicData>
            </a:graphic>
          </wp:inline>
        </w:drawing>
      </w:r>
    </w:p>
    <w:p w14:paraId="24978DFD">
      <w:pPr>
        <w:rPr>
          <w:rFonts w:asciiTheme="majorBidi" w:hAnsiTheme="majorBidi" w:cstheme="majorBidi"/>
        </w:rPr>
      </w:pPr>
      <w:r>
        <w:rPr>
          <w:rFonts w:asciiTheme="majorBidi" w:hAnsiTheme="majorBidi" w:cstheme="majorBidi"/>
          <w:b/>
          <w:bCs/>
        </w:rPr>
        <w:t xml:space="preserve">Supplementary Figure S4. Knockdown of GUK1 attenuates AKT and mTOR phosphorylation. (A) </w:t>
      </w:r>
      <w:r>
        <w:rPr>
          <w:rFonts w:asciiTheme="majorBidi" w:hAnsiTheme="majorBidi" w:cstheme="majorBidi"/>
        </w:rPr>
        <w:t xml:space="preserve">Representative Western blot analysis of phosphorylated AKT at Ser473 (p-AKT), total AKT, phosphorylated mTOR at Ser2448 (p-mTOR), and total mTOR in cells transfected with negative control siRNA (NC) or GUK1-specific siRNA (si-GUK1). </w:t>
      </w:r>
      <w:r>
        <w:rPr>
          <w:rFonts w:asciiTheme="majorBidi" w:hAnsiTheme="majorBidi" w:cstheme="majorBidi"/>
          <w:lang w:val="el-GR"/>
        </w:rPr>
        <w:t>β</w:t>
      </w:r>
      <w:r>
        <w:rPr>
          <w:rFonts w:asciiTheme="majorBidi" w:hAnsiTheme="majorBidi" w:cstheme="majorBidi"/>
        </w:rPr>
        <w:t xml:space="preserve">-actin was used as an internal loading control. </w:t>
      </w:r>
      <w:r>
        <w:rPr>
          <w:rFonts w:asciiTheme="majorBidi" w:hAnsiTheme="majorBidi" w:cstheme="majorBidi"/>
          <w:b/>
          <w:bCs/>
        </w:rPr>
        <w:t>(B)</w:t>
      </w:r>
      <w:r>
        <w:rPr>
          <w:rFonts w:asciiTheme="majorBidi" w:hAnsiTheme="majorBidi" w:cstheme="majorBidi"/>
        </w:rPr>
        <w:t xml:space="preserve"> Quantitative densitometry analysis of relative p-AKT and p-mTOR levels. The phosphorylation levels were normalized to their respective total protein levels (p-AKT/AKT and p-mTOR/mTOR). Data are presented as mean ± SEM, n = 3 independent biological replicates. *</w:t>
      </w:r>
      <w:r>
        <w:rPr>
          <w:rFonts w:asciiTheme="majorBidi" w:hAnsiTheme="majorBidi" w:cstheme="majorBidi"/>
          <w:i/>
          <w:iCs/>
        </w:rPr>
        <w:t>p</w:t>
      </w:r>
      <w:r>
        <w:rPr>
          <w:rFonts w:asciiTheme="majorBidi" w:hAnsiTheme="majorBidi" w:cstheme="majorBidi"/>
        </w:rPr>
        <w:t xml:space="preserve"> &lt; 0.05, </w:t>
      </w:r>
      <w:r>
        <w:rPr>
          <w:rFonts w:hint="eastAsia" w:asciiTheme="majorBidi" w:hAnsiTheme="majorBidi" w:cstheme="majorBidi"/>
        </w:rPr>
        <w:t>**</w:t>
      </w:r>
      <w:r>
        <w:rPr>
          <w:rFonts w:asciiTheme="majorBidi" w:hAnsiTheme="majorBidi" w:cstheme="majorBidi"/>
          <w:i/>
          <w:iCs/>
        </w:rPr>
        <w:t>p</w:t>
      </w:r>
      <w:r>
        <w:rPr>
          <w:rFonts w:asciiTheme="majorBidi" w:hAnsiTheme="majorBidi" w:cstheme="majorBidi"/>
        </w:rPr>
        <w:t xml:space="preserve"> &lt; 0.01 by independent </w:t>
      </w:r>
      <w:r>
        <w:rPr>
          <w:rFonts w:asciiTheme="majorBidi" w:hAnsiTheme="majorBidi" w:cstheme="majorBidi"/>
          <w:i/>
          <w:iCs/>
        </w:rPr>
        <w:t>t</w:t>
      </w:r>
      <w:r>
        <w:rPr>
          <w:rFonts w:asciiTheme="majorBidi" w:hAnsiTheme="majorBidi" w:cstheme="majorBidi"/>
        </w:rPr>
        <w:t>-test.</w:t>
      </w:r>
      <w:bookmarkStart w:id="0" w:name="_GoBack"/>
      <w:bookmarkEnd w:id="0"/>
    </w:p>
    <w:p w14:paraId="631AB14E">
      <w:pPr>
        <w:rPr>
          <w:rFonts w:asciiTheme="majorBidi" w:hAnsiTheme="majorBidi" w:cstheme="majorBidi"/>
        </w:rPr>
      </w:pPr>
    </w:p>
    <w:sectPr>
      <w:pgSz w:w="11906" w:h="16838"/>
      <w:pgMar w:top="1440" w:right="1080" w:bottom="1440" w:left="1080" w:header="851" w:footer="992" w:gutter="0"/>
      <w:cols w:space="425" w:num="1"/>
      <w:docGrid w:type="lines"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Aptos">
    <w:altName w:val="Segoe UI"/>
    <w:panose1 w:val="00000000000000000000"/>
    <w:charset w:val="00"/>
    <w:family w:val="swiss"/>
    <w:pitch w:val="default"/>
    <w:sig w:usb0="00000000" w:usb1="00000000" w:usb2="00000000" w:usb3="00000000" w:csb0="0000019F" w:csb1="00000000"/>
  </w:font>
  <w:font w:name="PMingLiU">
    <w:altName w:val="PMingLiU-ExtB"/>
    <w:panose1 w:val="02020500000000000000"/>
    <w:charset w:val="88"/>
    <w:family w:val="roman"/>
    <w:pitch w:val="default"/>
    <w:sig w:usb0="00000000" w:usb1="00000000" w:usb2="00000016" w:usb3="00000000" w:csb0="00100001" w:csb1="00000000"/>
  </w:font>
  <w:font w:name="PMingLiU">
    <w:altName w:val="Segoe Print"/>
    <w:panose1 w:val="00000000000000000000"/>
    <w:charset w:val="00"/>
    <w:family w:val="auto"/>
    <w:pitch w:val="default"/>
    <w:sig w:usb0="00000000" w:usb1="00000000" w:usb2="00000000" w:usb3="00000000" w:csb0="00000000" w:csb1="00000000"/>
  </w:font>
  <w:font w:name="PMingLiU">
    <w:altName w:val="宋体"/>
    <w:panose1 w:val="00000000000000000000"/>
    <w:charset w:val="86"/>
    <w:family w:val="auto"/>
    <w:pitch w:val="default"/>
    <w:sig w:usb0="00000000" w:usb1="00000000" w:usb2="00000000" w:usb3="00000000" w:csb0="00000000" w:csb1="00000000"/>
  </w:font>
  <w:font w:name="Aptos Display">
    <w:altName w:val="Segoe UI Variable Display"/>
    <w:panose1 w:val="00000000000000000000"/>
    <w:charset w:val="00"/>
    <w:family w:val="swiss"/>
    <w:pitch w:val="default"/>
    <w:sig w:usb0="00000000" w:usb1="00000000" w:usb2="00000000" w:usb3="00000000" w:csb0="0000019F" w:csb1="00000000"/>
  </w:font>
  <w:font w:name="Segoe UI">
    <w:panose1 w:val="020B0502040204020203"/>
    <w:charset w:val="00"/>
    <w:family w:val="auto"/>
    <w:pitch w:val="default"/>
    <w:sig w:usb0="E4002EFF" w:usb1="C000E47F" w:usb2="00000009" w:usb3="00000000" w:csb0="200001FF" w:csb1="00000000"/>
  </w:font>
  <w:font w:name="PMingLiU-ExtB">
    <w:panose1 w:val="02020500000000000000"/>
    <w:charset w:val="88"/>
    <w:family w:val="auto"/>
    <w:pitch w:val="default"/>
    <w:sig w:usb0="8000002F" w:usb1="02000008" w:usb2="00000000" w:usb3="00000000" w:csb0="00100001" w:csb1="00000000"/>
  </w:font>
  <w:font w:name="KSOF2BE21744">
    <w:panose1 w:val="02020500000000000000"/>
    <w:charset w:val="88"/>
    <w:family w:val="auto"/>
    <w:pitch w:val="default"/>
    <w:sig w:usb0="00000001" w:usb1="00000000" w:usb2="00000000" w:usb3="00000000" w:csb0="00100001" w:csb1="00000000"/>
  </w:font>
  <w:font w:name="Segoe UI Variable Display">
    <w:panose1 w:val="00000000000000000000"/>
    <w:charset w:val="00"/>
    <w:family w:val="auto"/>
    <w:pitch w:val="default"/>
    <w:sig w:usb0="A00002FF" w:usb1="0000000B" w:usb2="0000000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80"/>
  <w:drawingGridHorizontalSpacing w:val="120"/>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66C3"/>
    <w:rsid w:val="000066C3"/>
    <w:rsid w:val="00077372"/>
    <w:rsid w:val="001A240B"/>
    <w:rsid w:val="00206C0A"/>
    <w:rsid w:val="00213D82"/>
    <w:rsid w:val="00274640"/>
    <w:rsid w:val="00283ACD"/>
    <w:rsid w:val="00354A77"/>
    <w:rsid w:val="003A1E30"/>
    <w:rsid w:val="003C103A"/>
    <w:rsid w:val="004E28A8"/>
    <w:rsid w:val="00582CA0"/>
    <w:rsid w:val="005B23E9"/>
    <w:rsid w:val="006A26CB"/>
    <w:rsid w:val="0071276F"/>
    <w:rsid w:val="0074088B"/>
    <w:rsid w:val="008327FF"/>
    <w:rsid w:val="00836F11"/>
    <w:rsid w:val="00A3752D"/>
    <w:rsid w:val="00BD34E5"/>
    <w:rsid w:val="00C86C0E"/>
    <w:rsid w:val="00D22DE3"/>
    <w:rsid w:val="00D301A8"/>
    <w:rsid w:val="00D41B88"/>
    <w:rsid w:val="00D74443"/>
    <w:rsid w:val="00DA28A9"/>
    <w:rsid w:val="00EA07BA"/>
    <w:rsid w:val="00EB75D5"/>
    <w:rsid w:val="00ED5020"/>
    <w:rsid w:val="00EE23C9"/>
    <w:rsid w:val="0D1E2E49"/>
    <w:rsid w:val="18510A99"/>
    <w:rsid w:val="2A625947"/>
    <w:rsid w:val="51DB6702"/>
    <w:rsid w:val="53BB6E5D"/>
    <w:rsid w:val="73025D8D"/>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78" w:lineRule="auto"/>
    </w:pPr>
    <w:rPr>
      <w:rFonts w:asciiTheme="minorHAnsi" w:hAnsiTheme="minorHAnsi" w:eastAsiaTheme="minorEastAsia" w:cstheme="minorBidi"/>
      <w:kern w:val="2"/>
      <w:sz w:val="24"/>
      <w:szCs w:val="24"/>
      <w:lang w:val="en-US" w:eastAsia="zh-TW" w:bidi="ar-SA"/>
      <w14:ligatures w14:val="standardContextual"/>
    </w:rPr>
  </w:style>
  <w:style w:type="paragraph" w:styleId="2">
    <w:name w:val="heading 1"/>
    <w:basedOn w:val="1"/>
    <w:next w:val="1"/>
    <w:link w:val="21"/>
    <w:qFormat/>
    <w:uiPriority w:val="9"/>
    <w:pPr>
      <w:keepNext/>
      <w:keepLines/>
      <w:spacing w:before="480" w:after="80"/>
      <w:outlineLvl w:val="0"/>
    </w:pPr>
    <w:rPr>
      <w:rFonts w:asciiTheme="majorHAnsi" w:hAnsiTheme="majorHAnsi" w:eastAsiaTheme="majorEastAsia" w:cstheme="majorBidi"/>
      <w:color w:val="104862" w:themeColor="accent1" w:themeShade="BF"/>
      <w:sz w:val="48"/>
      <w:szCs w:val="48"/>
    </w:rPr>
  </w:style>
  <w:style w:type="paragraph" w:styleId="3">
    <w:name w:val="heading 2"/>
    <w:basedOn w:val="1"/>
    <w:next w:val="1"/>
    <w:link w:val="22"/>
    <w:semiHidden/>
    <w:unhideWhenUsed/>
    <w:qFormat/>
    <w:uiPriority w:val="9"/>
    <w:pPr>
      <w:keepNext/>
      <w:keepLines/>
      <w:spacing w:before="160" w:after="80"/>
      <w:outlineLvl w:val="1"/>
    </w:pPr>
    <w:rPr>
      <w:rFonts w:asciiTheme="majorHAnsi" w:hAnsiTheme="majorHAnsi" w:eastAsiaTheme="majorEastAsia" w:cstheme="majorBidi"/>
      <w:color w:val="104862" w:themeColor="accent1" w:themeShade="BF"/>
      <w:sz w:val="40"/>
      <w:szCs w:val="40"/>
    </w:rPr>
  </w:style>
  <w:style w:type="paragraph" w:styleId="4">
    <w:name w:val="heading 3"/>
    <w:basedOn w:val="1"/>
    <w:next w:val="1"/>
    <w:link w:val="23"/>
    <w:semiHidden/>
    <w:unhideWhenUsed/>
    <w:qFormat/>
    <w:uiPriority w:val="9"/>
    <w:pPr>
      <w:keepNext/>
      <w:keepLines/>
      <w:spacing w:before="160" w:after="40"/>
      <w:outlineLvl w:val="2"/>
    </w:pPr>
    <w:rPr>
      <w:rFonts w:eastAsiaTheme="majorEastAsia" w:cstheme="majorBidi"/>
      <w:color w:val="104862" w:themeColor="accent1" w:themeShade="BF"/>
      <w:sz w:val="32"/>
      <w:szCs w:val="32"/>
    </w:rPr>
  </w:style>
  <w:style w:type="paragraph" w:styleId="5">
    <w:name w:val="heading 4"/>
    <w:basedOn w:val="1"/>
    <w:next w:val="1"/>
    <w:link w:val="24"/>
    <w:semiHidden/>
    <w:unhideWhenUsed/>
    <w:qFormat/>
    <w:uiPriority w:val="9"/>
    <w:pPr>
      <w:keepNext/>
      <w:keepLines/>
      <w:spacing w:before="160" w:after="40"/>
      <w:outlineLvl w:val="3"/>
    </w:pPr>
    <w:rPr>
      <w:rFonts w:eastAsiaTheme="majorEastAsia" w:cstheme="majorBidi"/>
      <w:color w:val="104862" w:themeColor="accent1" w:themeShade="BF"/>
      <w:sz w:val="28"/>
      <w:szCs w:val="28"/>
    </w:rPr>
  </w:style>
  <w:style w:type="paragraph" w:styleId="6">
    <w:name w:val="heading 5"/>
    <w:basedOn w:val="1"/>
    <w:next w:val="1"/>
    <w:link w:val="25"/>
    <w:semiHidden/>
    <w:unhideWhenUsed/>
    <w:qFormat/>
    <w:uiPriority w:val="9"/>
    <w:pPr>
      <w:keepNext/>
      <w:keepLines/>
      <w:spacing w:before="80" w:after="40"/>
      <w:outlineLvl w:val="4"/>
    </w:pPr>
    <w:rPr>
      <w:rFonts w:eastAsiaTheme="majorEastAsia" w:cstheme="majorBidi"/>
      <w:color w:val="104862" w:themeColor="accent1" w:themeShade="BF"/>
    </w:rPr>
  </w:style>
  <w:style w:type="paragraph" w:styleId="7">
    <w:name w:val="heading 6"/>
    <w:basedOn w:val="1"/>
    <w:next w:val="1"/>
    <w:link w:val="26"/>
    <w:semiHidden/>
    <w:unhideWhenUsed/>
    <w:qFormat/>
    <w:uiPriority w:val="9"/>
    <w:pPr>
      <w:keepNext/>
      <w:keepLines/>
      <w:spacing w:before="40" w:after="0"/>
      <w:outlineLvl w:val="5"/>
    </w:pPr>
    <w:rPr>
      <w:rFonts w:eastAsiaTheme="majorEastAsia" w:cstheme="majorBidi"/>
      <w:color w:val="595959" w:themeColor="text1" w:themeTint="A6"/>
      <w14:textFill>
        <w14:solidFill>
          <w14:schemeClr w14:val="tx1">
            <w14:lumMod w14:val="65000"/>
            <w14:lumOff w14:val="35000"/>
          </w14:schemeClr>
        </w14:solidFill>
      </w14:textFill>
    </w:rPr>
  </w:style>
  <w:style w:type="paragraph" w:styleId="8">
    <w:name w:val="heading 7"/>
    <w:basedOn w:val="1"/>
    <w:next w:val="1"/>
    <w:link w:val="27"/>
    <w:semiHidden/>
    <w:unhideWhenUsed/>
    <w:qFormat/>
    <w:uiPriority w:val="9"/>
    <w:pPr>
      <w:keepNext/>
      <w:keepLines/>
      <w:spacing w:before="40" w:after="0"/>
      <w:ind w:left="100" w:leftChars="100"/>
      <w:outlineLvl w:val="6"/>
    </w:pPr>
    <w:rPr>
      <w:rFonts w:eastAsiaTheme="majorEastAsia" w:cstheme="majorBidi"/>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28"/>
    <w:semiHidden/>
    <w:unhideWhenUsed/>
    <w:qFormat/>
    <w:uiPriority w:val="9"/>
    <w:pPr>
      <w:keepNext/>
      <w:keepLines/>
      <w:spacing w:before="40" w:after="0"/>
      <w:ind w:left="200" w:leftChars="200"/>
      <w:outlineLvl w:val="7"/>
    </w:pPr>
    <w:rPr>
      <w:rFonts w:eastAsiaTheme="majorEastAsia" w:cstheme="majorBidi"/>
      <w:color w:val="262626" w:themeColor="text1" w:themeTint="D9"/>
      <w14:textFill>
        <w14:solidFill>
          <w14:schemeClr w14:val="tx1">
            <w14:lumMod w14:val="85000"/>
            <w14:lumOff w14:val="15000"/>
          </w14:schemeClr>
        </w14:solidFill>
      </w14:textFill>
    </w:rPr>
  </w:style>
  <w:style w:type="paragraph" w:styleId="10">
    <w:name w:val="heading 9"/>
    <w:basedOn w:val="1"/>
    <w:next w:val="1"/>
    <w:link w:val="29"/>
    <w:semiHidden/>
    <w:unhideWhenUsed/>
    <w:qFormat/>
    <w:uiPriority w:val="9"/>
    <w:pPr>
      <w:keepNext/>
      <w:keepLines/>
      <w:spacing w:before="40" w:after="0"/>
      <w:ind w:left="300" w:leftChars="300"/>
      <w:outlineLvl w:val="8"/>
    </w:pPr>
    <w:rPr>
      <w:rFonts w:eastAsiaTheme="majorEastAsia" w:cstheme="majorBidi"/>
      <w:color w:val="262626" w:themeColor="text1" w:themeTint="D9"/>
      <w14:textFill>
        <w14:solidFill>
          <w14:schemeClr w14:val="tx1">
            <w14:lumMod w14:val="85000"/>
            <w14:lumOff w14:val="15000"/>
          </w14:schemeClr>
        </w14:solidFill>
      </w14:textFill>
    </w:rPr>
  </w:style>
  <w:style w:type="character" w:default="1" w:styleId="19">
    <w:name w:val="Default Paragraph Font"/>
    <w:semiHidden/>
    <w:unhideWhenUsed/>
    <w:uiPriority w:val="1"/>
  </w:style>
  <w:style w:type="table" w:default="1" w:styleId="18">
    <w:name w:val="Normal Table"/>
    <w:semiHidden/>
    <w:unhideWhenUsed/>
    <w:uiPriority w:val="99"/>
    <w:tblPr>
      <w:tblCellMar>
        <w:top w:w="0" w:type="dxa"/>
        <w:left w:w="108" w:type="dxa"/>
        <w:bottom w:w="0" w:type="dxa"/>
        <w:right w:w="108" w:type="dxa"/>
      </w:tblCellMar>
    </w:tblPr>
  </w:style>
  <w:style w:type="paragraph" w:styleId="11">
    <w:name w:val="annotation text"/>
    <w:basedOn w:val="1"/>
    <w:link w:val="42"/>
    <w:unhideWhenUsed/>
    <w:qFormat/>
    <w:uiPriority w:val="99"/>
  </w:style>
  <w:style w:type="paragraph" w:styleId="12">
    <w:name w:val="footer"/>
    <w:basedOn w:val="1"/>
    <w:link w:val="40"/>
    <w:unhideWhenUsed/>
    <w:qFormat/>
    <w:uiPriority w:val="99"/>
    <w:pPr>
      <w:tabs>
        <w:tab w:val="center" w:pos="4153"/>
        <w:tab w:val="right" w:pos="8306"/>
      </w:tabs>
      <w:snapToGrid w:val="0"/>
    </w:pPr>
    <w:rPr>
      <w:sz w:val="20"/>
      <w:szCs w:val="20"/>
    </w:rPr>
  </w:style>
  <w:style w:type="paragraph" w:styleId="13">
    <w:name w:val="header"/>
    <w:basedOn w:val="1"/>
    <w:link w:val="39"/>
    <w:unhideWhenUsed/>
    <w:qFormat/>
    <w:uiPriority w:val="99"/>
    <w:pPr>
      <w:tabs>
        <w:tab w:val="center" w:pos="4153"/>
        <w:tab w:val="right" w:pos="8306"/>
      </w:tabs>
      <w:snapToGrid w:val="0"/>
    </w:pPr>
    <w:rPr>
      <w:sz w:val="20"/>
      <w:szCs w:val="20"/>
    </w:rPr>
  </w:style>
  <w:style w:type="paragraph" w:styleId="14">
    <w:name w:val="Subtitle"/>
    <w:basedOn w:val="1"/>
    <w:next w:val="1"/>
    <w:link w:val="31"/>
    <w:qFormat/>
    <w:uiPriority w:val="11"/>
    <w:pPr>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5">
    <w:name w:val="Normal (Web)"/>
    <w:basedOn w:val="1"/>
    <w:semiHidden/>
    <w:unhideWhenUsed/>
    <w:qFormat/>
    <w:uiPriority w:val="99"/>
    <w:pPr>
      <w:widowControl/>
      <w:spacing w:before="100" w:beforeAutospacing="1" w:after="100" w:afterAutospacing="1" w:line="240" w:lineRule="auto"/>
    </w:pPr>
    <w:rPr>
      <w:rFonts w:ascii="PMingLiU" w:hAnsi="PMingLiU" w:eastAsia="PMingLiU" w:cs="PMingLiU"/>
      <w:kern w:val="0"/>
      <w14:ligatures w14:val="none"/>
    </w:rPr>
  </w:style>
  <w:style w:type="paragraph" w:styleId="16">
    <w:name w:val="Title"/>
    <w:basedOn w:val="1"/>
    <w:next w:val="1"/>
    <w:link w:val="30"/>
    <w:qFormat/>
    <w:uiPriority w:val="10"/>
    <w:pPr>
      <w:spacing w:after="80" w:line="240" w:lineRule="auto"/>
      <w:contextualSpacing/>
      <w:jc w:val="center"/>
    </w:pPr>
    <w:rPr>
      <w:rFonts w:asciiTheme="majorHAnsi" w:hAnsiTheme="majorHAnsi" w:eastAsiaTheme="majorEastAsia" w:cstheme="majorBidi"/>
      <w:spacing w:val="-10"/>
      <w:kern w:val="28"/>
      <w:sz w:val="56"/>
      <w:szCs w:val="56"/>
    </w:rPr>
  </w:style>
  <w:style w:type="paragraph" w:styleId="17">
    <w:name w:val="annotation subject"/>
    <w:basedOn w:val="11"/>
    <w:next w:val="11"/>
    <w:link w:val="43"/>
    <w:semiHidden/>
    <w:unhideWhenUsed/>
    <w:qFormat/>
    <w:uiPriority w:val="99"/>
    <w:rPr>
      <w:b/>
      <w:bCs/>
    </w:rPr>
  </w:style>
  <w:style w:type="character" w:styleId="20">
    <w:name w:val="annotation reference"/>
    <w:basedOn w:val="19"/>
    <w:semiHidden/>
    <w:unhideWhenUsed/>
    <w:uiPriority w:val="99"/>
    <w:rPr>
      <w:sz w:val="18"/>
      <w:szCs w:val="18"/>
    </w:rPr>
  </w:style>
  <w:style w:type="character" w:customStyle="1" w:styleId="21">
    <w:name w:val="標題 1 字元"/>
    <w:basedOn w:val="19"/>
    <w:link w:val="2"/>
    <w:qFormat/>
    <w:uiPriority w:val="9"/>
    <w:rPr>
      <w:rFonts w:asciiTheme="majorHAnsi" w:hAnsiTheme="majorHAnsi" w:eastAsiaTheme="majorEastAsia" w:cstheme="majorBidi"/>
      <w:color w:val="104862" w:themeColor="accent1" w:themeShade="BF"/>
      <w:sz w:val="48"/>
      <w:szCs w:val="48"/>
    </w:rPr>
  </w:style>
  <w:style w:type="character" w:customStyle="1" w:styleId="22">
    <w:name w:val="標題 2 字元"/>
    <w:basedOn w:val="19"/>
    <w:link w:val="3"/>
    <w:semiHidden/>
    <w:qFormat/>
    <w:uiPriority w:val="9"/>
    <w:rPr>
      <w:rFonts w:asciiTheme="majorHAnsi" w:hAnsiTheme="majorHAnsi" w:eastAsiaTheme="majorEastAsia" w:cstheme="majorBidi"/>
      <w:color w:val="104862" w:themeColor="accent1" w:themeShade="BF"/>
      <w:sz w:val="40"/>
      <w:szCs w:val="40"/>
    </w:rPr>
  </w:style>
  <w:style w:type="character" w:customStyle="1" w:styleId="23">
    <w:name w:val="標題 3 字元"/>
    <w:basedOn w:val="19"/>
    <w:link w:val="4"/>
    <w:semiHidden/>
    <w:qFormat/>
    <w:uiPriority w:val="9"/>
    <w:rPr>
      <w:rFonts w:eastAsiaTheme="majorEastAsia" w:cstheme="majorBidi"/>
      <w:color w:val="104862" w:themeColor="accent1" w:themeShade="BF"/>
      <w:sz w:val="32"/>
      <w:szCs w:val="32"/>
    </w:rPr>
  </w:style>
  <w:style w:type="character" w:customStyle="1" w:styleId="24">
    <w:name w:val="標題 4 字元"/>
    <w:basedOn w:val="19"/>
    <w:link w:val="5"/>
    <w:semiHidden/>
    <w:qFormat/>
    <w:uiPriority w:val="9"/>
    <w:rPr>
      <w:rFonts w:eastAsiaTheme="majorEastAsia" w:cstheme="majorBidi"/>
      <w:color w:val="104862" w:themeColor="accent1" w:themeShade="BF"/>
      <w:sz w:val="28"/>
      <w:szCs w:val="28"/>
    </w:rPr>
  </w:style>
  <w:style w:type="character" w:customStyle="1" w:styleId="25">
    <w:name w:val="標題 5 字元"/>
    <w:basedOn w:val="19"/>
    <w:link w:val="6"/>
    <w:semiHidden/>
    <w:qFormat/>
    <w:uiPriority w:val="9"/>
    <w:rPr>
      <w:rFonts w:eastAsiaTheme="majorEastAsia" w:cstheme="majorBidi"/>
      <w:color w:val="104862" w:themeColor="accent1" w:themeShade="BF"/>
    </w:rPr>
  </w:style>
  <w:style w:type="character" w:customStyle="1" w:styleId="26">
    <w:name w:val="標題 6 字元"/>
    <w:basedOn w:val="19"/>
    <w:link w:val="7"/>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7">
    <w:name w:val="標題 7 字元"/>
    <w:basedOn w:val="19"/>
    <w:link w:val="8"/>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8">
    <w:name w:val="標題 8 字元"/>
    <w:basedOn w:val="19"/>
    <w:link w:val="9"/>
    <w:semiHidden/>
    <w:uiPriority w:val="9"/>
    <w:rPr>
      <w:rFonts w:eastAsiaTheme="majorEastAsia" w:cstheme="majorBidi"/>
      <w:color w:val="262626" w:themeColor="text1" w:themeTint="D9"/>
      <w14:textFill>
        <w14:solidFill>
          <w14:schemeClr w14:val="tx1">
            <w14:lumMod w14:val="85000"/>
            <w14:lumOff w14:val="15000"/>
          </w14:schemeClr>
        </w14:solidFill>
      </w14:textFill>
    </w:rPr>
  </w:style>
  <w:style w:type="character" w:customStyle="1" w:styleId="29">
    <w:name w:val="標題 9 字元"/>
    <w:basedOn w:val="19"/>
    <w:link w:val="10"/>
    <w:semiHidden/>
    <w:qFormat/>
    <w:uiPriority w:val="9"/>
    <w:rPr>
      <w:rFonts w:eastAsiaTheme="majorEastAsia" w:cstheme="majorBidi"/>
      <w:color w:val="262626" w:themeColor="text1" w:themeTint="D9"/>
      <w14:textFill>
        <w14:solidFill>
          <w14:schemeClr w14:val="tx1">
            <w14:lumMod w14:val="85000"/>
            <w14:lumOff w14:val="15000"/>
          </w14:schemeClr>
        </w14:solidFill>
      </w14:textFill>
    </w:rPr>
  </w:style>
  <w:style w:type="character" w:customStyle="1" w:styleId="30">
    <w:name w:val="標題 字元"/>
    <w:basedOn w:val="19"/>
    <w:link w:val="16"/>
    <w:qFormat/>
    <w:uiPriority w:val="10"/>
    <w:rPr>
      <w:rFonts w:asciiTheme="majorHAnsi" w:hAnsiTheme="majorHAnsi" w:eastAsiaTheme="majorEastAsia" w:cstheme="majorBidi"/>
      <w:spacing w:val="-10"/>
      <w:kern w:val="28"/>
      <w:sz w:val="56"/>
      <w:szCs w:val="56"/>
    </w:rPr>
  </w:style>
  <w:style w:type="character" w:customStyle="1" w:styleId="31">
    <w:name w:val="副標題 字元"/>
    <w:basedOn w:val="19"/>
    <w:link w:val="14"/>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32">
    <w:name w:val="Quote"/>
    <w:basedOn w:val="1"/>
    <w:next w:val="1"/>
    <w:link w:val="33"/>
    <w:qFormat/>
    <w:uiPriority w:val="29"/>
    <w:pPr>
      <w:spacing w:before="160"/>
      <w:jc w:val="center"/>
    </w:pPr>
    <w:rPr>
      <w:i/>
      <w:iCs/>
      <w:color w:val="404040" w:themeColor="text1" w:themeTint="BF"/>
      <w14:textFill>
        <w14:solidFill>
          <w14:schemeClr w14:val="tx1">
            <w14:lumMod w14:val="75000"/>
            <w14:lumOff w14:val="25000"/>
          </w14:schemeClr>
        </w14:solidFill>
      </w14:textFill>
    </w:rPr>
  </w:style>
  <w:style w:type="character" w:customStyle="1" w:styleId="33">
    <w:name w:val="引文 字元"/>
    <w:basedOn w:val="19"/>
    <w:link w:val="32"/>
    <w:qFormat/>
    <w:uiPriority w:val="29"/>
    <w:rPr>
      <w:i/>
      <w:iCs/>
      <w:color w:val="404040" w:themeColor="text1" w:themeTint="BF"/>
      <w14:textFill>
        <w14:solidFill>
          <w14:schemeClr w14:val="tx1">
            <w14:lumMod w14:val="75000"/>
            <w14:lumOff w14:val="25000"/>
          </w14:schemeClr>
        </w14:solidFill>
      </w14:textFill>
    </w:rPr>
  </w:style>
  <w:style w:type="paragraph" w:styleId="34">
    <w:name w:val="List Paragraph"/>
    <w:basedOn w:val="1"/>
    <w:qFormat/>
    <w:uiPriority w:val="34"/>
    <w:pPr>
      <w:ind w:left="720"/>
      <w:contextualSpacing/>
    </w:pPr>
  </w:style>
  <w:style w:type="character" w:customStyle="1" w:styleId="35">
    <w:name w:val="鮮明強調1"/>
    <w:basedOn w:val="19"/>
    <w:qFormat/>
    <w:uiPriority w:val="21"/>
    <w:rPr>
      <w:i/>
      <w:iCs/>
      <w:color w:val="104862" w:themeColor="accent1" w:themeShade="BF"/>
    </w:rPr>
  </w:style>
  <w:style w:type="paragraph" w:styleId="36">
    <w:name w:val="Intense Quote"/>
    <w:basedOn w:val="1"/>
    <w:next w:val="1"/>
    <w:link w:val="37"/>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104862" w:themeColor="accent1" w:themeShade="BF"/>
    </w:rPr>
  </w:style>
  <w:style w:type="character" w:customStyle="1" w:styleId="37">
    <w:name w:val="鮮明引文 字元"/>
    <w:basedOn w:val="19"/>
    <w:link w:val="36"/>
    <w:qFormat/>
    <w:uiPriority w:val="30"/>
    <w:rPr>
      <w:i/>
      <w:iCs/>
      <w:color w:val="104862" w:themeColor="accent1" w:themeShade="BF"/>
    </w:rPr>
  </w:style>
  <w:style w:type="character" w:customStyle="1" w:styleId="38">
    <w:name w:val="鮮明參考1"/>
    <w:basedOn w:val="19"/>
    <w:qFormat/>
    <w:uiPriority w:val="32"/>
    <w:rPr>
      <w:b/>
      <w:bCs/>
      <w:smallCaps/>
      <w:color w:val="104862" w:themeColor="accent1" w:themeShade="BF"/>
      <w:spacing w:val="5"/>
    </w:rPr>
  </w:style>
  <w:style w:type="character" w:customStyle="1" w:styleId="39">
    <w:name w:val="頁首 字元"/>
    <w:basedOn w:val="19"/>
    <w:link w:val="13"/>
    <w:qFormat/>
    <w:uiPriority w:val="99"/>
    <w:rPr>
      <w:sz w:val="20"/>
      <w:szCs w:val="20"/>
    </w:rPr>
  </w:style>
  <w:style w:type="character" w:customStyle="1" w:styleId="40">
    <w:name w:val="頁尾 字元"/>
    <w:basedOn w:val="19"/>
    <w:link w:val="12"/>
    <w:qFormat/>
    <w:uiPriority w:val="99"/>
    <w:rPr>
      <w:sz w:val="20"/>
      <w:szCs w:val="20"/>
    </w:rPr>
  </w:style>
  <w:style w:type="paragraph" w:customStyle="1" w:styleId="41">
    <w:name w:val="Revision"/>
    <w:hidden/>
    <w:unhideWhenUsed/>
    <w:qFormat/>
    <w:uiPriority w:val="99"/>
    <w:rPr>
      <w:rFonts w:asciiTheme="minorHAnsi" w:hAnsiTheme="minorHAnsi" w:eastAsiaTheme="minorEastAsia" w:cstheme="minorBidi"/>
      <w:kern w:val="2"/>
      <w:sz w:val="24"/>
      <w:szCs w:val="24"/>
      <w:lang w:val="en-US" w:eastAsia="zh-TW" w:bidi="ar-SA"/>
      <w14:ligatures w14:val="standardContextual"/>
    </w:rPr>
  </w:style>
  <w:style w:type="character" w:customStyle="1" w:styleId="42">
    <w:name w:val="註解文字 字元"/>
    <w:basedOn w:val="19"/>
    <w:link w:val="11"/>
    <w:qFormat/>
    <w:uiPriority w:val="99"/>
    <w:rPr>
      <w:kern w:val="2"/>
      <w:sz w:val="24"/>
      <w:szCs w:val="24"/>
      <w14:ligatures w14:val="standardContextual"/>
    </w:rPr>
  </w:style>
  <w:style w:type="character" w:customStyle="1" w:styleId="43">
    <w:name w:val="註解主旨 字元"/>
    <w:basedOn w:val="42"/>
    <w:link w:val="17"/>
    <w:semiHidden/>
    <w:qFormat/>
    <w:uiPriority w:val="99"/>
    <w:rPr>
      <w:b/>
      <w:bCs/>
      <w:kern w:val="2"/>
      <w:sz w:val="24"/>
      <w:szCs w:val="24"/>
      <w14:ligatures w14:val="standardContextual"/>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BBD889-147B-4D14-A1F0-43DA951650F2}">
  <ds:schemaRefs/>
</ds:datastoreItem>
</file>

<file path=docProps/app.xml><?xml version="1.0" encoding="utf-8"?>
<Properties xmlns="http://schemas.openxmlformats.org/officeDocument/2006/extended-properties" xmlns:vt="http://schemas.openxmlformats.org/officeDocument/2006/docPropsVTypes">
  <Template>Normal</Template>
  <Pages>4</Pages>
  <Words>265</Words>
  <Characters>1678</Characters>
  <Lines>18</Lines>
  <Paragraphs>5</Paragraphs>
  <TotalTime>0</TotalTime>
  <ScaleCrop>false</ScaleCrop>
  <LinksUpToDate>false</LinksUpToDate>
  <CharactersWithSpaces>1939</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2026-06-01T08:07:00Z</dcterms:created>
  <dc:creator>靜君 翁</dc:creator>
  <cp:lastModifiedBy>Oncology Research</cp:lastModifiedBy>
  <dcterms:modified xsi:type="dcterms:W3CDTF">2026-06-02T03:03:36Z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eyJoZGlkIjoiYzZkNzQ4ZWFiZmQ4NTRhOWRkZTk3YTMwMjlmMmZhYmUiLCJ1c2VySWQiOiI0NDYzNzMxNTMifQ==</vt:lpwstr>
  </property>
  <property fmtid="{D5CDD505-2E9C-101B-9397-08002B2CF9AE}" pid="3" name="KSOProductBuildVer">
    <vt:lpwstr>2052-12.1.0.26375</vt:lpwstr>
  </property>
  <property fmtid="{D5CDD505-2E9C-101B-9397-08002B2CF9AE}" pid="4" name="ICV">
    <vt:lpwstr>C0935FA3C31346669C628CDF2D92F09C_12</vt:lpwstr>
  </property>
</Properties>
</file>