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C7D4EE" w14:textId="77777777" w:rsidR="004E7533" w:rsidRDefault="00000000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Table S</w:t>
      </w:r>
      <w:proofErr w:type="gramStart"/>
      <w:r>
        <w:rPr>
          <w:rFonts w:ascii="Times New Roman" w:hAnsi="Times New Roman" w:cs="Times New Roman" w:hint="eastAsia"/>
          <w:b/>
          <w:bCs/>
          <w:sz w:val="24"/>
          <w:lang w:eastAsia="zh-CN"/>
        </w:rPr>
        <w:t>1:Patients</w:t>
      </w:r>
      <w:proofErr w:type="gramEnd"/>
      <w:r>
        <w:rPr>
          <w:rFonts w:ascii="Times New Roman" w:hAnsi="Times New Roman" w:cs="Times New Roman" w:hint="eastAsia"/>
          <w:b/>
          <w:bCs/>
          <w:sz w:val="24"/>
          <w:lang w:eastAsia="zh-CN"/>
        </w:rPr>
        <w:t xml:space="preserve"> for </w:t>
      </w:r>
      <w:r>
        <w:rPr>
          <w:rFonts w:ascii="Times New Roman" w:hAnsi="Times New Roman" w:cs="Times New Roman"/>
          <w:b/>
          <w:bCs/>
          <w:sz w:val="24"/>
          <w:lang w:eastAsia="zh-CN"/>
        </w:rPr>
        <w:t>multiplex immunofluorescence</w:t>
      </w:r>
      <w:r>
        <w:rPr>
          <w:rFonts w:ascii="Times New Roman" w:hAnsi="Times New Roman" w:cs="Times New Roman" w:hint="eastAsia"/>
          <w:b/>
          <w:bCs/>
          <w:sz w:val="24"/>
          <w:lang w:eastAsia="zh-CN"/>
        </w:rPr>
        <w:t xml:space="preserve"> (</w:t>
      </w:r>
      <w:proofErr w:type="spellStart"/>
      <w:r>
        <w:rPr>
          <w:rFonts w:ascii="Times New Roman" w:hAnsi="Times New Roman" w:cs="Times New Roman" w:hint="eastAsia"/>
          <w:b/>
          <w:bCs/>
          <w:sz w:val="24"/>
          <w:lang w:eastAsia="zh-CN"/>
        </w:rPr>
        <w:t>mIF</w:t>
      </w:r>
      <w:proofErr w:type="spellEnd"/>
      <w:r>
        <w:rPr>
          <w:rFonts w:ascii="Times New Roman" w:hAnsi="Times New Roman" w:cs="Times New Roman" w:hint="eastAsia"/>
          <w:b/>
          <w:bCs/>
          <w:sz w:val="24"/>
          <w:lang w:eastAsia="zh-CN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134"/>
        <w:gridCol w:w="567"/>
        <w:gridCol w:w="425"/>
        <w:gridCol w:w="993"/>
        <w:gridCol w:w="1108"/>
        <w:gridCol w:w="1239"/>
        <w:gridCol w:w="1151"/>
        <w:gridCol w:w="975"/>
      </w:tblGrid>
      <w:tr w:rsidR="004E7533" w14:paraId="5D94A1CE" w14:textId="77777777">
        <w:trPr>
          <w:trHeight w:val="270"/>
        </w:trPr>
        <w:tc>
          <w:tcPr>
            <w:tcW w:w="704" w:type="dxa"/>
            <w:noWrap/>
          </w:tcPr>
          <w:p w14:paraId="58690C3C" w14:textId="77777777" w:rsidR="004E7533" w:rsidRDefault="00000000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Case</w:t>
            </w:r>
          </w:p>
        </w:tc>
        <w:tc>
          <w:tcPr>
            <w:tcW w:w="1134" w:type="dxa"/>
            <w:noWrap/>
          </w:tcPr>
          <w:p w14:paraId="5107382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Inpatient No.</w:t>
            </w:r>
          </w:p>
        </w:tc>
        <w:tc>
          <w:tcPr>
            <w:tcW w:w="567" w:type="dxa"/>
            <w:noWrap/>
          </w:tcPr>
          <w:p w14:paraId="1D013E21" w14:textId="77777777" w:rsidR="004E7533" w:rsidRDefault="00000000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Sex</w:t>
            </w:r>
          </w:p>
        </w:tc>
        <w:tc>
          <w:tcPr>
            <w:tcW w:w="425" w:type="dxa"/>
            <w:noWrap/>
          </w:tcPr>
          <w:p w14:paraId="53B9404B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Age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Cs w:val="21"/>
              </w:rPr>
              <w:t>, year</w:t>
            </w:r>
          </w:p>
        </w:tc>
        <w:tc>
          <w:tcPr>
            <w:tcW w:w="993" w:type="dxa"/>
            <w:noWrap/>
          </w:tcPr>
          <w:p w14:paraId="04E461F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Diagnosis</w:t>
            </w:r>
          </w:p>
        </w:tc>
        <w:tc>
          <w:tcPr>
            <w:tcW w:w="1108" w:type="dxa"/>
            <w:noWrap/>
          </w:tcPr>
          <w:p w14:paraId="488E85E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Prostate volume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Cs w:val="21"/>
              </w:rPr>
              <w:t>,</w:t>
            </w:r>
            <w:r>
              <w:t xml:space="preserve"> 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 xml:space="preserve">cm 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×</w:t>
            </w:r>
            <w:proofErr w:type="spellStart"/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cm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cm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Cs w:val="21"/>
              </w:rPr>
              <w:t xml:space="preserve">  </w:t>
            </w:r>
          </w:p>
        </w:tc>
        <w:tc>
          <w:tcPr>
            <w:tcW w:w="1239" w:type="dxa"/>
            <w:noWrap/>
          </w:tcPr>
          <w:p w14:paraId="1EB4254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Clinical stage</w:t>
            </w:r>
          </w:p>
        </w:tc>
        <w:tc>
          <w:tcPr>
            <w:tcW w:w="1151" w:type="dxa"/>
            <w:noWrap/>
          </w:tcPr>
          <w:p w14:paraId="00078C6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Gleason score</w:t>
            </w:r>
          </w:p>
        </w:tc>
        <w:tc>
          <w:tcPr>
            <w:tcW w:w="975" w:type="dxa"/>
            <w:noWrap/>
          </w:tcPr>
          <w:p w14:paraId="3CA33E2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Initial PSA</w:t>
            </w:r>
          </w:p>
        </w:tc>
      </w:tr>
      <w:tr w:rsidR="004E7533" w14:paraId="578EC50E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2A104D6E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Case1</w:t>
            </w:r>
          </w:p>
        </w:tc>
        <w:tc>
          <w:tcPr>
            <w:tcW w:w="1134" w:type="dxa"/>
            <w:noWrap/>
            <w:vAlign w:val="bottom"/>
          </w:tcPr>
          <w:p w14:paraId="4E77368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17695377</w:t>
            </w:r>
          </w:p>
        </w:tc>
        <w:tc>
          <w:tcPr>
            <w:tcW w:w="567" w:type="dxa"/>
            <w:noWrap/>
            <w:vAlign w:val="bottom"/>
          </w:tcPr>
          <w:p w14:paraId="4E738A0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4183C04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73</w:t>
            </w:r>
          </w:p>
        </w:tc>
        <w:tc>
          <w:tcPr>
            <w:tcW w:w="993" w:type="dxa"/>
            <w:noWrap/>
            <w:vAlign w:val="bottom"/>
          </w:tcPr>
          <w:p w14:paraId="76736BE8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44FF8B8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1A97C72E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T2cN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M0</w:t>
            </w:r>
          </w:p>
        </w:tc>
        <w:tc>
          <w:tcPr>
            <w:tcW w:w="1151" w:type="dxa"/>
            <w:noWrap/>
            <w:vAlign w:val="bottom"/>
          </w:tcPr>
          <w:p w14:paraId="4BC0F81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4+3=7</w:t>
            </w:r>
          </w:p>
        </w:tc>
        <w:tc>
          <w:tcPr>
            <w:tcW w:w="975" w:type="dxa"/>
            <w:noWrap/>
            <w:vAlign w:val="bottom"/>
          </w:tcPr>
          <w:p w14:paraId="44FA760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71</w:t>
            </w:r>
          </w:p>
        </w:tc>
      </w:tr>
      <w:tr w:rsidR="004E7533" w14:paraId="5398FE29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1B2A941D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Case2</w:t>
            </w:r>
          </w:p>
        </w:tc>
        <w:tc>
          <w:tcPr>
            <w:tcW w:w="1134" w:type="dxa"/>
            <w:noWrap/>
            <w:vAlign w:val="bottom"/>
          </w:tcPr>
          <w:p w14:paraId="4B80D0D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17628722</w:t>
            </w:r>
          </w:p>
        </w:tc>
        <w:tc>
          <w:tcPr>
            <w:tcW w:w="567" w:type="dxa"/>
            <w:noWrap/>
            <w:vAlign w:val="bottom"/>
          </w:tcPr>
          <w:p w14:paraId="27D8735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35CDA30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73</w:t>
            </w:r>
          </w:p>
        </w:tc>
        <w:tc>
          <w:tcPr>
            <w:tcW w:w="993" w:type="dxa"/>
            <w:noWrap/>
            <w:vAlign w:val="bottom"/>
          </w:tcPr>
          <w:p w14:paraId="2CF415E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2AF8973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1DCD9BC1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T2aN0M0</w:t>
            </w:r>
          </w:p>
        </w:tc>
        <w:tc>
          <w:tcPr>
            <w:tcW w:w="1151" w:type="dxa"/>
            <w:noWrap/>
            <w:vAlign w:val="bottom"/>
          </w:tcPr>
          <w:p w14:paraId="73DD0A3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4+4=8</w:t>
            </w:r>
          </w:p>
        </w:tc>
        <w:tc>
          <w:tcPr>
            <w:tcW w:w="975" w:type="dxa"/>
            <w:noWrap/>
            <w:vAlign w:val="bottom"/>
          </w:tcPr>
          <w:p w14:paraId="01DE98C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88</w:t>
            </w:r>
          </w:p>
        </w:tc>
      </w:tr>
      <w:tr w:rsidR="004E7533" w14:paraId="243FF34C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2F5B573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Case3</w:t>
            </w:r>
          </w:p>
        </w:tc>
        <w:tc>
          <w:tcPr>
            <w:tcW w:w="1134" w:type="dxa"/>
            <w:noWrap/>
            <w:vAlign w:val="bottom"/>
          </w:tcPr>
          <w:p w14:paraId="5E2EC90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17690882</w:t>
            </w:r>
          </w:p>
        </w:tc>
        <w:tc>
          <w:tcPr>
            <w:tcW w:w="567" w:type="dxa"/>
            <w:noWrap/>
            <w:vAlign w:val="bottom"/>
          </w:tcPr>
          <w:p w14:paraId="43E2F3C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74AED1C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993" w:type="dxa"/>
            <w:noWrap/>
            <w:vAlign w:val="bottom"/>
          </w:tcPr>
          <w:p w14:paraId="71B30A9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7CA97B4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4×5×6</w:t>
            </w:r>
          </w:p>
        </w:tc>
        <w:tc>
          <w:tcPr>
            <w:tcW w:w="1239" w:type="dxa"/>
            <w:noWrap/>
            <w:vAlign w:val="bottom"/>
          </w:tcPr>
          <w:p w14:paraId="0CEC00FB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T2bN0M0</w:t>
            </w:r>
          </w:p>
        </w:tc>
        <w:tc>
          <w:tcPr>
            <w:tcW w:w="1151" w:type="dxa"/>
            <w:noWrap/>
            <w:vAlign w:val="bottom"/>
          </w:tcPr>
          <w:p w14:paraId="54EE661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3+4=7</w:t>
            </w:r>
          </w:p>
        </w:tc>
        <w:tc>
          <w:tcPr>
            <w:tcW w:w="975" w:type="dxa"/>
            <w:noWrap/>
            <w:vAlign w:val="bottom"/>
          </w:tcPr>
          <w:p w14:paraId="58CF501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35</w:t>
            </w:r>
          </w:p>
        </w:tc>
      </w:tr>
      <w:tr w:rsidR="004E7533" w14:paraId="40100D06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446570E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Case4</w:t>
            </w:r>
          </w:p>
        </w:tc>
        <w:tc>
          <w:tcPr>
            <w:tcW w:w="1134" w:type="dxa"/>
            <w:noWrap/>
            <w:vAlign w:val="bottom"/>
          </w:tcPr>
          <w:p w14:paraId="02A8C33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17700507</w:t>
            </w:r>
          </w:p>
        </w:tc>
        <w:tc>
          <w:tcPr>
            <w:tcW w:w="567" w:type="dxa"/>
            <w:noWrap/>
            <w:vAlign w:val="bottom"/>
          </w:tcPr>
          <w:p w14:paraId="1F557CB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2D9DE4EE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72</w:t>
            </w:r>
          </w:p>
        </w:tc>
        <w:tc>
          <w:tcPr>
            <w:tcW w:w="993" w:type="dxa"/>
            <w:noWrap/>
            <w:vAlign w:val="bottom"/>
          </w:tcPr>
          <w:p w14:paraId="1D643948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28F6493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 xml:space="preserve">3×4×5 </w:t>
            </w:r>
          </w:p>
        </w:tc>
        <w:tc>
          <w:tcPr>
            <w:tcW w:w="1239" w:type="dxa"/>
            <w:noWrap/>
            <w:vAlign w:val="bottom"/>
          </w:tcPr>
          <w:p w14:paraId="0B627B9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T2cN0M0</w:t>
            </w:r>
          </w:p>
        </w:tc>
        <w:tc>
          <w:tcPr>
            <w:tcW w:w="1151" w:type="dxa"/>
            <w:noWrap/>
            <w:vAlign w:val="bottom"/>
          </w:tcPr>
          <w:p w14:paraId="5C2C6928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4+5=9</w:t>
            </w:r>
          </w:p>
        </w:tc>
        <w:tc>
          <w:tcPr>
            <w:tcW w:w="975" w:type="dxa"/>
            <w:noWrap/>
            <w:vAlign w:val="bottom"/>
          </w:tcPr>
          <w:p w14:paraId="2ECB15C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15</w:t>
            </w:r>
          </w:p>
        </w:tc>
      </w:tr>
      <w:tr w:rsidR="004E7533" w14:paraId="6BFE9C82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42D077D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Case5</w:t>
            </w:r>
          </w:p>
        </w:tc>
        <w:tc>
          <w:tcPr>
            <w:tcW w:w="1134" w:type="dxa"/>
            <w:noWrap/>
            <w:vAlign w:val="bottom"/>
          </w:tcPr>
          <w:p w14:paraId="5291888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17688550</w:t>
            </w:r>
          </w:p>
        </w:tc>
        <w:tc>
          <w:tcPr>
            <w:tcW w:w="567" w:type="dxa"/>
            <w:noWrap/>
            <w:vAlign w:val="bottom"/>
          </w:tcPr>
          <w:p w14:paraId="3430A48D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49257D7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63</w:t>
            </w:r>
          </w:p>
        </w:tc>
        <w:tc>
          <w:tcPr>
            <w:tcW w:w="993" w:type="dxa"/>
            <w:noWrap/>
            <w:vAlign w:val="bottom"/>
          </w:tcPr>
          <w:p w14:paraId="3E4AA8E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513D7C21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3ECFE743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T2aN0M0</w:t>
            </w:r>
          </w:p>
        </w:tc>
        <w:tc>
          <w:tcPr>
            <w:tcW w:w="1151" w:type="dxa"/>
            <w:noWrap/>
            <w:vAlign w:val="bottom"/>
          </w:tcPr>
          <w:p w14:paraId="48E7D70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3+3=6</w:t>
            </w:r>
          </w:p>
        </w:tc>
        <w:tc>
          <w:tcPr>
            <w:tcW w:w="975" w:type="dxa"/>
            <w:noWrap/>
            <w:vAlign w:val="bottom"/>
          </w:tcPr>
          <w:p w14:paraId="0131BBC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7.3</w:t>
            </w:r>
          </w:p>
        </w:tc>
      </w:tr>
      <w:tr w:rsidR="004E7533" w14:paraId="007D1CDB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21C71CCB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Case6</w:t>
            </w:r>
          </w:p>
        </w:tc>
        <w:tc>
          <w:tcPr>
            <w:tcW w:w="1134" w:type="dxa"/>
            <w:noWrap/>
            <w:vAlign w:val="bottom"/>
          </w:tcPr>
          <w:p w14:paraId="6EA8569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17700455</w:t>
            </w:r>
          </w:p>
        </w:tc>
        <w:tc>
          <w:tcPr>
            <w:tcW w:w="567" w:type="dxa"/>
            <w:noWrap/>
            <w:vAlign w:val="bottom"/>
          </w:tcPr>
          <w:p w14:paraId="4B0F87B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2DD6912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73</w:t>
            </w:r>
          </w:p>
        </w:tc>
        <w:tc>
          <w:tcPr>
            <w:tcW w:w="993" w:type="dxa"/>
            <w:noWrap/>
            <w:vAlign w:val="bottom"/>
          </w:tcPr>
          <w:p w14:paraId="1B8B9A4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55AA5B1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0375CEF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T2bN0M0</w:t>
            </w:r>
          </w:p>
        </w:tc>
        <w:tc>
          <w:tcPr>
            <w:tcW w:w="1151" w:type="dxa"/>
            <w:noWrap/>
            <w:vAlign w:val="bottom"/>
          </w:tcPr>
          <w:p w14:paraId="5991770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3+3=6</w:t>
            </w:r>
          </w:p>
        </w:tc>
        <w:tc>
          <w:tcPr>
            <w:tcW w:w="975" w:type="dxa"/>
            <w:noWrap/>
            <w:vAlign w:val="bottom"/>
          </w:tcPr>
          <w:p w14:paraId="3C90223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35</w:t>
            </w:r>
          </w:p>
        </w:tc>
      </w:tr>
      <w:tr w:rsidR="004E7533" w14:paraId="135C3B9D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5AC8A99D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Case7</w:t>
            </w:r>
          </w:p>
        </w:tc>
        <w:tc>
          <w:tcPr>
            <w:tcW w:w="1134" w:type="dxa"/>
            <w:noWrap/>
            <w:vAlign w:val="bottom"/>
          </w:tcPr>
          <w:p w14:paraId="5F1FE4B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17714604</w:t>
            </w:r>
          </w:p>
        </w:tc>
        <w:tc>
          <w:tcPr>
            <w:tcW w:w="567" w:type="dxa"/>
            <w:noWrap/>
            <w:vAlign w:val="bottom"/>
          </w:tcPr>
          <w:p w14:paraId="65974A3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780780E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71</w:t>
            </w:r>
          </w:p>
        </w:tc>
        <w:tc>
          <w:tcPr>
            <w:tcW w:w="993" w:type="dxa"/>
            <w:noWrap/>
            <w:vAlign w:val="bottom"/>
          </w:tcPr>
          <w:p w14:paraId="52E975C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615885B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1C0DEA2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T2bN0M0</w:t>
            </w:r>
          </w:p>
        </w:tc>
        <w:tc>
          <w:tcPr>
            <w:tcW w:w="1151" w:type="dxa"/>
            <w:noWrap/>
            <w:vAlign w:val="bottom"/>
          </w:tcPr>
          <w:p w14:paraId="5CDD015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4+4=8</w:t>
            </w:r>
          </w:p>
        </w:tc>
        <w:tc>
          <w:tcPr>
            <w:tcW w:w="975" w:type="dxa"/>
            <w:noWrap/>
            <w:vAlign w:val="bottom"/>
          </w:tcPr>
          <w:p w14:paraId="2588FCF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20</w:t>
            </w:r>
          </w:p>
        </w:tc>
      </w:tr>
      <w:tr w:rsidR="004E7533" w14:paraId="6ED2572B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5467A0E5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Case8</w:t>
            </w:r>
          </w:p>
        </w:tc>
        <w:tc>
          <w:tcPr>
            <w:tcW w:w="1134" w:type="dxa"/>
            <w:noWrap/>
            <w:vAlign w:val="bottom"/>
          </w:tcPr>
          <w:p w14:paraId="26944723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17717113</w:t>
            </w:r>
          </w:p>
        </w:tc>
        <w:tc>
          <w:tcPr>
            <w:tcW w:w="567" w:type="dxa"/>
            <w:noWrap/>
            <w:vAlign w:val="bottom"/>
          </w:tcPr>
          <w:p w14:paraId="2179CA4E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5852DBD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75</w:t>
            </w:r>
          </w:p>
        </w:tc>
        <w:tc>
          <w:tcPr>
            <w:tcW w:w="993" w:type="dxa"/>
            <w:noWrap/>
            <w:vAlign w:val="bottom"/>
          </w:tcPr>
          <w:p w14:paraId="7DC8A83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15EA090B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4×5×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1239" w:type="dxa"/>
            <w:noWrap/>
            <w:vAlign w:val="bottom"/>
          </w:tcPr>
          <w:p w14:paraId="4E69B45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T2aN0M0</w:t>
            </w:r>
          </w:p>
        </w:tc>
        <w:tc>
          <w:tcPr>
            <w:tcW w:w="1151" w:type="dxa"/>
            <w:noWrap/>
            <w:vAlign w:val="bottom"/>
          </w:tcPr>
          <w:p w14:paraId="4838B3DE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4+3=7</w:t>
            </w:r>
          </w:p>
        </w:tc>
        <w:tc>
          <w:tcPr>
            <w:tcW w:w="975" w:type="dxa"/>
            <w:noWrap/>
            <w:vAlign w:val="bottom"/>
          </w:tcPr>
          <w:p w14:paraId="425916F4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10.7</w:t>
            </w:r>
          </w:p>
        </w:tc>
      </w:tr>
      <w:tr w:rsidR="004E7533" w14:paraId="392C7BAA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1667063C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Case9</w:t>
            </w:r>
          </w:p>
        </w:tc>
        <w:tc>
          <w:tcPr>
            <w:tcW w:w="1134" w:type="dxa"/>
            <w:noWrap/>
            <w:vAlign w:val="bottom"/>
          </w:tcPr>
          <w:p w14:paraId="0966D7C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17752687</w:t>
            </w:r>
          </w:p>
        </w:tc>
        <w:tc>
          <w:tcPr>
            <w:tcW w:w="567" w:type="dxa"/>
            <w:noWrap/>
            <w:vAlign w:val="bottom"/>
          </w:tcPr>
          <w:p w14:paraId="4970DF0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0A292BC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68</w:t>
            </w:r>
          </w:p>
        </w:tc>
        <w:tc>
          <w:tcPr>
            <w:tcW w:w="993" w:type="dxa"/>
            <w:noWrap/>
            <w:vAlign w:val="bottom"/>
          </w:tcPr>
          <w:p w14:paraId="6880F3B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36119FF3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5D31EE2A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T2cN0M0</w:t>
            </w:r>
          </w:p>
        </w:tc>
        <w:tc>
          <w:tcPr>
            <w:tcW w:w="1151" w:type="dxa"/>
            <w:noWrap/>
            <w:vAlign w:val="bottom"/>
          </w:tcPr>
          <w:p w14:paraId="5F8AA6A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5+4=9</w:t>
            </w:r>
          </w:p>
        </w:tc>
        <w:tc>
          <w:tcPr>
            <w:tcW w:w="975" w:type="dxa"/>
            <w:noWrap/>
            <w:vAlign w:val="bottom"/>
          </w:tcPr>
          <w:p w14:paraId="65278BD6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22</w:t>
            </w:r>
          </w:p>
        </w:tc>
      </w:tr>
      <w:tr w:rsidR="004E7533" w14:paraId="79496358" w14:textId="77777777">
        <w:trPr>
          <w:trHeight w:val="270"/>
        </w:trPr>
        <w:tc>
          <w:tcPr>
            <w:tcW w:w="704" w:type="dxa"/>
            <w:noWrap/>
            <w:vAlign w:val="bottom"/>
          </w:tcPr>
          <w:p w14:paraId="7A910A5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Case10</w:t>
            </w:r>
          </w:p>
        </w:tc>
        <w:tc>
          <w:tcPr>
            <w:tcW w:w="1134" w:type="dxa"/>
            <w:noWrap/>
            <w:vAlign w:val="bottom"/>
          </w:tcPr>
          <w:p w14:paraId="29458BEF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17755229</w:t>
            </w:r>
          </w:p>
        </w:tc>
        <w:tc>
          <w:tcPr>
            <w:tcW w:w="567" w:type="dxa"/>
            <w:noWrap/>
            <w:vAlign w:val="bottom"/>
          </w:tcPr>
          <w:p w14:paraId="6C1626D0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Male</w:t>
            </w:r>
          </w:p>
        </w:tc>
        <w:tc>
          <w:tcPr>
            <w:tcW w:w="425" w:type="dxa"/>
            <w:noWrap/>
            <w:vAlign w:val="bottom"/>
          </w:tcPr>
          <w:p w14:paraId="28DBF559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70</w:t>
            </w:r>
          </w:p>
        </w:tc>
        <w:tc>
          <w:tcPr>
            <w:tcW w:w="993" w:type="dxa"/>
            <w:noWrap/>
            <w:vAlign w:val="bottom"/>
          </w:tcPr>
          <w:p w14:paraId="19600D82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Prostate cancer</w:t>
            </w:r>
          </w:p>
        </w:tc>
        <w:tc>
          <w:tcPr>
            <w:tcW w:w="1108" w:type="dxa"/>
            <w:noWrap/>
            <w:vAlign w:val="bottom"/>
          </w:tcPr>
          <w:p w14:paraId="14F2F438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3×4×5</w:t>
            </w:r>
          </w:p>
        </w:tc>
        <w:tc>
          <w:tcPr>
            <w:tcW w:w="1239" w:type="dxa"/>
            <w:noWrap/>
            <w:vAlign w:val="bottom"/>
          </w:tcPr>
          <w:p w14:paraId="478FC077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T2cN0M0</w:t>
            </w:r>
          </w:p>
        </w:tc>
        <w:tc>
          <w:tcPr>
            <w:tcW w:w="1151" w:type="dxa"/>
            <w:noWrap/>
            <w:vAlign w:val="bottom"/>
          </w:tcPr>
          <w:p w14:paraId="70D770F1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3+4=7</w:t>
            </w:r>
          </w:p>
        </w:tc>
        <w:tc>
          <w:tcPr>
            <w:tcW w:w="975" w:type="dxa"/>
            <w:noWrap/>
            <w:vAlign w:val="bottom"/>
          </w:tcPr>
          <w:p w14:paraId="1414B3FB" w14:textId="77777777" w:rsidR="004E7533" w:rsidRDefault="0000000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48</w:t>
            </w:r>
          </w:p>
        </w:tc>
      </w:tr>
    </w:tbl>
    <w:p w14:paraId="29F572E4" w14:textId="77777777" w:rsidR="004E7533" w:rsidRDefault="004E7533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  <w:lang w:eastAsia="zh-CN"/>
        </w:rPr>
      </w:pPr>
    </w:p>
    <w:p w14:paraId="27C8096B" w14:textId="77777777" w:rsidR="004E7533" w:rsidRDefault="004E7533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  <w:lang w:eastAsia="zh-CN"/>
        </w:rPr>
      </w:pPr>
    </w:p>
    <w:p w14:paraId="70FD8E4C" w14:textId="77777777" w:rsidR="004E7533" w:rsidRDefault="00000000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  <w:lang w:eastAsia="zh-CN"/>
        </w:rPr>
      </w:pPr>
      <w:r>
        <w:rPr>
          <w:rFonts w:ascii="Times New Roman" w:hAnsi="Times New Roman" w:cs="Times New Roman"/>
          <w:b/>
          <w:bCs/>
          <w:sz w:val="24"/>
        </w:rPr>
        <w:t>Table S</w:t>
      </w:r>
      <w:r>
        <w:rPr>
          <w:rFonts w:ascii="Times New Roman" w:hAnsi="Times New Roman" w:cs="Times New Roman" w:hint="eastAsia"/>
          <w:b/>
          <w:bCs/>
          <w:sz w:val="24"/>
          <w:lang w:eastAsia="zh-CN"/>
        </w:rPr>
        <w:t>2</w:t>
      </w:r>
      <w:r>
        <w:rPr>
          <w:rFonts w:ascii="Times New Roman" w:hAnsi="Times New Roman" w:cs="Times New Roman"/>
          <w:b/>
          <w:bCs/>
          <w:sz w:val="24"/>
        </w:rPr>
        <w:t xml:space="preserve">: Primers used for </w:t>
      </w:r>
      <w:r>
        <w:rPr>
          <w:rFonts w:ascii="Times New Roman" w:hAnsi="Times New Roman" w:cs="Times New Roman" w:hint="eastAsia"/>
          <w:b/>
          <w:bCs/>
          <w:sz w:val="24"/>
        </w:rPr>
        <w:t>Reverse Transcription quantitative PCR (RT-qPCR)</w:t>
      </w:r>
      <w:r>
        <w:rPr>
          <w:rFonts w:ascii="Times New Roman" w:hAnsi="Times New Roman" w:cs="Times New Roman" w:hint="eastAsia"/>
          <w:b/>
          <w:bCs/>
          <w:sz w:val="24"/>
          <w:lang w:eastAsia="zh-CN"/>
        </w:rPr>
        <w:t xml:space="preserve"> </w:t>
      </w:r>
    </w:p>
    <w:tbl>
      <w:tblPr>
        <w:tblStyle w:val="12"/>
        <w:tblW w:w="8254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266"/>
        <w:gridCol w:w="1309"/>
        <w:gridCol w:w="4679"/>
      </w:tblGrid>
      <w:tr w:rsidR="004E7533" w14:paraId="46034DC7" w14:textId="77777777">
        <w:trPr>
          <w:trHeight w:val="529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48E4D5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7F9685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Direction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BE4FAB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Sequence 5’-3’</w:t>
            </w:r>
          </w:p>
        </w:tc>
      </w:tr>
      <w:tr w:rsidR="004E7533" w14:paraId="10F37928" w14:textId="77777777">
        <w:trPr>
          <w:trHeight w:val="529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</w:tcBorders>
            <w:vAlign w:val="center"/>
          </w:tcPr>
          <w:p w14:paraId="07CBB266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HAVCR2 (TIM3)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C87A422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AB08537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CTGCTGCTACTACTTACAAGGTC</w:t>
            </w:r>
          </w:p>
        </w:tc>
      </w:tr>
      <w:tr w:rsidR="004E7533" w14:paraId="3E70C696" w14:textId="77777777">
        <w:trPr>
          <w:trHeight w:val="517"/>
          <w:jc w:val="center"/>
        </w:trPr>
        <w:tc>
          <w:tcPr>
            <w:tcW w:w="0" w:type="auto"/>
            <w:vMerge/>
            <w:vAlign w:val="center"/>
          </w:tcPr>
          <w:p w14:paraId="677BB5C4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FF90FE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60E4A3E7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GCAGGGCAGATAGGCATTCT</w:t>
            </w:r>
          </w:p>
        </w:tc>
      </w:tr>
      <w:tr w:rsidR="004E7533" w14:paraId="15AE906D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077F3107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LGALS9</w:t>
            </w:r>
          </w:p>
        </w:tc>
        <w:tc>
          <w:tcPr>
            <w:tcW w:w="0" w:type="auto"/>
            <w:vAlign w:val="center"/>
          </w:tcPr>
          <w:p w14:paraId="3588866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5199D5DE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TTACTGGACCAATCCAAGGAGG</w:t>
            </w:r>
          </w:p>
        </w:tc>
      </w:tr>
      <w:tr w:rsidR="004E7533" w14:paraId="4933D024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64E752DA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9626A50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6F952ED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AGCTGTTCTGAAAGTTCACCAC</w:t>
            </w:r>
          </w:p>
        </w:tc>
      </w:tr>
      <w:tr w:rsidR="004E7533" w14:paraId="471E988D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63C4D8A8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MRC1 (CD206)</w:t>
            </w:r>
          </w:p>
        </w:tc>
        <w:tc>
          <w:tcPr>
            <w:tcW w:w="0" w:type="auto"/>
            <w:vAlign w:val="center"/>
          </w:tcPr>
          <w:p w14:paraId="11B88E3C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7035482B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TCCGGGTGCTGTTCTCCTA</w:t>
            </w:r>
          </w:p>
        </w:tc>
      </w:tr>
      <w:tr w:rsidR="004E7533" w14:paraId="7474A12F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7BCF27AB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531D224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6915629A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CCAGTCTGTTTTTGATGGCACT</w:t>
            </w:r>
          </w:p>
        </w:tc>
      </w:tr>
      <w:tr w:rsidR="004E7533" w14:paraId="073A6923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395886DB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ARG1</w:t>
            </w:r>
          </w:p>
        </w:tc>
        <w:tc>
          <w:tcPr>
            <w:tcW w:w="0" w:type="auto"/>
            <w:vAlign w:val="center"/>
          </w:tcPr>
          <w:p w14:paraId="143A3FE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19B31BB3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GTGGAAACTTGCATGGACAAC</w:t>
            </w:r>
          </w:p>
        </w:tc>
      </w:tr>
      <w:tr w:rsidR="004E7533" w14:paraId="7542BA2E" w14:textId="77777777">
        <w:trPr>
          <w:trHeight w:val="517"/>
          <w:jc w:val="center"/>
        </w:trPr>
        <w:tc>
          <w:tcPr>
            <w:tcW w:w="0" w:type="auto"/>
            <w:vMerge/>
            <w:vAlign w:val="center"/>
          </w:tcPr>
          <w:p w14:paraId="66E025A6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40114B83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5C7E52FE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AATCCTGGCACATCGGGAATC</w:t>
            </w:r>
          </w:p>
        </w:tc>
      </w:tr>
      <w:tr w:rsidR="004E7533" w14:paraId="507280DE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1BED63BC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CXCR4</w:t>
            </w:r>
          </w:p>
        </w:tc>
        <w:tc>
          <w:tcPr>
            <w:tcW w:w="0" w:type="auto"/>
            <w:vAlign w:val="center"/>
          </w:tcPr>
          <w:p w14:paraId="7D17E1DC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557DA6B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ACTACACCGAGGAAATGGGCT</w:t>
            </w:r>
          </w:p>
        </w:tc>
      </w:tr>
      <w:tr w:rsidR="004E7533" w14:paraId="7356245E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53C6A72E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7086416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0CECCBE1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CCCACAATGCCAGTTAAGAAGA</w:t>
            </w:r>
          </w:p>
        </w:tc>
      </w:tr>
      <w:tr w:rsidR="004E7533" w14:paraId="79604D0F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4ABE1BB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ITGB1</w:t>
            </w:r>
          </w:p>
        </w:tc>
        <w:tc>
          <w:tcPr>
            <w:tcW w:w="0" w:type="auto"/>
            <w:vAlign w:val="center"/>
          </w:tcPr>
          <w:p w14:paraId="7A3B0995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10571F81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CCTACTTCTGCACGATGTGATG</w:t>
            </w:r>
          </w:p>
        </w:tc>
      </w:tr>
      <w:tr w:rsidR="004E7533" w14:paraId="3B5E74F9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7E79374D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B4B72BF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687DC0E8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CCTTTGCTACGGTTGGTTACATT</w:t>
            </w:r>
          </w:p>
        </w:tc>
      </w:tr>
      <w:tr w:rsidR="004E7533" w14:paraId="4BE67C7F" w14:textId="77777777">
        <w:trPr>
          <w:trHeight w:val="517"/>
          <w:jc w:val="center"/>
        </w:trPr>
        <w:tc>
          <w:tcPr>
            <w:tcW w:w="0" w:type="auto"/>
            <w:vMerge w:val="restart"/>
            <w:vAlign w:val="center"/>
          </w:tcPr>
          <w:p w14:paraId="31BA557E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IL10</w:t>
            </w:r>
          </w:p>
        </w:tc>
        <w:tc>
          <w:tcPr>
            <w:tcW w:w="0" w:type="auto"/>
            <w:vAlign w:val="center"/>
          </w:tcPr>
          <w:p w14:paraId="546E7EDD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62575861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GACTTTAAGGGTTACCTGGGTTG</w:t>
            </w:r>
          </w:p>
        </w:tc>
      </w:tr>
      <w:tr w:rsidR="004E7533" w14:paraId="1EC0ECC0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6442E642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5884ECF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09445D6E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TCACATGCGCCTTGATGTCTG</w:t>
            </w:r>
          </w:p>
        </w:tc>
      </w:tr>
      <w:tr w:rsidR="004E7533" w14:paraId="1BD0F493" w14:textId="77777777">
        <w:trPr>
          <w:trHeight w:val="529"/>
          <w:jc w:val="center"/>
        </w:trPr>
        <w:tc>
          <w:tcPr>
            <w:tcW w:w="0" w:type="auto"/>
            <w:vMerge w:val="restart"/>
            <w:vAlign w:val="center"/>
          </w:tcPr>
          <w:p w14:paraId="6A474688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lang w:eastAsia="zh-CN"/>
              </w:rPr>
              <w:t>GAPDH</w:t>
            </w:r>
          </w:p>
        </w:tc>
        <w:tc>
          <w:tcPr>
            <w:tcW w:w="0" w:type="auto"/>
            <w:vAlign w:val="center"/>
          </w:tcPr>
          <w:p w14:paraId="4B69C5DE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Forward</w:t>
            </w:r>
          </w:p>
        </w:tc>
        <w:tc>
          <w:tcPr>
            <w:tcW w:w="0" w:type="auto"/>
            <w:vAlign w:val="center"/>
          </w:tcPr>
          <w:p w14:paraId="33D8B628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GGAGCGAGATCCCTCCAAAAT</w:t>
            </w:r>
          </w:p>
        </w:tc>
      </w:tr>
      <w:tr w:rsidR="004E7533" w14:paraId="7B237E0B" w14:textId="77777777">
        <w:trPr>
          <w:trHeight w:val="529"/>
          <w:jc w:val="center"/>
        </w:trPr>
        <w:tc>
          <w:tcPr>
            <w:tcW w:w="0" w:type="auto"/>
            <w:vMerge/>
            <w:vAlign w:val="center"/>
          </w:tcPr>
          <w:p w14:paraId="3A436F4A" w14:textId="77777777" w:rsidR="004E7533" w:rsidRDefault="004E7533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48113316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Reverse</w:t>
            </w:r>
          </w:p>
        </w:tc>
        <w:tc>
          <w:tcPr>
            <w:tcW w:w="0" w:type="auto"/>
            <w:vAlign w:val="center"/>
          </w:tcPr>
          <w:p w14:paraId="54D143D1" w14:textId="77777777" w:rsidR="004E7533" w:rsidRDefault="00000000">
            <w:pPr>
              <w:pStyle w:val="11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GGCTGTTGTCATACTTCTCATGG</w:t>
            </w:r>
          </w:p>
        </w:tc>
      </w:tr>
    </w:tbl>
    <w:p w14:paraId="1BA75306" w14:textId="77777777" w:rsidR="004E7533" w:rsidRDefault="004E753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0BC0081" w14:textId="77777777" w:rsidR="004E7533" w:rsidRDefault="004E7533">
      <w:pPr>
        <w:rPr>
          <w:b/>
          <w:bCs/>
        </w:rPr>
      </w:pPr>
    </w:p>
    <w:p w14:paraId="276C384C" w14:textId="77777777" w:rsidR="004E7533" w:rsidRDefault="004E7533">
      <w:pPr>
        <w:rPr>
          <w:b/>
          <w:bCs/>
        </w:rPr>
      </w:pPr>
    </w:p>
    <w:p w14:paraId="106F0A5D" w14:textId="77777777" w:rsidR="00D954F2" w:rsidRDefault="00000000" w:rsidP="00D954F2">
      <w:pPr>
        <w:pStyle w:val="11"/>
        <w:spacing w:line="360" w:lineRule="auto"/>
        <w:ind w:firstLineChars="200" w:firstLine="482"/>
        <w:jc w:val="both"/>
        <w:rPr>
          <w:rFonts w:ascii="Times New Roman" w:hAnsi="Times New Roman"/>
        </w:rPr>
      </w:pPr>
      <w:r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 </w:t>
      </w:r>
      <w:r w:rsidR="00D954F2">
        <w:rPr>
          <w:rFonts w:ascii="Times New Roman" w:hAnsi="Times New Roman" w:hint="eastAsia"/>
          <w:noProof/>
        </w:rPr>
        <w:drawing>
          <wp:inline distT="0" distB="0" distL="0" distR="0" wp14:anchorId="15527AED" wp14:editId="616493B3">
            <wp:extent cx="5274310" cy="5890260"/>
            <wp:effectExtent l="0" t="0" r="2540" b="0"/>
            <wp:docPr id="161195016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950168" name="图片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0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D55E6" w14:textId="77777777" w:rsidR="00D954F2" w:rsidRDefault="00D954F2" w:rsidP="00D954F2">
      <w:pPr>
        <w:pStyle w:val="11"/>
        <w:spacing w:line="360" w:lineRule="auto"/>
        <w:ind w:firstLineChars="200" w:firstLine="480"/>
        <w:jc w:val="both"/>
        <w:rPr>
          <w:rFonts w:ascii="Times New Roman" w:hAnsi="Times New Roman" w:cs="Times New Roman"/>
          <w:sz w:val="24"/>
          <w:lang w:eastAsia="zh-CN"/>
        </w:rPr>
      </w:pPr>
    </w:p>
    <w:p w14:paraId="4205104D" w14:textId="77777777" w:rsidR="00D954F2" w:rsidRDefault="00D954F2" w:rsidP="00D954F2">
      <w:pPr>
        <w:pStyle w:val="11"/>
        <w:spacing w:line="360" w:lineRule="auto"/>
        <w:jc w:val="both"/>
        <w:rPr>
          <w:rFonts w:ascii="Times New Roman" w:eastAsia="等线" w:hAnsi="Times New Roman" w:cs="Times New Roman"/>
          <w:sz w:val="24"/>
          <w:lang w:bidi="ar"/>
        </w:rPr>
      </w:pPr>
      <w:r>
        <w:rPr>
          <w:rFonts w:ascii="Times New Roman" w:eastAsia="等线" w:hAnsi="Times New Roman" w:cs="Times New Roman"/>
          <w:b/>
          <w:bCs/>
          <w:sz w:val="24"/>
          <w:lang w:bidi="ar"/>
        </w:rPr>
        <w:t xml:space="preserve">Figure S1. Independent validation of myeloid-dominant </w:t>
      </w:r>
      <w:r>
        <w:rPr>
          <w:rFonts w:ascii="Times New Roman" w:hAnsi="Times New Roman" w:cs="Times New Roman"/>
          <w:b/>
          <w:bCs/>
          <w:sz w:val="24"/>
        </w:rPr>
        <w:t>TIM3</w:t>
      </w:r>
      <w:r>
        <w:rPr>
          <w:rFonts w:ascii="Times New Roman" w:hAnsi="Times New Roman" w:cs="Times New Roman"/>
          <w:b/>
          <w:bCs/>
          <w:sz w:val="24"/>
          <w:lang w:eastAsia="zh-CN"/>
        </w:rPr>
        <w:t xml:space="preserve"> (HAVCR2)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 xml:space="preserve"> expression in an external single-cell RNA-seq cohort. (A)</w:t>
      </w:r>
      <w:r>
        <w:rPr>
          <w:rFonts w:ascii="Times New Roman" w:eastAsia="等线" w:hAnsi="Times New Roman" w:cs="Times New Roman"/>
          <w:sz w:val="24"/>
          <w:lang w:bidi="ar"/>
        </w:rPr>
        <w:t xml:space="preserve"> Uniform Manifold Approximation and Projection (UMAP) visualization of major cell lineages identified in the independent single-cell RNA-seq dataset (GSA accession: HRA000823), including T cells, tumor cells, endothelial cells, </w:t>
      </w:r>
      <w:r>
        <w:rPr>
          <w:rFonts w:ascii="Times New Roman" w:eastAsia="等线" w:hAnsi="Times New Roman" w:cs="Times New Roman" w:hint="eastAsia"/>
          <w:sz w:val="24"/>
          <w:lang w:eastAsia="zh-CN" w:bidi="ar"/>
        </w:rPr>
        <w:t>N</w:t>
      </w:r>
      <w:r>
        <w:rPr>
          <w:rFonts w:ascii="Times New Roman" w:eastAsia="等线" w:hAnsi="Times New Roman" w:cs="Times New Roman"/>
          <w:sz w:val="24"/>
          <w:lang w:bidi="ar"/>
        </w:rPr>
        <w:t xml:space="preserve">atural </w:t>
      </w:r>
      <w:r>
        <w:rPr>
          <w:rFonts w:ascii="Times New Roman" w:eastAsia="等线" w:hAnsi="Times New Roman" w:cs="Times New Roman" w:hint="eastAsia"/>
          <w:sz w:val="24"/>
          <w:lang w:eastAsia="zh-CN" w:bidi="ar"/>
        </w:rPr>
        <w:t>K</w:t>
      </w:r>
      <w:r>
        <w:rPr>
          <w:rFonts w:ascii="Times New Roman" w:eastAsia="等线" w:hAnsi="Times New Roman" w:cs="Times New Roman"/>
          <w:sz w:val="24"/>
          <w:lang w:bidi="ar"/>
        </w:rPr>
        <w:t xml:space="preserve">iller cells (NK cells), B cells, macrophages, epithelial cells, fibroblasts, and neutrophils. Each cluster is colored by annotated cell type. 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>(B)</w:t>
      </w:r>
      <w:r>
        <w:rPr>
          <w:rFonts w:ascii="Times New Roman" w:eastAsia="等线" w:hAnsi="Times New Roman" w:cs="Times New Roman"/>
          <w:sz w:val="24"/>
          <w:lang w:bidi="ar"/>
        </w:rPr>
        <w:t xml:space="preserve"> Dot plot showing the expression of canonical marker genes across annotated cell populations. Dot size represents the percentage of expressing </w:t>
      </w:r>
      <w:r>
        <w:rPr>
          <w:rFonts w:ascii="Times New Roman" w:eastAsia="等线" w:hAnsi="Times New Roman" w:cs="Times New Roman"/>
          <w:sz w:val="24"/>
          <w:lang w:bidi="ar"/>
        </w:rPr>
        <w:lastRenderedPageBreak/>
        <w:t xml:space="preserve">cells; color intensity reflects average expression level. 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>(C)</w:t>
      </w:r>
      <w:r>
        <w:rPr>
          <w:rFonts w:ascii="Times New Roman" w:eastAsia="等线" w:hAnsi="Times New Roman" w:cs="Times New Roman"/>
          <w:sz w:val="24"/>
          <w:lang w:bidi="ar"/>
        </w:rPr>
        <w:t xml:space="preserve"> UMAP feature plot displaying HAVCR2 expression across all cells, with color scale indicating expression level (0–4). 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>(D)</w:t>
      </w:r>
      <w:r>
        <w:rPr>
          <w:rFonts w:ascii="Times New Roman" w:eastAsia="等线" w:hAnsi="Times New Roman" w:cs="Times New Roman"/>
          <w:sz w:val="24"/>
          <w:lang w:bidi="ar"/>
        </w:rPr>
        <w:t xml:space="preserve"> Violin plot showing HAVCR2 expression levels across all annotated cell populations, confirming relative enrichment in the macrophage compartment compared with T/NK cells and other lineages.</w:t>
      </w:r>
    </w:p>
    <w:p w14:paraId="31F04C63" w14:textId="77777777" w:rsidR="00D954F2" w:rsidRDefault="00D954F2" w:rsidP="00D954F2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  <w:lang w:eastAsia="zh-CN"/>
        </w:rPr>
      </w:pPr>
      <w:r>
        <w:rPr>
          <w:rFonts w:ascii="Times New Roman" w:hAnsi="Times New Roman" w:cs="Times New Roman"/>
          <w:b/>
          <w:bCs/>
          <w:noProof/>
          <w:sz w:val="24"/>
          <w:lang w:eastAsia="zh-CN"/>
        </w:rPr>
        <w:drawing>
          <wp:inline distT="0" distB="0" distL="114300" distR="114300" wp14:anchorId="61A2D384" wp14:editId="3E995502">
            <wp:extent cx="4837430" cy="4197350"/>
            <wp:effectExtent l="0" t="0" r="1270" b="3175"/>
            <wp:docPr id="6" name="图片 6" descr="Figure S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ure S2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37430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F497B" w14:textId="77777777" w:rsidR="00D954F2" w:rsidRDefault="00D954F2" w:rsidP="00D954F2">
      <w:pPr>
        <w:pStyle w:val="11"/>
        <w:spacing w:line="360" w:lineRule="auto"/>
        <w:jc w:val="both"/>
        <w:rPr>
          <w:rFonts w:ascii="Times New Roman" w:hAnsi="Times New Roman" w:cs="Times New Roman"/>
          <w:b/>
          <w:bCs/>
          <w:sz w:val="24"/>
          <w:lang w:eastAsia="zh-CN"/>
        </w:rPr>
      </w:pP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Figure S2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. </w:t>
      </w: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TIM3</w:t>
      </w:r>
      <w:r>
        <w:rPr>
          <w:rFonts w:ascii="Times New Roman" w:eastAsia="等线" w:hAnsi="Times New Roman" w:cs="Times New Roman" w:hint="eastAsia"/>
          <w:b/>
          <w:bCs/>
          <w:kern w:val="2"/>
          <w:sz w:val="24"/>
          <w:lang w:eastAsia="zh-CN" w:bidi="ar"/>
        </w:rPr>
        <w:t xml:space="preserve"> (</w:t>
      </w: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HAVCR2</w:t>
      </w:r>
      <w:r>
        <w:rPr>
          <w:rFonts w:ascii="Times New Roman" w:eastAsia="等线" w:hAnsi="Times New Roman" w:cs="Times New Roman" w:hint="eastAsia"/>
          <w:b/>
          <w:bCs/>
          <w:kern w:val="2"/>
          <w:sz w:val="24"/>
          <w:lang w:eastAsia="zh-CN" w:bidi="ar"/>
        </w:rPr>
        <w:t>)</w:t>
      </w:r>
      <w:r>
        <w:rPr>
          <w:rFonts w:ascii="等线" w:eastAsia="等线" w:hAnsi="等线" w:cs="Times New Roman" w:hint="eastAsia"/>
          <w:kern w:val="2"/>
          <w:sz w:val="21"/>
          <w:lang w:eastAsia="zh-CN" w:bidi="ar"/>
        </w:rPr>
        <w:t xml:space="preserve"> </w:t>
      </w: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prognostic value across RNA Bulk Sequences.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 </w:t>
      </w: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(A)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 TIM3_Mph scores across T stages (GSE116918, Kruskal–Wallis </w:t>
      </w:r>
      <w:r>
        <w:rPr>
          <w:rFonts w:ascii="Times New Roman" w:eastAsia="等线" w:hAnsi="Times New Roman" w:cs="Times New Roman"/>
          <w:i/>
          <w:iCs/>
          <w:kern w:val="2"/>
          <w:sz w:val="24"/>
          <w:lang w:eastAsia="zh-CN" w:bidi="ar"/>
        </w:rPr>
        <w:t>P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 = 0.045, ICGC_PRAD, Wilcoxon </w:t>
      </w:r>
      <w:r>
        <w:rPr>
          <w:rFonts w:ascii="Times New Roman" w:eastAsia="等线" w:hAnsi="Times New Roman" w:cs="Times New Roman"/>
          <w:i/>
          <w:iCs/>
          <w:kern w:val="2"/>
          <w:sz w:val="24"/>
          <w:lang w:eastAsia="zh-CN" w:bidi="ar"/>
        </w:rPr>
        <w:t>P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= 0.018). </w:t>
      </w:r>
      <w:r>
        <w:rPr>
          <w:rFonts w:ascii="Times New Roman" w:eastAsia="等线" w:hAnsi="Times New Roman" w:cs="Times New Roman"/>
          <w:b/>
          <w:bCs/>
          <w:kern w:val="2"/>
          <w:sz w:val="24"/>
          <w:lang w:eastAsia="zh-CN" w:bidi="ar"/>
        </w:rPr>
        <w:t>(B)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 Kaplan-Meier</w:t>
      </w:r>
      <w:r>
        <w:rPr>
          <w:rFonts w:ascii="Times New Roman" w:eastAsia="等线" w:hAnsi="Times New Roman" w:cs="Times New Roman" w:hint="eastAsia"/>
          <w:kern w:val="2"/>
          <w:sz w:val="24"/>
          <w:lang w:eastAsia="zh-CN" w:bidi="ar"/>
        </w:rPr>
        <w:t xml:space="preserve"> (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>K-M</w:t>
      </w:r>
      <w:r>
        <w:rPr>
          <w:rFonts w:ascii="Times New Roman" w:eastAsia="等线" w:hAnsi="Times New Roman" w:cs="Times New Roman" w:hint="eastAsia"/>
          <w:kern w:val="2"/>
          <w:sz w:val="24"/>
          <w:lang w:eastAsia="zh-CN" w:bidi="ar"/>
        </w:rPr>
        <w:t>)</w:t>
      </w:r>
      <w:r>
        <w:rPr>
          <w:rFonts w:ascii="Times New Roman" w:eastAsia="等线" w:hAnsi="Times New Roman" w:cs="Times New Roman"/>
          <w:kern w:val="2"/>
          <w:sz w:val="24"/>
          <w:lang w:eastAsia="zh-CN" w:bidi="ar"/>
        </w:rPr>
        <w:t xml:space="preserve"> plots demonstrated distinct overall survival (OS) and progression-free survival (PFS) outcomes for groups classified by TIM3-Mph.</w:t>
      </w:r>
    </w:p>
    <w:p w14:paraId="56E37C94" w14:textId="77777777" w:rsidR="00D954F2" w:rsidRDefault="00D954F2" w:rsidP="00D954F2">
      <w:pPr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 w:hint="eastAsia"/>
          <w:noProof/>
          <w:sz w:val="24"/>
          <w:szCs w:val="32"/>
        </w:rPr>
        <w:lastRenderedPageBreak/>
        <w:drawing>
          <wp:inline distT="0" distB="0" distL="114300" distR="114300" wp14:anchorId="5B37DA26" wp14:editId="08B8CBBC">
            <wp:extent cx="4837430" cy="6842760"/>
            <wp:effectExtent l="0" t="0" r="1270" b="5715"/>
            <wp:docPr id="10" name="图片 10" descr="Figure S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ure S3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7430" cy="684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F21FD" w14:textId="77777777" w:rsidR="00D954F2" w:rsidRDefault="00D954F2" w:rsidP="00D954F2">
      <w:pPr>
        <w:spacing w:line="360" w:lineRule="auto"/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eastAsia="等线" w:hAnsi="Times New Roman" w:cs="Times New Roman"/>
          <w:b/>
          <w:bCs/>
          <w:sz w:val="24"/>
          <w:lang w:bidi="ar"/>
        </w:rPr>
        <w:t>Figure S3. T/NK compartment analysis (A)</w:t>
      </w:r>
      <w:r>
        <w:rPr>
          <w:rFonts w:ascii="Times New Roman" w:eastAsia="等线" w:hAnsi="Times New Roman" w:cs="Times New Roman"/>
          <w:sz w:val="24"/>
          <w:lang w:bidi="ar"/>
        </w:rPr>
        <w:t xml:space="preserve"> UMAP visualization of re-clustered T/NK cells colored by annotated subsets, including </w:t>
      </w:r>
      <w:proofErr w:type="spellStart"/>
      <w:r>
        <w:rPr>
          <w:rFonts w:ascii="Times New Roman" w:eastAsia="等线" w:hAnsi="Times New Roman" w:cs="Times New Roman"/>
          <w:sz w:val="24"/>
          <w:lang w:bidi="ar"/>
        </w:rPr>
        <w:t>Naive+T</w:t>
      </w:r>
      <w:proofErr w:type="spellEnd"/>
      <w:r>
        <w:rPr>
          <w:rFonts w:ascii="Times New Roman" w:eastAsia="等线" w:hAnsi="Times New Roman" w:cs="Times New Roman"/>
          <w:sz w:val="24"/>
          <w:lang w:bidi="ar"/>
        </w:rPr>
        <w:t xml:space="preserve">, CD8+IFNG+T, CD8+GZMK+T, CD8+CCR7+TCM, TRGC1+γδT, FOXP3+T, </w:t>
      </w:r>
      <w:proofErr w:type="spellStart"/>
      <w:r>
        <w:rPr>
          <w:rFonts w:ascii="Times New Roman" w:eastAsia="等线" w:hAnsi="Times New Roman" w:cs="Times New Roman"/>
          <w:sz w:val="24"/>
          <w:lang w:bidi="ar"/>
        </w:rPr>
        <w:t>γδ</w:t>
      </w:r>
      <w:proofErr w:type="spellEnd"/>
      <w:r>
        <w:rPr>
          <w:rFonts w:ascii="Times New Roman" w:eastAsia="等线" w:hAnsi="Times New Roman" w:cs="Times New Roman"/>
          <w:sz w:val="24"/>
          <w:lang w:bidi="ar"/>
        </w:rPr>
        <w:t xml:space="preserve">-like, and NK-like populations. 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>(B)</w:t>
      </w:r>
      <w:r>
        <w:rPr>
          <w:rFonts w:ascii="Times New Roman" w:eastAsia="等线" w:hAnsi="Times New Roman" w:cs="Times New Roman"/>
          <w:sz w:val="24"/>
          <w:lang w:bidi="ar"/>
        </w:rPr>
        <w:t xml:space="preserve"> Dot plot of canonical marker genes used for subset annotation. Dot size indicates the fraction of cells expressing each gene, and color represents scaled average expression. </w:t>
      </w:r>
      <w:r>
        <w:rPr>
          <w:rFonts w:ascii="Times New Roman" w:eastAsia="等线" w:hAnsi="Times New Roman" w:cs="Times New Roman"/>
          <w:b/>
          <w:bCs/>
          <w:sz w:val="24"/>
          <w:lang w:bidi="ar"/>
        </w:rPr>
        <w:t>(C)</w:t>
      </w:r>
      <w:r>
        <w:rPr>
          <w:rFonts w:ascii="Times New Roman" w:eastAsia="等线" w:hAnsi="Times New Roman" w:cs="Times New Roman"/>
          <w:sz w:val="24"/>
          <w:lang w:bidi="ar"/>
        </w:rPr>
        <w:t xml:space="preserve"> Differential expression summary for each subset relative to the </w:t>
      </w:r>
      <w:r>
        <w:rPr>
          <w:rFonts w:ascii="Times New Roman" w:eastAsia="等线" w:hAnsi="Times New Roman" w:cs="Times New Roman"/>
          <w:sz w:val="24"/>
          <w:lang w:bidi="ar"/>
        </w:rPr>
        <w:lastRenderedPageBreak/>
        <w:t>remaining T/NK cells.</w:t>
      </w:r>
    </w:p>
    <w:p w14:paraId="0D06423D" w14:textId="77777777" w:rsidR="00D954F2" w:rsidRDefault="00D954F2" w:rsidP="00D954F2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8291A4C" wp14:editId="71017EA6">
            <wp:extent cx="5632764" cy="2728222"/>
            <wp:effectExtent l="0" t="0" r="6350" b="0"/>
            <wp:docPr id="21021090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109026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2126" cy="273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7DBD4" w14:textId="77777777" w:rsidR="00D954F2" w:rsidRDefault="00D954F2" w:rsidP="00D954F2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eastAsia="等线" w:hAnsi="Times New Roman" w:cs="Times New Roman"/>
          <w:b/>
          <w:bCs/>
          <w:sz w:val="24"/>
          <w:lang w:bidi="ar"/>
        </w:rPr>
        <w:t>Figure S4 Expression controls of key ligands/receptors and functionally relevant genes</w:t>
      </w:r>
      <w:r>
        <w:rPr>
          <w:rFonts w:ascii="Times New Roman" w:eastAsia="等线" w:hAnsi="Times New Roman" w:cs="Times New Roman" w:hint="eastAsia"/>
          <w:b/>
          <w:bCs/>
          <w:sz w:val="24"/>
          <w:lang w:bidi="ar"/>
        </w:rPr>
        <w:t>.</w:t>
      </w:r>
      <w:r>
        <w:rPr>
          <w:rFonts w:ascii="Times New Roman" w:eastAsia="等线" w:hAnsi="Times New Roman" w:cs="Times New Roman"/>
          <w:sz w:val="24"/>
          <w:lang w:bidi="ar"/>
        </w:rPr>
        <w:t xml:space="preserve"> Violin plots comparing expression distributions of selected ligand/receptor components and functional markers between TIM3_high and TIM3_low cells, including MIF, CD74, CXCR4, NECTIN2, TIGIT, CXCL9/10/11, CXCR3, HLA-DRA/DRB1/DPA1, THBS1, CD47, and ITGB1.</w:t>
      </w:r>
    </w:p>
    <w:p w14:paraId="4C5022ED" w14:textId="574F3935" w:rsidR="004E7533" w:rsidRDefault="004E7533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4E75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5EF1A" w14:textId="77777777" w:rsidR="003458F1" w:rsidRDefault="003458F1" w:rsidP="00D954F2">
      <w:r>
        <w:separator/>
      </w:r>
    </w:p>
  </w:endnote>
  <w:endnote w:type="continuationSeparator" w:id="0">
    <w:p w14:paraId="4E3E3B32" w14:textId="77777777" w:rsidR="003458F1" w:rsidRDefault="003458F1" w:rsidP="00D954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B556D3" w14:textId="77777777" w:rsidR="003458F1" w:rsidRDefault="003458F1" w:rsidP="00D954F2">
      <w:r>
        <w:separator/>
      </w:r>
    </w:p>
  </w:footnote>
  <w:footnote w:type="continuationSeparator" w:id="0">
    <w:p w14:paraId="4620EF81" w14:textId="77777777" w:rsidR="003458F1" w:rsidRDefault="003458F1" w:rsidP="00D954F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4C8B"/>
    <w:rsid w:val="00105148"/>
    <w:rsid w:val="00117792"/>
    <w:rsid w:val="00133BB7"/>
    <w:rsid w:val="00183964"/>
    <w:rsid w:val="00195851"/>
    <w:rsid w:val="00205444"/>
    <w:rsid w:val="00225789"/>
    <w:rsid w:val="0023548C"/>
    <w:rsid w:val="00253A89"/>
    <w:rsid w:val="00253B52"/>
    <w:rsid w:val="002A1B40"/>
    <w:rsid w:val="00312A3F"/>
    <w:rsid w:val="00333744"/>
    <w:rsid w:val="003458F1"/>
    <w:rsid w:val="00381322"/>
    <w:rsid w:val="00394CC7"/>
    <w:rsid w:val="00395D45"/>
    <w:rsid w:val="004005EE"/>
    <w:rsid w:val="0041285E"/>
    <w:rsid w:val="00440C6B"/>
    <w:rsid w:val="00461A69"/>
    <w:rsid w:val="004C52E2"/>
    <w:rsid w:val="004D6B9C"/>
    <w:rsid w:val="004E495B"/>
    <w:rsid w:val="004E7533"/>
    <w:rsid w:val="005005C2"/>
    <w:rsid w:val="0051687C"/>
    <w:rsid w:val="00533908"/>
    <w:rsid w:val="00536710"/>
    <w:rsid w:val="00551534"/>
    <w:rsid w:val="005B118C"/>
    <w:rsid w:val="005D0090"/>
    <w:rsid w:val="005E1BF8"/>
    <w:rsid w:val="005F12C0"/>
    <w:rsid w:val="005F1843"/>
    <w:rsid w:val="00601777"/>
    <w:rsid w:val="0068115D"/>
    <w:rsid w:val="00682A83"/>
    <w:rsid w:val="006C3DC7"/>
    <w:rsid w:val="006C718C"/>
    <w:rsid w:val="006E048A"/>
    <w:rsid w:val="00720F7D"/>
    <w:rsid w:val="00773DBF"/>
    <w:rsid w:val="007D0001"/>
    <w:rsid w:val="0086235D"/>
    <w:rsid w:val="008B5D07"/>
    <w:rsid w:val="008C1A9A"/>
    <w:rsid w:val="008C6479"/>
    <w:rsid w:val="00915DD7"/>
    <w:rsid w:val="00954D5A"/>
    <w:rsid w:val="00962C17"/>
    <w:rsid w:val="00981331"/>
    <w:rsid w:val="00986C2A"/>
    <w:rsid w:val="009A27D0"/>
    <w:rsid w:val="009E735B"/>
    <w:rsid w:val="009E7CAB"/>
    <w:rsid w:val="00A12249"/>
    <w:rsid w:val="00A22B85"/>
    <w:rsid w:val="00A309F6"/>
    <w:rsid w:val="00A63A85"/>
    <w:rsid w:val="00AB5D23"/>
    <w:rsid w:val="00AC37C9"/>
    <w:rsid w:val="00AE652E"/>
    <w:rsid w:val="00B26A2A"/>
    <w:rsid w:val="00B63BA2"/>
    <w:rsid w:val="00B70D87"/>
    <w:rsid w:val="00BB2A7A"/>
    <w:rsid w:val="00BD0B95"/>
    <w:rsid w:val="00BD7595"/>
    <w:rsid w:val="00C32D9D"/>
    <w:rsid w:val="00C574D0"/>
    <w:rsid w:val="00CB602F"/>
    <w:rsid w:val="00CD0788"/>
    <w:rsid w:val="00CD4C33"/>
    <w:rsid w:val="00CF049B"/>
    <w:rsid w:val="00D75508"/>
    <w:rsid w:val="00D954F2"/>
    <w:rsid w:val="00DF25D6"/>
    <w:rsid w:val="00E048BB"/>
    <w:rsid w:val="00E15032"/>
    <w:rsid w:val="00E229FC"/>
    <w:rsid w:val="00E24C8B"/>
    <w:rsid w:val="00E419BC"/>
    <w:rsid w:val="00E67633"/>
    <w:rsid w:val="00F211DB"/>
    <w:rsid w:val="00F50F56"/>
    <w:rsid w:val="00F537A0"/>
    <w:rsid w:val="00F54F50"/>
    <w:rsid w:val="00FA6A11"/>
    <w:rsid w:val="00FC02DE"/>
    <w:rsid w:val="00FC4BAD"/>
    <w:rsid w:val="00FD13E2"/>
    <w:rsid w:val="22D0668F"/>
    <w:rsid w:val="3A7979E6"/>
    <w:rsid w:val="41C04462"/>
    <w:rsid w:val="4B0E7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5:docId w15:val="{DBFD053E-E5F2-4BE6-9C7E-7D5C9A38C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等线" w:eastAsia="等线" w:hAnsi="等线" w:cs="等线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unhideWhenUsed/>
    <w:qFormat/>
    <w:pPr>
      <w:jc w:val="left"/>
    </w:p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cstheme="majorBidi"/>
      <w:color w:val="0F4761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1">
    <w:name w:val="明显强调1"/>
    <w:basedOn w:val="DefaultParagraphFont"/>
    <w:uiPriority w:val="21"/>
    <w:qFormat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0F4761" w:themeColor="accent1" w:themeShade="BF"/>
    </w:rPr>
  </w:style>
  <w:style w:type="character" w:customStyle="1" w:styleId="10">
    <w:name w:val="明显参考1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customStyle="1" w:styleId="11">
    <w:name w:val="正文1"/>
    <w:qFormat/>
    <w:pPr>
      <w:spacing w:line="276" w:lineRule="auto"/>
      <w:contextualSpacing/>
    </w:pPr>
    <w:rPr>
      <w:rFonts w:ascii="Arial" w:eastAsia="宋体" w:hAnsi="Arial" w:cs="Arial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18"/>
      <w:szCs w:val="18"/>
    </w:rPr>
  </w:style>
  <w:style w:type="table" w:customStyle="1" w:styleId="12">
    <w:name w:val="网格型浅色1"/>
    <w:basedOn w:val="TableNormal"/>
    <w:uiPriority w:val="40"/>
    <w:qFormat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13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rFonts w:asciiTheme="minorHAnsi" w:eastAsiaTheme="minorEastAsia" w:hAnsiTheme="minorHAnsi" w:cstheme="minorBidi"/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6</Pages>
  <Words>551</Words>
  <Characters>3145</Characters>
  <Application>Microsoft Office Word</Application>
  <DocSecurity>0</DocSecurity>
  <Lines>26</Lines>
  <Paragraphs>7</Paragraphs>
  <ScaleCrop>false</ScaleCrop>
  <Company/>
  <LinksUpToDate>false</LinksUpToDate>
  <CharactersWithSpaces>3689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 Zhong</dc:creator>
  <cp:lastModifiedBy>Production Team</cp:lastModifiedBy>
  <cp:revision>24</cp:revision>
  <dcterms:created xsi:type="dcterms:W3CDTF">2026-03-26T03:59:00Z</dcterms:created>
  <dcterms:modified xsi:type="dcterms:W3CDTF">2026-04-15T06:49:00Z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eyJoZGlkIjoiYWI2NDhmMDc2ZTBlMjRjYjVjYmJhYWUzMzRhMGEwYmQiLCJ1c2VySWQiOiI2NDQxMzUzMjUifQ==</vt:lpwstr>
  </property>
  <property fmtid="{D5CDD505-2E9C-101B-9397-08002B2CF9AE}" pid="3" name="KSOProductBuildVer">
    <vt:lpwstr>2052-12.1.0.25225</vt:lpwstr>
  </property>
  <property fmtid="{D5CDD505-2E9C-101B-9397-08002B2CF9AE}" pid="4" name="ICV">
    <vt:lpwstr>E36D59CE941346AC8D529ACAF81D8F3C_13</vt:lpwstr>
  </property>
  <property fmtid="{D5CDD505-2E9C-101B-9397-08002B2CF9AE}" pid="5" name="GrammarlyDocumentId">
    <vt:lpwstr>86e032b7-d4a5-49b1-846f-57e9d7b49a65</vt:lpwstr>
  </property>
</Properties>
</file>