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841F52" w14:textId="77777777" w:rsidR="00E61742" w:rsidRPr="006D2036" w:rsidRDefault="00000000">
      <w:pPr>
        <w:jc w:val="center"/>
        <w:rPr>
          <w:rFonts w:ascii="Minion Pro" w:hAnsi="Minion Pro" w:cs="Times New Roman"/>
          <w:b/>
          <w:bCs/>
          <w:sz w:val="28"/>
          <w:szCs w:val="28"/>
        </w:rPr>
      </w:pPr>
      <w:r w:rsidRPr="006D2036">
        <w:rPr>
          <w:rFonts w:ascii="Minion Pro" w:hAnsi="Minion Pro" w:cs="Times New Roman"/>
          <w:b/>
          <w:bCs/>
          <w:sz w:val="28"/>
          <w:szCs w:val="28"/>
        </w:rPr>
        <w:t>Supplementary Materials</w:t>
      </w:r>
    </w:p>
    <w:p w14:paraId="18289D85" w14:textId="77777777" w:rsidR="00E61742" w:rsidRPr="006D2036" w:rsidRDefault="00000000" w:rsidP="006D2036">
      <w:pPr>
        <w:pStyle w:val="TSP52figure"/>
      </w:pPr>
      <w:r w:rsidRPr="006D2036">
        <w:rPr>
          <w:noProof/>
        </w:rPr>
        <w:drawing>
          <wp:inline distT="0" distB="0" distL="114300" distR="114300" wp14:anchorId="3C451D6B" wp14:editId="42866830">
            <wp:extent cx="5273675" cy="1562100"/>
            <wp:effectExtent l="0" t="0" r="3175" b="0"/>
            <wp:docPr id="5" name="图片 5" descr="figure s1 阴性细胞凋亡流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ure s1 阴性细胞凋亡流式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FAEB0" w14:textId="66DBB50D" w:rsidR="00E61742" w:rsidRPr="006D2036" w:rsidRDefault="006D2036" w:rsidP="006D2036">
      <w:pPr>
        <w:pStyle w:val="TSP51figurecaption"/>
        <w:rPr>
          <w:rFonts w:eastAsia="宋体"/>
        </w:rPr>
      </w:pPr>
      <w:r w:rsidRPr="006D2036">
        <w:rPr>
          <w:rFonts w:eastAsia="宋体"/>
          <w:b/>
          <w:bCs/>
        </w:rPr>
        <w:t>Figure S1:</w:t>
      </w:r>
      <w:r w:rsidR="00000000" w:rsidRPr="006D2036">
        <w:rPr>
          <w:rFonts w:eastAsia="宋体"/>
        </w:rPr>
        <w:t xml:space="preserve"> </w:t>
      </w:r>
      <w:r w:rsidRPr="006D2036">
        <w:rPr>
          <w:rFonts w:eastAsia="宋体"/>
        </w:rPr>
        <w:t xml:space="preserve">Apoptotic rates of </w:t>
      </w:r>
      <w:r w:rsidR="00000000" w:rsidRPr="006D2036">
        <w:rPr>
          <w:rFonts w:eastAsia="宋体"/>
        </w:rPr>
        <w:t xml:space="preserve">MIA PaCa-2 </w:t>
      </w:r>
      <w:r w:rsidRPr="006D2036">
        <w:rPr>
          <w:rFonts w:eastAsia="宋体"/>
        </w:rPr>
        <w:t xml:space="preserve">cells after treatment with </w:t>
      </w:r>
      <w:proofErr w:type="spellStart"/>
      <w:r w:rsidRPr="006D2036">
        <w:rPr>
          <w:rFonts w:eastAsia="宋体"/>
        </w:rPr>
        <w:t>savolitinib</w:t>
      </w:r>
      <w:proofErr w:type="spellEnd"/>
      <w:r w:rsidRPr="006D2036">
        <w:rPr>
          <w:rFonts w:eastAsia="宋体"/>
        </w:rPr>
        <w:t xml:space="preserve"> for </w:t>
      </w:r>
      <w:r w:rsidR="00000000" w:rsidRPr="006D2036">
        <w:rPr>
          <w:rFonts w:eastAsia="宋体"/>
        </w:rPr>
        <w:t xml:space="preserve">48 </w:t>
      </w:r>
      <w:r w:rsidRPr="006D2036">
        <w:rPr>
          <w:rFonts w:eastAsia="宋体"/>
        </w:rPr>
        <w:t>h</w:t>
      </w:r>
      <w:r w:rsidR="00000000" w:rsidRPr="006D2036">
        <w:rPr>
          <w:rFonts w:eastAsia="宋体"/>
        </w:rPr>
        <w:t xml:space="preserve">, </w:t>
      </w:r>
      <w:r w:rsidRPr="006D2036">
        <w:rPr>
          <w:rFonts w:eastAsia="宋体"/>
        </w:rPr>
        <w:t xml:space="preserve">as determined by annexin </w:t>
      </w:r>
      <w:r w:rsidR="00000000" w:rsidRPr="006D2036">
        <w:rPr>
          <w:rFonts w:eastAsia="宋体"/>
        </w:rPr>
        <w:t xml:space="preserve">V-FITC/PI </w:t>
      </w:r>
      <w:r w:rsidRPr="006D2036">
        <w:rPr>
          <w:rFonts w:eastAsia="宋体"/>
        </w:rPr>
        <w:t xml:space="preserve">staining followed by flow cytometry </w:t>
      </w:r>
      <w:r w:rsidR="00000000" w:rsidRPr="006D2036">
        <w:rPr>
          <w:rFonts w:eastAsia="宋体"/>
        </w:rPr>
        <w:t xml:space="preserve">(n = 3). Data </w:t>
      </w:r>
      <w:r w:rsidRPr="006D2036">
        <w:rPr>
          <w:rFonts w:eastAsia="宋体"/>
        </w:rPr>
        <w:t xml:space="preserve">are presented as the mean </w:t>
      </w:r>
      <w:r w:rsidR="00000000" w:rsidRPr="006D2036">
        <w:rPr>
          <w:rFonts w:eastAsia="宋体"/>
        </w:rPr>
        <w:t xml:space="preserve">± SD. Statistical </w:t>
      </w:r>
      <w:r w:rsidRPr="006D2036">
        <w:rPr>
          <w:rFonts w:eastAsia="宋体"/>
        </w:rPr>
        <w:t>significance was determined by one</w:t>
      </w:r>
      <w:r w:rsidR="00000000" w:rsidRPr="006D2036">
        <w:rPr>
          <w:rFonts w:eastAsia="宋体"/>
        </w:rPr>
        <w:t>-</w:t>
      </w:r>
      <w:r w:rsidRPr="006D2036">
        <w:rPr>
          <w:rFonts w:eastAsia="宋体"/>
        </w:rPr>
        <w:t xml:space="preserve">way </w:t>
      </w:r>
      <w:r w:rsidR="00000000" w:rsidRPr="006D2036">
        <w:rPr>
          <w:rFonts w:eastAsia="宋体"/>
        </w:rPr>
        <w:t xml:space="preserve">ANOVA </w:t>
      </w:r>
      <w:r w:rsidRPr="006D2036">
        <w:rPr>
          <w:rFonts w:eastAsia="宋体"/>
        </w:rPr>
        <w:t xml:space="preserve">followed by Tukey’s </w:t>
      </w:r>
      <w:r w:rsidRPr="006D2036">
        <w:rPr>
          <w:rFonts w:eastAsia="宋体"/>
          <w:i/>
        </w:rPr>
        <w:t xml:space="preserve">post hoc </w:t>
      </w:r>
      <w:r w:rsidRPr="006D2036">
        <w:rPr>
          <w:rFonts w:eastAsia="宋体"/>
        </w:rPr>
        <w:t>test</w:t>
      </w:r>
      <w:r w:rsidR="00000000" w:rsidRPr="006D2036">
        <w:rPr>
          <w:rFonts w:eastAsia="宋体"/>
        </w:rPr>
        <w:t xml:space="preserve">. Comparisons </w:t>
      </w:r>
      <w:r w:rsidRPr="006D2036">
        <w:rPr>
          <w:rFonts w:eastAsia="宋体"/>
        </w:rPr>
        <w:t>were made with the untreated control group</w:t>
      </w:r>
      <w:r w:rsidR="00000000" w:rsidRPr="006D2036">
        <w:rPr>
          <w:rFonts w:eastAsia="宋体"/>
        </w:rPr>
        <w:t xml:space="preserve">. </w:t>
      </w:r>
      <w:proofErr w:type="spellStart"/>
      <w:r w:rsidRPr="006D2036">
        <w:rPr>
          <w:rFonts w:eastAsia="宋体"/>
        </w:rPr>
        <w:t>n</w:t>
      </w:r>
      <w:r w:rsidR="00000000" w:rsidRPr="006D2036">
        <w:rPr>
          <w:rFonts w:eastAsia="宋体"/>
        </w:rPr>
        <w:t>.</w:t>
      </w:r>
      <w:r w:rsidRPr="006D2036">
        <w:rPr>
          <w:rFonts w:eastAsia="宋体"/>
        </w:rPr>
        <w:t>s</w:t>
      </w:r>
      <w:proofErr w:type="spellEnd"/>
      <w:r w:rsidR="00000000" w:rsidRPr="006D2036">
        <w:rPr>
          <w:rFonts w:eastAsia="宋体"/>
        </w:rPr>
        <w:t xml:space="preserve">., </w:t>
      </w:r>
      <w:r w:rsidRPr="006D2036">
        <w:rPr>
          <w:rFonts w:eastAsia="宋体"/>
        </w:rPr>
        <w:t>not significant</w:t>
      </w:r>
      <w:r w:rsidR="00000000" w:rsidRPr="006D2036">
        <w:rPr>
          <w:rFonts w:eastAsia="宋体"/>
        </w:rPr>
        <w:t>.</w:t>
      </w:r>
    </w:p>
    <w:p w14:paraId="681C0793" w14:textId="77777777" w:rsidR="00E61742" w:rsidRPr="006D2036" w:rsidRDefault="00000000" w:rsidP="00551F27">
      <w:pPr>
        <w:pStyle w:val="TSP52figure"/>
      </w:pPr>
      <w:r w:rsidRPr="006D2036">
        <w:rPr>
          <w:noProof/>
        </w:rPr>
        <w:drawing>
          <wp:inline distT="0" distB="0" distL="114300" distR="114300" wp14:anchorId="3957DCDE" wp14:editId="7AC10BE8">
            <wp:extent cx="3908425" cy="3155950"/>
            <wp:effectExtent l="0" t="0" r="6350" b="6350"/>
            <wp:docPr id="6" name="图片 6" descr="figure s2 氯喹浓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ure s2 氯喹浓度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08425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B741D" w14:textId="2B093924" w:rsidR="00E61742" w:rsidRPr="00551F27" w:rsidRDefault="00551F27" w:rsidP="00551F27">
      <w:pPr>
        <w:pStyle w:val="TSP51figurecaption"/>
        <w:rPr>
          <w:rFonts w:eastAsia="宋体"/>
        </w:rPr>
      </w:pPr>
      <w:r w:rsidRPr="00551F27">
        <w:rPr>
          <w:rFonts w:eastAsia="宋体"/>
          <w:b/>
          <w:bCs/>
        </w:rPr>
        <w:t>Figure S2:</w:t>
      </w:r>
      <w:r w:rsidR="00000000" w:rsidRPr="00551F27">
        <w:rPr>
          <w:rFonts w:eastAsia="宋体"/>
        </w:rPr>
        <w:t xml:space="preserve"> </w:t>
      </w:r>
      <w:r w:rsidRPr="00551F27">
        <w:rPr>
          <w:rFonts w:eastAsia="宋体"/>
        </w:rPr>
        <w:t>Determination of minimally growth</w:t>
      </w:r>
      <w:r w:rsidR="00000000" w:rsidRPr="00551F27">
        <w:rPr>
          <w:rFonts w:eastAsia="宋体"/>
        </w:rPr>
        <w:t>-</w:t>
      </w:r>
      <w:r w:rsidRPr="00551F27">
        <w:rPr>
          <w:rFonts w:eastAsia="宋体"/>
        </w:rPr>
        <w:t>inhibitory concentrations of autophagy modulators</w:t>
      </w:r>
      <w:r w:rsidR="00000000" w:rsidRPr="00551F27">
        <w:rPr>
          <w:rFonts w:eastAsia="宋体"/>
        </w:rPr>
        <w:t xml:space="preserve">. Cell </w:t>
      </w:r>
      <w:r w:rsidRPr="00551F27">
        <w:rPr>
          <w:rFonts w:eastAsia="宋体"/>
        </w:rPr>
        <w:t xml:space="preserve">viability of </w:t>
      </w:r>
      <w:r w:rsidR="00000000" w:rsidRPr="00551F27">
        <w:rPr>
          <w:rFonts w:eastAsia="宋体"/>
        </w:rPr>
        <w:t>(</w:t>
      </w:r>
      <w:r w:rsidR="00000000" w:rsidRPr="00551F27">
        <w:rPr>
          <w:rFonts w:eastAsia="宋体"/>
          <w:b/>
        </w:rPr>
        <w:t>A</w:t>
      </w:r>
      <w:r w:rsidR="00000000" w:rsidRPr="00551F27">
        <w:rPr>
          <w:rFonts w:eastAsia="宋体"/>
        </w:rPr>
        <w:t xml:space="preserve">) AsPC-1 </w:t>
      </w:r>
      <w:r w:rsidRPr="00551F27">
        <w:rPr>
          <w:rFonts w:eastAsia="宋体"/>
        </w:rPr>
        <w:t xml:space="preserve">and </w:t>
      </w:r>
      <w:r w:rsidR="00000000" w:rsidRPr="00551F27">
        <w:rPr>
          <w:rFonts w:eastAsia="宋体"/>
        </w:rPr>
        <w:t>(</w:t>
      </w:r>
      <w:r w:rsidR="00000000" w:rsidRPr="00551F27">
        <w:rPr>
          <w:rFonts w:eastAsia="宋体"/>
          <w:b/>
        </w:rPr>
        <w:t>B</w:t>
      </w:r>
      <w:r w:rsidR="00000000" w:rsidRPr="00551F27">
        <w:rPr>
          <w:rFonts w:eastAsia="宋体"/>
        </w:rPr>
        <w:t xml:space="preserve">) BxPC-3 </w:t>
      </w:r>
      <w:r w:rsidRPr="00551F27">
        <w:rPr>
          <w:rFonts w:eastAsia="宋体"/>
        </w:rPr>
        <w:t xml:space="preserve">cells after treatment with the indicated concentrations of chloroquine </w:t>
      </w:r>
      <w:r w:rsidR="00000000" w:rsidRPr="00551F27">
        <w:rPr>
          <w:rFonts w:eastAsia="宋体"/>
        </w:rPr>
        <w:t xml:space="preserve">(CQ) </w:t>
      </w:r>
      <w:r w:rsidRPr="00551F27">
        <w:rPr>
          <w:rFonts w:eastAsia="宋体"/>
        </w:rPr>
        <w:t xml:space="preserve">for </w:t>
      </w:r>
      <w:r w:rsidR="00000000" w:rsidRPr="00551F27">
        <w:rPr>
          <w:rFonts w:eastAsia="宋体"/>
        </w:rPr>
        <w:t xml:space="preserve">48 </w:t>
      </w:r>
      <w:r w:rsidRPr="00551F27">
        <w:rPr>
          <w:rFonts w:eastAsia="宋体"/>
        </w:rPr>
        <w:t>h</w:t>
      </w:r>
      <w:r w:rsidR="00000000" w:rsidRPr="00551F27">
        <w:rPr>
          <w:rFonts w:eastAsia="宋体"/>
        </w:rPr>
        <w:t xml:space="preserve">, </w:t>
      </w:r>
      <w:r w:rsidRPr="00551F27">
        <w:rPr>
          <w:rFonts w:eastAsia="宋体"/>
        </w:rPr>
        <w:t xml:space="preserve">as assessed by the </w:t>
      </w:r>
      <w:r w:rsidR="00000000" w:rsidRPr="00551F27">
        <w:rPr>
          <w:rFonts w:eastAsia="宋体"/>
        </w:rPr>
        <w:t xml:space="preserve">MTT </w:t>
      </w:r>
      <w:r w:rsidRPr="00551F27">
        <w:rPr>
          <w:rFonts w:eastAsia="宋体"/>
        </w:rPr>
        <w:t>assay</w:t>
      </w:r>
      <w:r w:rsidR="00000000" w:rsidRPr="00551F27">
        <w:rPr>
          <w:rFonts w:eastAsia="宋体"/>
        </w:rPr>
        <w:t xml:space="preserve">. Cell </w:t>
      </w:r>
      <w:r w:rsidRPr="00551F27">
        <w:rPr>
          <w:rFonts w:eastAsia="宋体"/>
        </w:rPr>
        <w:t xml:space="preserve">viability of </w:t>
      </w:r>
      <w:r w:rsidR="00000000" w:rsidRPr="00551F27">
        <w:rPr>
          <w:rFonts w:eastAsia="宋体"/>
        </w:rPr>
        <w:t>(</w:t>
      </w:r>
      <w:r w:rsidR="00000000" w:rsidRPr="00551F27">
        <w:rPr>
          <w:rFonts w:eastAsia="宋体"/>
          <w:b/>
        </w:rPr>
        <w:t>C</w:t>
      </w:r>
      <w:r w:rsidR="00000000" w:rsidRPr="00551F27">
        <w:rPr>
          <w:rFonts w:eastAsia="宋体"/>
        </w:rPr>
        <w:t xml:space="preserve">) AsPC-1 </w:t>
      </w:r>
      <w:r w:rsidRPr="00551F27">
        <w:rPr>
          <w:rFonts w:eastAsia="宋体"/>
        </w:rPr>
        <w:t xml:space="preserve">and </w:t>
      </w:r>
      <w:r w:rsidR="00000000" w:rsidRPr="00551F27">
        <w:rPr>
          <w:rFonts w:eastAsia="宋体"/>
        </w:rPr>
        <w:t>(</w:t>
      </w:r>
      <w:r w:rsidR="00000000" w:rsidRPr="00551F27">
        <w:rPr>
          <w:rFonts w:eastAsia="宋体"/>
          <w:b/>
        </w:rPr>
        <w:t>D</w:t>
      </w:r>
      <w:r w:rsidR="00000000" w:rsidRPr="00551F27">
        <w:rPr>
          <w:rFonts w:eastAsia="宋体"/>
        </w:rPr>
        <w:t xml:space="preserve">) BxPC-3 </w:t>
      </w:r>
      <w:r w:rsidRPr="00551F27">
        <w:rPr>
          <w:rFonts w:eastAsia="宋体"/>
        </w:rPr>
        <w:t xml:space="preserve">cells after treatment with the indicated concentrations of rapamycin for </w:t>
      </w:r>
      <w:r w:rsidR="00000000" w:rsidRPr="00551F27">
        <w:rPr>
          <w:rFonts w:eastAsia="宋体"/>
        </w:rPr>
        <w:t xml:space="preserve">48 </w:t>
      </w:r>
      <w:r w:rsidRPr="00551F27">
        <w:rPr>
          <w:rFonts w:eastAsia="宋体"/>
        </w:rPr>
        <w:t>h</w:t>
      </w:r>
      <w:r w:rsidR="00000000" w:rsidRPr="00551F27">
        <w:rPr>
          <w:rFonts w:eastAsia="宋体"/>
        </w:rPr>
        <w:t xml:space="preserve">, </w:t>
      </w:r>
      <w:r w:rsidRPr="00551F27">
        <w:rPr>
          <w:rFonts w:eastAsia="宋体"/>
        </w:rPr>
        <w:t xml:space="preserve">as assessed by the </w:t>
      </w:r>
      <w:r w:rsidR="00000000" w:rsidRPr="00551F27">
        <w:rPr>
          <w:rFonts w:eastAsia="宋体"/>
        </w:rPr>
        <w:t xml:space="preserve">MTT </w:t>
      </w:r>
      <w:r w:rsidRPr="00551F27">
        <w:rPr>
          <w:rFonts w:eastAsia="宋体"/>
        </w:rPr>
        <w:t>assay</w:t>
      </w:r>
      <w:r w:rsidR="00000000" w:rsidRPr="00551F27">
        <w:rPr>
          <w:rFonts w:eastAsia="宋体"/>
        </w:rPr>
        <w:t xml:space="preserve">. Data </w:t>
      </w:r>
      <w:r w:rsidRPr="00551F27">
        <w:rPr>
          <w:rFonts w:eastAsia="宋体"/>
        </w:rPr>
        <w:t xml:space="preserve">are presented as the mean </w:t>
      </w:r>
      <w:r w:rsidR="00000000" w:rsidRPr="00551F27">
        <w:rPr>
          <w:rFonts w:eastAsia="宋体"/>
        </w:rPr>
        <w:t xml:space="preserve">± SD (n = 6). Statistical </w:t>
      </w:r>
      <w:r w:rsidRPr="00551F27">
        <w:rPr>
          <w:rFonts w:eastAsia="宋体"/>
        </w:rPr>
        <w:t>significance was determined by one</w:t>
      </w:r>
      <w:r w:rsidR="00000000" w:rsidRPr="00551F27">
        <w:rPr>
          <w:rFonts w:eastAsia="宋体"/>
        </w:rPr>
        <w:t>-</w:t>
      </w:r>
      <w:r w:rsidRPr="00551F27">
        <w:rPr>
          <w:rFonts w:eastAsia="宋体"/>
        </w:rPr>
        <w:t xml:space="preserve">way </w:t>
      </w:r>
      <w:r w:rsidR="00000000" w:rsidRPr="00551F27">
        <w:rPr>
          <w:rFonts w:eastAsia="宋体"/>
        </w:rPr>
        <w:t xml:space="preserve">ANOVA </w:t>
      </w:r>
      <w:r w:rsidRPr="00551F27">
        <w:rPr>
          <w:rFonts w:eastAsia="宋体"/>
        </w:rPr>
        <w:t xml:space="preserve">followed by Tukey’s </w:t>
      </w:r>
      <w:r w:rsidRPr="00551F27">
        <w:rPr>
          <w:rFonts w:eastAsia="宋体"/>
          <w:i/>
        </w:rPr>
        <w:t xml:space="preserve">post hoc </w:t>
      </w:r>
      <w:r w:rsidRPr="00551F27">
        <w:rPr>
          <w:rFonts w:eastAsia="宋体"/>
        </w:rPr>
        <w:t>test</w:t>
      </w:r>
      <w:r w:rsidR="00000000" w:rsidRPr="00551F27">
        <w:rPr>
          <w:rFonts w:eastAsia="宋体"/>
        </w:rPr>
        <w:t xml:space="preserve">. Comparisons </w:t>
      </w:r>
      <w:r w:rsidRPr="00551F27">
        <w:rPr>
          <w:rFonts w:eastAsia="宋体"/>
        </w:rPr>
        <w:t>were made with the untreated control group</w:t>
      </w:r>
      <w:r w:rsidR="00000000" w:rsidRPr="00551F27">
        <w:rPr>
          <w:rFonts w:eastAsia="宋体"/>
        </w:rPr>
        <w:t xml:space="preserve">. The </w:t>
      </w:r>
      <w:r w:rsidRPr="00551F27">
        <w:rPr>
          <w:rFonts w:eastAsia="宋体"/>
        </w:rPr>
        <w:t xml:space="preserve">concentrations of </w:t>
      </w:r>
      <w:r w:rsidR="00000000" w:rsidRPr="00551F27">
        <w:rPr>
          <w:rFonts w:eastAsia="宋体"/>
        </w:rPr>
        <w:t xml:space="preserve">7.5 </w:t>
      </w:r>
      <w:proofErr w:type="spellStart"/>
      <w:r w:rsidR="00000000" w:rsidRPr="00551F27">
        <w:rPr>
          <w:rFonts w:eastAsia="宋体"/>
        </w:rPr>
        <w:t>μM</w:t>
      </w:r>
      <w:proofErr w:type="spellEnd"/>
      <w:r w:rsidR="00000000" w:rsidRPr="00551F27">
        <w:rPr>
          <w:rFonts w:eastAsia="宋体"/>
        </w:rPr>
        <w:t xml:space="preserve"> CQ </w:t>
      </w:r>
      <w:r w:rsidRPr="00551F27">
        <w:rPr>
          <w:rFonts w:eastAsia="宋体"/>
        </w:rPr>
        <w:t xml:space="preserve">and </w:t>
      </w:r>
      <w:r w:rsidR="00000000" w:rsidRPr="00551F27">
        <w:rPr>
          <w:rFonts w:eastAsia="宋体"/>
        </w:rPr>
        <w:t xml:space="preserve">60 </w:t>
      </w:r>
      <w:proofErr w:type="spellStart"/>
      <w:r w:rsidR="00000000" w:rsidRPr="00551F27">
        <w:rPr>
          <w:rFonts w:eastAsia="宋体"/>
        </w:rPr>
        <w:t>nM</w:t>
      </w:r>
      <w:proofErr w:type="spellEnd"/>
      <w:r w:rsidR="00000000" w:rsidRPr="00551F27">
        <w:rPr>
          <w:rFonts w:eastAsia="宋体"/>
        </w:rPr>
        <w:t xml:space="preserve"> </w:t>
      </w:r>
      <w:r w:rsidRPr="00551F27">
        <w:rPr>
          <w:rFonts w:eastAsia="宋体"/>
        </w:rPr>
        <w:t>rapamycin did not significantly reduce cell viability in either cell line and were therefore selected for subsequent combination experiments</w:t>
      </w:r>
      <w:r w:rsidR="00000000" w:rsidRPr="00551F27">
        <w:rPr>
          <w:rFonts w:eastAsia="宋体"/>
        </w:rPr>
        <w:t xml:space="preserve">. </w:t>
      </w:r>
      <w:r w:rsidRPr="00551F27">
        <w:rPr>
          <w:rFonts w:eastAsia="宋体"/>
        </w:rPr>
        <w:t>ns</w:t>
      </w:r>
      <w:r w:rsidR="00000000" w:rsidRPr="00551F27">
        <w:rPr>
          <w:rFonts w:eastAsia="宋体"/>
        </w:rPr>
        <w:t xml:space="preserve">, </w:t>
      </w:r>
      <w:r w:rsidRPr="00551F27">
        <w:rPr>
          <w:rFonts w:eastAsia="宋体"/>
        </w:rPr>
        <w:t>not significant</w:t>
      </w:r>
      <w:r w:rsidR="00000000" w:rsidRPr="00551F27">
        <w:rPr>
          <w:rFonts w:eastAsia="宋体"/>
        </w:rPr>
        <w:t>; *</w:t>
      </w:r>
      <w:r w:rsidR="00000000" w:rsidRPr="00551F27">
        <w:rPr>
          <w:rFonts w:eastAsia="宋体"/>
          <w:i/>
          <w:iCs/>
        </w:rPr>
        <w:t>p</w:t>
      </w:r>
      <w:r w:rsidR="00000000" w:rsidRPr="00551F27">
        <w:rPr>
          <w:rFonts w:eastAsia="宋体"/>
        </w:rPr>
        <w:t xml:space="preserve"> &lt; 0.05; **</w:t>
      </w:r>
      <w:r w:rsidR="00000000" w:rsidRPr="00551F27">
        <w:rPr>
          <w:rFonts w:eastAsia="宋体"/>
          <w:i/>
          <w:iCs/>
        </w:rPr>
        <w:t>p</w:t>
      </w:r>
      <w:r w:rsidR="00000000" w:rsidRPr="00551F27">
        <w:rPr>
          <w:rFonts w:eastAsia="宋体"/>
        </w:rPr>
        <w:t xml:space="preserve"> &lt; 0.01; ***</w:t>
      </w:r>
      <w:r w:rsidR="00000000" w:rsidRPr="00551F27">
        <w:rPr>
          <w:rFonts w:eastAsia="宋体"/>
          <w:i/>
          <w:iCs/>
        </w:rPr>
        <w:t>p</w:t>
      </w:r>
      <w:r w:rsidR="00000000" w:rsidRPr="00551F27">
        <w:rPr>
          <w:rFonts w:eastAsia="宋体"/>
        </w:rPr>
        <w:t xml:space="preserve"> &lt; 0.001; ****</w:t>
      </w:r>
      <w:r w:rsidR="00000000" w:rsidRPr="00551F27">
        <w:rPr>
          <w:rFonts w:eastAsia="宋体"/>
          <w:i/>
          <w:iCs/>
        </w:rPr>
        <w:t>p</w:t>
      </w:r>
      <w:r w:rsidR="00000000" w:rsidRPr="00551F27">
        <w:rPr>
          <w:rFonts w:eastAsia="宋体"/>
        </w:rPr>
        <w:t xml:space="preserve"> &lt; 0.0001.</w:t>
      </w:r>
    </w:p>
    <w:p w14:paraId="35922395" w14:textId="77777777" w:rsidR="00E61742" w:rsidRPr="006D2036" w:rsidRDefault="00000000" w:rsidP="007A78E9">
      <w:pPr>
        <w:pStyle w:val="TSP52figure"/>
      </w:pPr>
      <w:r w:rsidRPr="006D2036">
        <w:rPr>
          <w:noProof/>
        </w:rPr>
        <w:lastRenderedPageBreak/>
        <w:drawing>
          <wp:inline distT="0" distB="0" distL="114300" distR="114300" wp14:anchorId="5AF2CCA0" wp14:editId="2FA0EE04">
            <wp:extent cx="3376930" cy="1746250"/>
            <wp:effectExtent l="0" t="0" r="4445" b="6350"/>
            <wp:docPr id="3" name="图片 3" descr="figure s3 联用雷帕霉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 s3 联用雷帕霉素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7693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BCA85" w14:textId="3107A4FC" w:rsidR="00E61742" w:rsidRPr="00003DB2" w:rsidRDefault="00B73255" w:rsidP="00B73255">
      <w:pPr>
        <w:pStyle w:val="TSP51figurecaption"/>
      </w:pPr>
      <w:r w:rsidRPr="00B73255">
        <w:rPr>
          <w:b/>
          <w:bCs/>
        </w:rPr>
        <w:t>Figure S3:</w:t>
      </w:r>
      <w:r w:rsidR="00000000" w:rsidRPr="006D2036">
        <w:t xml:space="preserve"> </w:t>
      </w:r>
      <w:r w:rsidRPr="006D2036">
        <w:rPr>
          <w:rFonts w:eastAsia="宋体"/>
        </w:rPr>
        <w:t xml:space="preserve">Effect of combining </w:t>
      </w:r>
      <w:proofErr w:type="spellStart"/>
      <w:r w:rsidRPr="006D2036">
        <w:rPr>
          <w:rFonts w:eastAsia="宋体"/>
        </w:rPr>
        <w:t>savolitinib</w:t>
      </w:r>
      <w:proofErr w:type="spellEnd"/>
      <w:r w:rsidRPr="006D2036">
        <w:rPr>
          <w:rFonts w:eastAsia="宋体"/>
        </w:rPr>
        <w:t xml:space="preserve"> with the autophagy inducer </w:t>
      </w:r>
      <w:r w:rsidRPr="00003DB2">
        <w:rPr>
          <w:rFonts w:eastAsia="宋体"/>
        </w:rPr>
        <w:t>rapamycin</w:t>
      </w:r>
      <w:r w:rsidR="00000000" w:rsidRPr="00003DB2">
        <w:rPr>
          <w:rFonts w:eastAsia="宋体"/>
        </w:rPr>
        <w:t>. (</w:t>
      </w:r>
      <w:proofErr w:type="gramStart"/>
      <w:r w:rsidR="00000000" w:rsidRPr="00003DB2">
        <w:rPr>
          <w:rFonts w:eastAsia="宋体"/>
          <w:b/>
          <w:bCs/>
        </w:rPr>
        <w:t>A</w:t>
      </w:r>
      <w:r w:rsidR="00000000" w:rsidRPr="00003DB2">
        <w:rPr>
          <w:rFonts w:eastAsia="宋体"/>
        </w:rPr>
        <w:t>,</w:t>
      </w:r>
      <w:r w:rsidR="00000000" w:rsidRPr="00003DB2">
        <w:rPr>
          <w:rFonts w:eastAsia="宋体"/>
          <w:b/>
          <w:bCs/>
        </w:rPr>
        <w:t>B</w:t>
      </w:r>
      <w:proofErr w:type="gramEnd"/>
      <w:r w:rsidR="00000000" w:rsidRPr="00003DB2">
        <w:rPr>
          <w:rFonts w:eastAsia="宋体"/>
        </w:rPr>
        <w:t xml:space="preserve">) </w:t>
      </w:r>
      <w:r w:rsidRPr="00003DB2">
        <w:rPr>
          <w:rFonts w:eastAsia="宋体"/>
        </w:rPr>
        <w:t xml:space="preserve">Cell viability of </w:t>
      </w:r>
      <w:r w:rsidR="00000000" w:rsidRPr="00003DB2">
        <w:rPr>
          <w:rFonts w:eastAsia="宋体"/>
        </w:rPr>
        <w:t>(</w:t>
      </w:r>
      <w:r w:rsidR="00000000" w:rsidRPr="00003DB2">
        <w:rPr>
          <w:rFonts w:eastAsia="宋体"/>
          <w:b/>
        </w:rPr>
        <w:t>A</w:t>
      </w:r>
      <w:r w:rsidR="00000000" w:rsidRPr="00003DB2">
        <w:rPr>
          <w:rFonts w:eastAsia="宋体"/>
        </w:rPr>
        <w:t xml:space="preserve">) AsPC-1 </w:t>
      </w:r>
      <w:r w:rsidRPr="00003DB2">
        <w:rPr>
          <w:rFonts w:eastAsia="宋体"/>
        </w:rPr>
        <w:t xml:space="preserve">and </w:t>
      </w:r>
      <w:r w:rsidR="00000000" w:rsidRPr="00003DB2">
        <w:rPr>
          <w:rFonts w:eastAsia="宋体"/>
        </w:rPr>
        <w:t>(</w:t>
      </w:r>
      <w:r w:rsidR="00000000" w:rsidRPr="00003DB2">
        <w:rPr>
          <w:rFonts w:eastAsia="宋体"/>
          <w:b/>
        </w:rPr>
        <w:t>B</w:t>
      </w:r>
      <w:r w:rsidR="00000000" w:rsidRPr="00003DB2">
        <w:rPr>
          <w:rFonts w:eastAsia="宋体"/>
        </w:rPr>
        <w:t xml:space="preserve">) BxPC-3 </w:t>
      </w:r>
      <w:r w:rsidRPr="00003DB2">
        <w:rPr>
          <w:rFonts w:eastAsia="宋体"/>
        </w:rPr>
        <w:t xml:space="preserve">cells after treatment with </w:t>
      </w:r>
      <w:proofErr w:type="spellStart"/>
      <w:r w:rsidRPr="00003DB2">
        <w:rPr>
          <w:rFonts w:eastAsia="宋体"/>
        </w:rPr>
        <w:t>savolitinib</w:t>
      </w:r>
      <w:proofErr w:type="spellEnd"/>
      <w:r w:rsidR="00000000" w:rsidRPr="00003DB2">
        <w:rPr>
          <w:rFonts w:eastAsia="宋体"/>
        </w:rPr>
        <w:t xml:space="preserve">, </w:t>
      </w:r>
      <w:r w:rsidRPr="00003DB2">
        <w:rPr>
          <w:rFonts w:eastAsia="宋体"/>
        </w:rPr>
        <w:t>rapamycin</w:t>
      </w:r>
      <w:r w:rsidR="00000000" w:rsidRPr="00003DB2">
        <w:rPr>
          <w:rFonts w:eastAsia="宋体"/>
        </w:rPr>
        <w:t xml:space="preserve">, </w:t>
      </w:r>
      <w:r w:rsidRPr="00003DB2">
        <w:rPr>
          <w:rFonts w:eastAsia="宋体"/>
        </w:rPr>
        <w:t xml:space="preserve">or their combination for </w:t>
      </w:r>
      <w:r w:rsidR="00000000" w:rsidRPr="00003DB2">
        <w:rPr>
          <w:rFonts w:eastAsia="宋体"/>
        </w:rPr>
        <w:t xml:space="preserve">48 </w:t>
      </w:r>
      <w:r w:rsidRPr="00003DB2">
        <w:rPr>
          <w:rFonts w:eastAsia="宋体"/>
        </w:rPr>
        <w:t>h</w:t>
      </w:r>
      <w:r w:rsidR="00000000" w:rsidRPr="00003DB2">
        <w:rPr>
          <w:rFonts w:eastAsia="宋体"/>
        </w:rPr>
        <w:t xml:space="preserve">, </w:t>
      </w:r>
      <w:r w:rsidRPr="00003DB2">
        <w:rPr>
          <w:rFonts w:eastAsia="宋体"/>
        </w:rPr>
        <w:t xml:space="preserve">as determined by the </w:t>
      </w:r>
      <w:r w:rsidR="00000000" w:rsidRPr="00003DB2">
        <w:rPr>
          <w:rFonts w:eastAsia="宋体"/>
        </w:rPr>
        <w:t xml:space="preserve">MTT </w:t>
      </w:r>
      <w:r w:rsidRPr="00003DB2">
        <w:rPr>
          <w:rFonts w:eastAsia="宋体"/>
        </w:rPr>
        <w:t xml:space="preserve">assay </w:t>
      </w:r>
      <w:r w:rsidR="00000000" w:rsidRPr="00003DB2">
        <w:rPr>
          <w:rFonts w:eastAsia="宋体"/>
        </w:rPr>
        <w:t xml:space="preserve">(n = 6). </w:t>
      </w:r>
      <w:proofErr w:type="spellStart"/>
      <w:r w:rsidR="00000000" w:rsidRPr="00003DB2">
        <w:rPr>
          <w:rFonts w:eastAsia="宋体"/>
        </w:rPr>
        <w:t>Savolitinib</w:t>
      </w:r>
      <w:proofErr w:type="spellEnd"/>
      <w:r w:rsidR="00000000" w:rsidRPr="00003DB2">
        <w:rPr>
          <w:rFonts w:eastAsia="宋体"/>
        </w:rPr>
        <w:t xml:space="preserve"> </w:t>
      </w:r>
      <w:r w:rsidRPr="00003DB2">
        <w:rPr>
          <w:rFonts w:eastAsia="宋体"/>
        </w:rPr>
        <w:t xml:space="preserve">was used at </w:t>
      </w:r>
      <w:r w:rsidR="00000000" w:rsidRPr="00003DB2">
        <w:rPr>
          <w:rFonts w:eastAsia="宋体"/>
        </w:rPr>
        <w:t xml:space="preserve">8 </w:t>
      </w:r>
      <w:proofErr w:type="spellStart"/>
      <w:r w:rsidR="00000000" w:rsidRPr="00003DB2">
        <w:rPr>
          <w:rFonts w:eastAsia="宋体"/>
        </w:rPr>
        <w:t>μM</w:t>
      </w:r>
      <w:proofErr w:type="spellEnd"/>
      <w:r w:rsidR="00000000" w:rsidRPr="00003DB2">
        <w:rPr>
          <w:rFonts w:eastAsia="宋体"/>
        </w:rPr>
        <w:t xml:space="preserve">, </w:t>
      </w:r>
      <w:r w:rsidRPr="00003DB2">
        <w:rPr>
          <w:rFonts w:eastAsia="宋体"/>
        </w:rPr>
        <w:t xml:space="preserve">and rapamycin was used at </w:t>
      </w:r>
      <w:r w:rsidR="00000000" w:rsidRPr="00003DB2">
        <w:rPr>
          <w:rFonts w:eastAsia="宋体"/>
        </w:rPr>
        <w:t xml:space="preserve">60 </w:t>
      </w:r>
      <w:proofErr w:type="spellStart"/>
      <w:r w:rsidR="00000000" w:rsidRPr="00003DB2">
        <w:rPr>
          <w:rFonts w:eastAsia="宋体"/>
        </w:rPr>
        <w:t>nM.</w:t>
      </w:r>
      <w:proofErr w:type="spellEnd"/>
      <w:r w:rsidR="00000000" w:rsidRPr="00003DB2">
        <w:rPr>
          <w:rFonts w:eastAsia="宋体"/>
        </w:rPr>
        <w:t xml:space="preserve"> Data </w:t>
      </w:r>
      <w:r w:rsidRPr="00003DB2">
        <w:rPr>
          <w:rFonts w:eastAsia="宋体"/>
        </w:rPr>
        <w:t xml:space="preserve">are presented as the mean </w:t>
      </w:r>
      <w:r w:rsidR="00000000" w:rsidRPr="00003DB2">
        <w:rPr>
          <w:rFonts w:eastAsia="宋体"/>
        </w:rPr>
        <w:t xml:space="preserve">± SD. Statistical </w:t>
      </w:r>
      <w:r w:rsidRPr="00003DB2">
        <w:rPr>
          <w:rFonts w:eastAsia="宋体"/>
        </w:rPr>
        <w:t>significance was determined by one</w:t>
      </w:r>
      <w:r w:rsidR="00000000" w:rsidRPr="00003DB2">
        <w:rPr>
          <w:rFonts w:eastAsia="宋体"/>
        </w:rPr>
        <w:t>-</w:t>
      </w:r>
      <w:r w:rsidRPr="00003DB2">
        <w:rPr>
          <w:rFonts w:eastAsia="宋体"/>
        </w:rPr>
        <w:t xml:space="preserve">way </w:t>
      </w:r>
      <w:r w:rsidR="00000000" w:rsidRPr="00003DB2">
        <w:rPr>
          <w:rFonts w:eastAsia="宋体"/>
        </w:rPr>
        <w:t xml:space="preserve">ANOVA </w:t>
      </w:r>
      <w:r w:rsidRPr="00003DB2">
        <w:rPr>
          <w:rFonts w:eastAsia="宋体"/>
        </w:rPr>
        <w:t xml:space="preserve">followed by </w:t>
      </w:r>
      <w:r w:rsidR="0060347D" w:rsidRPr="00003DB2">
        <w:rPr>
          <w:rFonts w:eastAsia="宋体"/>
        </w:rPr>
        <w:t xml:space="preserve">Tukey’s </w:t>
      </w:r>
      <w:r w:rsidRPr="00003DB2">
        <w:rPr>
          <w:rFonts w:eastAsia="宋体"/>
          <w:i/>
        </w:rPr>
        <w:t xml:space="preserve">post hoc </w:t>
      </w:r>
      <w:r w:rsidRPr="00003DB2">
        <w:rPr>
          <w:rFonts w:eastAsia="宋体"/>
        </w:rPr>
        <w:t>test</w:t>
      </w:r>
      <w:r w:rsidR="00000000" w:rsidRPr="00003DB2">
        <w:rPr>
          <w:rFonts w:eastAsia="宋体"/>
        </w:rPr>
        <w:t xml:space="preserve">. </w:t>
      </w:r>
      <w:proofErr w:type="spellStart"/>
      <w:r w:rsidR="0060347D" w:rsidRPr="00003DB2">
        <w:rPr>
          <w:rFonts w:eastAsia="宋体"/>
        </w:rPr>
        <w:t>n.</w:t>
      </w:r>
      <w:r w:rsidRPr="00003DB2">
        <w:rPr>
          <w:rFonts w:eastAsia="宋体"/>
        </w:rPr>
        <w:t>s</w:t>
      </w:r>
      <w:proofErr w:type="spellEnd"/>
      <w:r w:rsidR="00000000" w:rsidRPr="00003DB2">
        <w:rPr>
          <w:rFonts w:eastAsia="宋体"/>
        </w:rPr>
        <w:t xml:space="preserve">., </w:t>
      </w:r>
      <w:r w:rsidRPr="00003DB2">
        <w:rPr>
          <w:rFonts w:eastAsia="宋体"/>
        </w:rPr>
        <w:t>not significant</w:t>
      </w:r>
      <w:r w:rsidR="00000000" w:rsidRPr="00003DB2">
        <w:rPr>
          <w:rFonts w:eastAsia="宋体"/>
        </w:rPr>
        <w:t>; *</w:t>
      </w:r>
      <w:r w:rsidR="00000000" w:rsidRPr="00003DB2">
        <w:rPr>
          <w:rFonts w:eastAsia="宋体"/>
          <w:i/>
          <w:iCs/>
        </w:rPr>
        <w:t>p</w:t>
      </w:r>
      <w:r w:rsidR="00000000" w:rsidRPr="00003DB2">
        <w:rPr>
          <w:rFonts w:eastAsia="宋体"/>
        </w:rPr>
        <w:t xml:space="preserve"> &lt; 0.05.</w:t>
      </w:r>
    </w:p>
    <w:sectPr w:rsidR="00E61742" w:rsidRPr="00003DB2" w:rsidSect="006D2036">
      <w:pgSz w:w="12240" w:h="15840"/>
      <w:pgMar w:top="1440" w:right="1440" w:bottom="1440" w:left="1440" w:header="680" w:footer="794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DB66F" w14:textId="77777777" w:rsidR="003759A2" w:rsidRDefault="003759A2" w:rsidP="00F83319">
      <w:r>
        <w:separator/>
      </w:r>
    </w:p>
  </w:endnote>
  <w:endnote w:type="continuationSeparator" w:id="0">
    <w:p w14:paraId="76DDF2D3" w14:textId="77777777" w:rsidR="003759A2" w:rsidRDefault="003759A2" w:rsidP="00F833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9022F" w14:textId="77777777" w:rsidR="003759A2" w:rsidRDefault="003759A2" w:rsidP="00F83319">
      <w:r>
        <w:separator/>
      </w:r>
    </w:p>
  </w:footnote>
  <w:footnote w:type="continuationSeparator" w:id="0">
    <w:p w14:paraId="6E3E12C4" w14:textId="77777777" w:rsidR="003759A2" w:rsidRDefault="003759A2" w:rsidP="00F833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8B3ADC3A"/>
    <w:lvl w:ilvl="0" w:tplc="66DA29BC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AC6E7DDC"/>
    <w:lvl w:ilvl="0" w:tplc="5D225F74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hybridMultilevel"/>
    <w:tmpl w:val="1042F344"/>
    <w:lvl w:ilvl="0" w:tplc="40508890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hybridMultilevel"/>
    <w:tmpl w:val="C46AC4D8"/>
    <w:lvl w:ilvl="0" w:tplc="045CBBE0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896550850">
    <w:abstractNumId w:val="3"/>
  </w:num>
  <w:num w:numId="2" w16cid:durableId="1664776835">
    <w:abstractNumId w:val="0"/>
  </w:num>
  <w:num w:numId="3" w16cid:durableId="1422752931">
    <w:abstractNumId w:val="1"/>
  </w:num>
  <w:num w:numId="4" w16cid:durableId="1364132509">
    <w:abstractNumId w:val="2"/>
  </w:num>
  <w:num w:numId="5" w16cid:durableId="777024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7D95"/>
    <w:rsid w:val="00003DB2"/>
    <w:rsid w:val="00012D1A"/>
    <w:rsid w:val="000777E4"/>
    <w:rsid w:val="00126B2A"/>
    <w:rsid w:val="002C7271"/>
    <w:rsid w:val="002E0EB0"/>
    <w:rsid w:val="003759A2"/>
    <w:rsid w:val="0042684C"/>
    <w:rsid w:val="00433C18"/>
    <w:rsid w:val="00442E47"/>
    <w:rsid w:val="00551F27"/>
    <w:rsid w:val="00562DE3"/>
    <w:rsid w:val="0060347D"/>
    <w:rsid w:val="00614E33"/>
    <w:rsid w:val="006B7D95"/>
    <w:rsid w:val="006D2036"/>
    <w:rsid w:val="006F70BD"/>
    <w:rsid w:val="007A78E9"/>
    <w:rsid w:val="007D36A8"/>
    <w:rsid w:val="008D5946"/>
    <w:rsid w:val="008E3495"/>
    <w:rsid w:val="009A51F8"/>
    <w:rsid w:val="00A16504"/>
    <w:rsid w:val="00B5462A"/>
    <w:rsid w:val="00B73255"/>
    <w:rsid w:val="00CE34C0"/>
    <w:rsid w:val="00E61742"/>
    <w:rsid w:val="00EE3CCB"/>
    <w:rsid w:val="00F26375"/>
    <w:rsid w:val="00F83319"/>
    <w:rsid w:val="046B4F07"/>
    <w:rsid w:val="0DF717E0"/>
    <w:rsid w:val="1DB264AA"/>
    <w:rsid w:val="21F90983"/>
    <w:rsid w:val="287556BB"/>
    <w:rsid w:val="2AB07C13"/>
    <w:rsid w:val="33564E34"/>
    <w:rsid w:val="34EC11C8"/>
    <w:rsid w:val="3AC23405"/>
    <w:rsid w:val="3BF41027"/>
    <w:rsid w:val="433D5C7F"/>
    <w:rsid w:val="49E554A7"/>
    <w:rsid w:val="53FF0E9A"/>
    <w:rsid w:val="5A9210C5"/>
    <w:rsid w:val="62A414BE"/>
    <w:rsid w:val="632B4051"/>
    <w:rsid w:val="65157C30"/>
    <w:rsid w:val="6F3160E2"/>
    <w:rsid w:val="7A292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B3648D7"/>
  <w15:docId w15:val="{1C5E6C6F-8AB9-41C2-99C1-CA0F14F93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qFormat/>
    <w:pPr>
      <w:jc w:val="left"/>
    </w:pPr>
  </w:style>
  <w:style w:type="paragraph" w:styleId="Footer">
    <w:name w:val="footer"/>
    <w:basedOn w:val="Normal"/>
    <w:link w:val="FooterChar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qFormat/>
    <w:rPr>
      <w:rFonts w:ascii="Times New Roman" w:hAnsi="Times New Roman" w:cs="Times New Roman"/>
      <w:sz w:val="24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character" w:customStyle="1" w:styleId="HeaderChar">
    <w:name w:val="Header Char"/>
    <w:basedOn w:val="DefaultParagraphFont"/>
    <w:link w:val="Header"/>
    <w:qFormat/>
    <w:rPr>
      <w:kern w:val="2"/>
      <w:sz w:val="18"/>
      <w:szCs w:val="18"/>
    </w:rPr>
  </w:style>
  <w:style w:type="character" w:customStyle="1" w:styleId="FooterChar">
    <w:name w:val="Footer Char"/>
    <w:basedOn w:val="DefaultParagraphFont"/>
    <w:link w:val="Footer"/>
    <w:rPr>
      <w:kern w:val="2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qFormat/>
    <w:rPr>
      <w:kern w:val="2"/>
      <w:sz w:val="21"/>
      <w:szCs w:val="24"/>
    </w:rPr>
  </w:style>
  <w:style w:type="character" w:customStyle="1" w:styleId="CommentSubjectChar">
    <w:name w:val="Comment Subject Char"/>
    <w:basedOn w:val="CommentTextChar"/>
    <w:link w:val="CommentSubject"/>
    <w:rPr>
      <w:b/>
      <w:bCs/>
      <w:kern w:val="2"/>
      <w:sz w:val="21"/>
      <w:szCs w:val="24"/>
    </w:rPr>
  </w:style>
  <w:style w:type="paragraph" w:customStyle="1" w:styleId="Revision1">
    <w:name w:val="Revision1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Revision">
    <w:name w:val="Revision"/>
    <w:hidden/>
    <w:uiPriority w:val="99"/>
    <w:unhideWhenUsed/>
    <w:rsid w:val="00F83319"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TSP10doinum">
    <w:name w:val="TSP_1.0_doinum"/>
    <w:basedOn w:val="Normal"/>
    <w:qFormat/>
    <w:rsid w:val="006D2036"/>
    <w:pPr>
      <w:widowControl/>
      <w:adjustRightInd w:val="0"/>
      <w:snapToGrid w:val="0"/>
      <w:spacing w:after="240"/>
      <w:jc w:val="left"/>
    </w:pPr>
    <w:rPr>
      <w:rFonts w:ascii="Minion Pro" w:hAnsi="Minion Pro" w:cs="Times New Roman"/>
      <w:color w:val="000000"/>
      <w:sz w:val="14"/>
      <w:szCs w:val="20"/>
      <w14:ligatures w14:val="standardContextual"/>
    </w:rPr>
  </w:style>
  <w:style w:type="paragraph" w:customStyle="1" w:styleId="TSP11articletype">
    <w:name w:val="TSP_1.1_article_type"/>
    <w:next w:val="Normal"/>
    <w:qFormat/>
    <w:rsid w:val="006D2036"/>
    <w:pPr>
      <w:adjustRightInd w:val="0"/>
      <w:snapToGrid w:val="0"/>
      <w:spacing w:after="240" w:line="240" w:lineRule="atLeast"/>
    </w:pPr>
    <w:rPr>
      <w:rFonts w:ascii="Minion Pro" w:eastAsia="Times New Roman" w:hAnsi="Minion Pro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2title">
    <w:name w:val="TSP_1.2_title"/>
    <w:next w:val="Normal"/>
    <w:qFormat/>
    <w:rsid w:val="006D2036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6D2036"/>
    <w:pPr>
      <w:adjustRightInd w:val="0"/>
      <w:snapToGrid w:val="0"/>
      <w:spacing w:after="240" w:line="240" w:lineRule="atLeast"/>
    </w:pPr>
    <w:rPr>
      <w:rFonts w:ascii="Minion Pro" w:eastAsia="Times New Roman" w:hAnsi="Minion Pro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6D2036"/>
    <w:pPr>
      <w:widowControl/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DE" w:bidi="en-US"/>
    </w:rPr>
  </w:style>
  <w:style w:type="paragraph" w:customStyle="1" w:styleId="TSP15academiceditor">
    <w:name w:val="TSP_1.5_academic_editor"/>
    <w:qFormat/>
    <w:rsid w:val="006D2036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6D2036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6D2036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color w:val="000000"/>
      <w:szCs w:val="22"/>
      <w:lang w:eastAsia="de-DE" w:bidi="en-US"/>
    </w:rPr>
  </w:style>
  <w:style w:type="paragraph" w:customStyle="1" w:styleId="TSP18keywords">
    <w:name w:val="TSP_1.8_keywords"/>
    <w:next w:val="Normal"/>
    <w:qFormat/>
    <w:rsid w:val="006D2036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6D2036"/>
    <w:pPr>
      <w:spacing w:before="240" w:line="240" w:lineRule="atLeast"/>
      <w:jc w:val="both"/>
    </w:pPr>
    <w:rPr>
      <w:rFonts w:ascii="Minion Pro" w:eastAsia="Times New Roman" w:hAnsi="Minion Pro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6D2036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6D2036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6D2036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6D2036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24heading4">
    <w:name w:val="TSP_2.4_heading4"/>
    <w:basedOn w:val="TSP23heading3"/>
    <w:qFormat/>
    <w:rsid w:val="006D2036"/>
    <w:pPr>
      <w:outlineLvl w:val="3"/>
    </w:pPr>
    <w:rPr>
      <w:i w:val="0"/>
    </w:rPr>
  </w:style>
  <w:style w:type="paragraph" w:customStyle="1" w:styleId="TSP31text">
    <w:name w:val="TSP_3.1_text"/>
    <w:qFormat/>
    <w:rsid w:val="006D2036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6D2036"/>
    <w:pPr>
      <w:ind w:firstLine="0"/>
    </w:pPr>
  </w:style>
  <w:style w:type="paragraph" w:customStyle="1" w:styleId="TSP33textspaceafter">
    <w:name w:val="TSP_3.3_text_space_after"/>
    <w:qFormat/>
    <w:rsid w:val="006D2036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6D2036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6D2036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6D2036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6D2036"/>
    <w:pPr>
      <w:numPr>
        <w:numId w:val="1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6D2036"/>
    <w:pPr>
      <w:numPr>
        <w:numId w:val="2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6D2036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6D2036"/>
    <w:pPr>
      <w:spacing w:before="120" w:after="120" w:line="240" w:lineRule="atLeast"/>
      <w:jc w:val="righ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6D2036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6D2036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3tablefooter">
    <w:name w:val="TSP_4.3_table_footer"/>
    <w:next w:val="TSP31text"/>
    <w:qFormat/>
    <w:rsid w:val="006D2036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6D2036"/>
    <w:pPr>
      <w:adjustRightInd w:val="0"/>
      <w:snapToGrid w:val="0"/>
      <w:spacing w:before="120" w:after="240" w:line="240" w:lineRule="atLeast"/>
      <w:jc w:val="center"/>
    </w:pPr>
    <w:rPr>
      <w:rFonts w:ascii="Minion Pro" w:hAnsi="Minion Pro"/>
      <w:noProof/>
      <w:color w:val="000000"/>
      <w:lang w:bidi="en-US"/>
    </w:rPr>
  </w:style>
  <w:style w:type="paragraph" w:customStyle="1" w:styleId="TSP51figurecaption">
    <w:name w:val="TSP_5.1_figure_caption"/>
    <w:qFormat/>
    <w:rsid w:val="006D2036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/>
      <w:color w:val="000000"/>
      <w:lang w:eastAsia="de-DE" w:bidi="en-US"/>
    </w:rPr>
  </w:style>
  <w:style w:type="paragraph" w:customStyle="1" w:styleId="TSP52figure">
    <w:name w:val="TSP_5.2_figure"/>
    <w:qFormat/>
    <w:rsid w:val="006D2036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TSP61Citation">
    <w:name w:val="TSP_6.1_Citation"/>
    <w:qFormat/>
    <w:rsid w:val="006D2036"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paragraph" w:customStyle="1" w:styleId="TSP62BackMatter">
    <w:name w:val="TSP_6.2_BackMatter"/>
    <w:qFormat/>
    <w:rsid w:val="006D2036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6D2036"/>
    <w:pPr>
      <w:adjustRightInd w:val="0"/>
      <w:snapToGrid w:val="0"/>
      <w:spacing w:before="60" w:after="60" w:line="228" w:lineRule="auto"/>
      <w:jc w:val="both"/>
    </w:pPr>
    <w:rPr>
      <w:rFonts w:ascii="Minion Pro" w:hAnsi="Minion Pro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6D2036"/>
    <w:pPr>
      <w:numPr>
        <w:numId w:val="5"/>
      </w:numPr>
      <w:adjustRightInd w:val="0"/>
      <w:snapToGrid w:val="0"/>
      <w:spacing w:before="60" w:after="60" w:line="228" w:lineRule="auto"/>
      <w:jc w:val="both"/>
    </w:pPr>
    <w:rPr>
      <w:rFonts w:ascii="Minion Pro" w:hAnsi="Minion Pro"/>
      <w:noProof/>
      <w:color w:val="000000"/>
      <w:sz w:val="18"/>
    </w:rPr>
  </w:style>
  <w:style w:type="paragraph" w:customStyle="1" w:styleId="TSP71References">
    <w:name w:val="TSP_7.1_References"/>
    <w:qFormat/>
    <w:rsid w:val="006D2036"/>
    <w:pPr>
      <w:numPr>
        <w:numId w:val="4"/>
      </w:numPr>
      <w:adjustRightInd w:val="0"/>
      <w:snapToGrid w:val="0"/>
      <w:spacing w:line="228" w:lineRule="auto"/>
      <w:jc w:val="both"/>
    </w:pPr>
    <w:rPr>
      <w:rFonts w:ascii="Minion Pro" w:eastAsia="等线" w:hAnsi="Minion Pro"/>
      <w:color w:val="000000"/>
      <w:lang w:eastAsia="de-DE" w:bidi="en-US"/>
    </w:rPr>
  </w:style>
  <w:style w:type="paragraph" w:customStyle="1" w:styleId="TSP72Copyright">
    <w:name w:val="TSP_7.2_Copyright"/>
    <w:qFormat/>
    <w:rsid w:val="006D2036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6D2036"/>
    <w:pPr>
      <w:adjustRightInd w:val="0"/>
      <w:snapToGrid w:val="0"/>
      <w:spacing w:before="20" w:line="228" w:lineRule="auto"/>
    </w:pPr>
    <w:rPr>
      <w:rFonts w:ascii="Minion Pro" w:eastAsia="Times New Roman" w:hAnsi="Minion Pro"/>
      <w:color w:val="000000"/>
      <w:sz w:val="18"/>
      <w:lang w:eastAsia="de-CH"/>
    </w:rPr>
  </w:style>
  <w:style w:type="paragraph" w:customStyle="1" w:styleId="TSP81theorem">
    <w:name w:val="TSP_8.1_theorem"/>
    <w:qFormat/>
    <w:rsid w:val="006D2036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6D2036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6D2036"/>
    <w:pPr>
      <w:adjustRightInd w:val="0"/>
      <w:snapToGrid w:val="0"/>
      <w:spacing w:before="120" w:after="120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6D2036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6D2036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header">
    <w:name w:val="TSP_header"/>
    <w:qFormat/>
    <w:rsid w:val="006D2036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6D2036"/>
    <w:pPr>
      <w:spacing w:line="228" w:lineRule="auto"/>
    </w:pPr>
    <w:rPr>
      <w:rFonts w:ascii="Minion Pro" w:eastAsia="Times New Roman" w:hAnsi="Minion Pro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6D2036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6D2036"/>
    <w:pPr>
      <w:snapToGrid w:val="0"/>
      <w:spacing w:line="240" w:lineRule="atLeast"/>
      <w:ind w:firstLine="425"/>
      <w:jc w:val="both"/>
    </w:pPr>
    <w:rPr>
      <w:rFonts w:ascii="Minion Pro" w:eastAsia="Times New Roman" w:hAnsi="Minion Pro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6D2036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MsoFootnoteText0">
    <w:name w:val="MsoFootnoteText"/>
    <w:basedOn w:val="NormalWeb"/>
    <w:qFormat/>
    <w:rsid w:val="006D2036"/>
    <w:pPr>
      <w:widowControl/>
      <w:spacing w:line="280" w:lineRule="atLeast"/>
    </w:pPr>
    <w:rPr>
      <w:rFonts w:eastAsia="宋体"/>
      <w:color w:val="000000"/>
      <w:kern w:val="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260</Words>
  <Characters>1487</Characters>
  <Application>Microsoft Office Word</Application>
  <DocSecurity>0</DocSecurity>
  <Lines>12</Lines>
  <Paragraphs>3</Paragraphs>
  <ScaleCrop>false</ScaleCrop>
  <Company/>
  <LinksUpToDate>false</LinksUpToDate>
  <CharactersWithSpaces>1744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81490</dc:creator>
  <cp:lastModifiedBy>Production Team</cp:lastModifiedBy>
  <cp:revision>14</cp:revision>
  <dcterms:created xsi:type="dcterms:W3CDTF">2026-08-11T07:06:00Z</dcterms:created>
  <dcterms:modified xsi:type="dcterms:W3CDTF">2026-08-14T12:17:00Z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eyJoZGlkIjoiYTZkODZhY2I4ODYwNGM5Nzk1OGZmMjcxMDhkNzZkMWYiLCJ1c2VySWQiOiI3MjU4MjM5NjUifQ==</vt:lpwstr>
  </property>
  <property fmtid="{D5CDD505-2E9C-101B-9397-08002B2CF9AE}" pid="4" name="ICV">
    <vt:lpwstr>B69C2AE1F7F44D8CBADBDFC15E778A59_12</vt:lpwstr>
  </property>
  <property fmtid="{D5CDD505-2E9C-101B-9397-08002B2CF9AE}" pid="5" name="GrammarlyDocumentId">
    <vt:lpwstr>94b3f8de-de01-4cc6-9ceb-eb33dfe83c70</vt:lpwstr>
  </property>
</Properties>
</file>