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EAA6B5" w14:textId="77777777" w:rsidR="00470850" w:rsidRDefault="00470850" w:rsidP="00470850">
      <w:pPr>
        <w:spacing w:line="360" w:lineRule="auto"/>
        <w:jc w:val="left"/>
        <w:rPr>
          <w:rFonts w:eastAsiaTheme="minorEastAsia"/>
          <w:bCs/>
          <w:lang w:bidi="en-US"/>
        </w:rPr>
      </w:pPr>
      <w:r>
        <w:rPr>
          <w:rFonts w:eastAsia="Times New Roman"/>
          <w:b/>
          <w:lang w:eastAsia="de-DE" w:bidi="en-US"/>
        </w:rPr>
        <w:t>Table S1</w:t>
      </w:r>
      <w:r>
        <w:rPr>
          <w:rFonts w:eastAsiaTheme="minorEastAsia" w:hint="eastAsia"/>
          <w:b/>
          <w:lang w:bidi="en-US"/>
        </w:rPr>
        <w:t>:</w:t>
      </w:r>
      <w:r>
        <w:rPr>
          <w:rFonts w:eastAsia="Times New Roman"/>
          <w:b/>
          <w:lang w:eastAsia="de-DE" w:bidi="en-US"/>
        </w:rPr>
        <w:t xml:space="preserve"> </w:t>
      </w:r>
      <w:r>
        <w:rPr>
          <w:rFonts w:eastAsia="Times New Roman"/>
          <w:bCs/>
          <w:lang w:eastAsia="de-DE" w:bidi="en-US"/>
        </w:rPr>
        <w:t>Filtered reads data volume and statistical table of quality</w:t>
      </w:r>
    </w:p>
    <w:tbl>
      <w:tblPr>
        <w:tblStyle w:val="a7"/>
        <w:tblW w:w="6946" w:type="dxa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1418"/>
        <w:gridCol w:w="1417"/>
        <w:gridCol w:w="992"/>
        <w:gridCol w:w="993"/>
        <w:gridCol w:w="850"/>
      </w:tblGrid>
      <w:tr w:rsidR="00470850" w14:paraId="1D2E198E" w14:textId="77777777" w:rsidTr="00432F13">
        <w:trPr>
          <w:trHeight w:val="307"/>
          <w:jc w:val="center"/>
        </w:trPr>
        <w:tc>
          <w:tcPr>
            <w:tcW w:w="1276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300A5109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Sam</w:t>
            </w:r>
            <w:r>
              <w:rPr>
                <w:rFonts w:ascii="Times New Roman" w:hAnsi="Times New Roman" w:hint="eastAsia"/>
                <w:sz w:val="18"/>
                <w:szCs w:val="18"/>
              </w:rPr>
              <w:t>p</w:t>
            </w:r>
            <w:r>
              <w:rPr>
                <w:rFonts w:ascii="Times New Roman" w:hAnsi="Times New Roman"/>
                <w:sz w:val="18"/>
                <w:szCs w:val="18"/>
              </w:rPr>
              <w:t>le</w:t>
            </w:r>
          </w:p>
        </w:tc>
        <w:tc>
          <w:tcPr>
            <w:tcW w:w="1418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16D39399" w14:textId="77777777" w:rsidR="00470850" w:rsidRDefault="00470850" w:rsidP="00432F13">
            <w:pPr>
              <w:spacing w:line="240" w:lineRule="auto"/>
              <w:ind w:left="720" w:hangingChars="400" w:hanging="720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Clean Bases</w:t>
            </w:r>
          </w:p>
        </w:tc>
        <w:tc>
          <w:tcPr>
            <w:tcW w:w="1417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4DD21971" w14:textId="77777777" w:rsidR="00470850" w:rsidRDefault="00470850" w:rsidP="00432F13">
            <w:pPr>
              <w:spacing w:line="240" w:lineRule="auto"/>
              <w:ind w:left="360" w:hangingChars="200" w:hanging="360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Clean Reads</w:t>
            </w:r>
          </w:p>
        </w:tc>
        <w:tc>
          <w:tcPr>
            <w:tcW w:w="992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1026DB1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Q20%</w:t>
            </w:r>
          </w:p>
        </w:tc>
        <w:tc>
          <w:tcPr>
            <w:tcW w:w="993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3DB0EA49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Q30%</w:t>
            </w:r>
          </w:p>
        </w:tc>
        <w:tc>
          <w:tcPr>
            <w:tcW w:w="850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4718CAE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GC%</w:t>
            </w:r>
          </w:p>
        </w:tc>
      </w:tr>
      <w:tr w:rsidR="00470850" w14:paraId="73DFA856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0C971130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UR0-1</w:t>
            </w:r>
          </w:p>
        </w:tc>
        <w:tc>
          <w:tcPr>
            <w:tcW w:w="1418" w:type="dxa"/>
            <w:vAlign w:val="center"/>
          </w:tcPr>
          <w:p w14:paraId="1A7B258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6412546931</w:t>
            </w:r>
          </w:p>
        </w:tc>
        <w:tc>
          <w:tcPr>
            <w:tcW w:w="1417" w:type="dxa"/>
            <w:vAlign w:val="center"/>
          </w:tcPr>
          <w:p w14:paraId="015C2DC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43599460</w:t>
            </w:r>
          </w:p>
        </w:tc>
        <w:tc>
          <w:tcPr>
            <w:tcW w:w="992" w:type="dxa"/>
            <w:vAlign w:val="center"/>
          </w:tcPr>
          <w:p w14:paraId="4855BEF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97.98</w:t>
            </w:r>
          </w:p>
        </w:tc>
        <w:tc>
          <w:tcPr>
            <w:tcW w:w="993" w:type="dxa"/>
            <w:vAlign w:val="center"/>
          </w:tcPr>
          <w:p w14:paraId="1C8B7A4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94.32</w:t>
            </w:r>
          </w:p>
        </w:tc>
        <w:tc>
          <w:tcPr>
            <w:tcW w:w="850" w:type="dxa"/>
            <w:vAlign w:val="center"/>
          </w:tcPr>
          <w:p w14:paraId="2DDF8AE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43.00</w:t>
            </w:r>
          </w:p>
        </w:tc>
      </w:tr>
      <w:tr w:rsidR="00470850" w14:paraId="66854214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6649D9D6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UR0-2</w:t>
            </w:r>
          </w:p>
        </w:tc>
        <w:tc>
          <w:tcPr>
            <w:tcW w:w="1418" w:type="dxa"/>
            <w:vAlign w:val="center"/>
          </w:tcPr>
          <w:p w14:paraId="3A36C47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6390338026</w:t>
            </w:r>
          </w:p>
        </w:tc>
        <w:tc>
          <w:tcPr>
            <w:tcW w:w="1417" w:type="dxa"/>
            <w:vAlign w:val="center"/>
          </w:tcPr>
          <w:p w14:paraId="621C5F1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43376374</w:t>
            </w:r>
          </w:p>
        </w:tc>
        <w:tc>
          <w:tcPr>
            <w:tcW w:w="992" w:type="dxa"/>
            <w:vAlign w:val="center"/>
          </w:tcPr>
          <w:p w14:paraId="7578452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98.04</w:t>
            </w:r>
          </w:p>
        </w:tc>
        <w:tc>
          <w:tcPr>
            <w:tcW w:w="993" w:type="dxa"/>
            <w:vAlign w:val="center"/>
          </w:tcPr>
          <w:p w14:paraId="2202B10E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94.5</w:t>
            </w:r>
          </w:p>
        </w:tc>
        <w:tc>
          <w:tcPr>
            <w:tcW w:w="850" w:type="dxa"/>
            <w:vAlign w:val="center"/>
          </w:tcPr>
          <w:p w14:paraId="5C4F3A8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42.97</w:t>
            </w:r>
          </w:p>
        </w:tc>
      </w:tr>
      <w:tr w:rsidR="00470850" w14:paraId="6F629F3B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2144EED5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UR0-3</w:t>
            </w:r>
          </w:p>
        </w:tc>
        <w:tc>
          <w:tcPr>
            <w:tcW w:w="1418" w:type="dxa"/>
            <w:vAlign w:val="center"/>
          </w:tcPr>
          <w:p w14:paraId="6C8B14A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6128863841</w:t>
            </w:r>
          </w:p>
        </w:tc>
        <w:tc>
          <w:tcPr>
            <w:tcW w:w="1417" w:type="dxa"/>
            <w:vAlign w:val="center"/>
          </w:tcPr>
          <w:p w14:paraId="2EA3479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41613048</w:t>
            </w:r>
          </w:p>
        </w:tc>
        <w:tc>
          <w:tcPr>
            <w:tcW w:w="992" w:type="dxa"/>
            <w:vAlign w:val="center"/>
          </w:tcPr>
          <w:p w14:paraId="48FF5E3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98.18</w:t>
            </w:r>
          </w:p>
        </w:tc>
        <w:tc>
          <w:tcPr>
            <w:tcW w:w="993" w:type="dxa"/>
            <w:vAlign w:val="center"/>
          </w:tcPr>
          <w:p w14:paraId="07CEAB2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94.87</w:t>
            </w:r>
          </w:p>
        </w:tc>
        <w:tc>
          <w:tcPr>
            <w:tcW w:w="850" w:type="dxa"/>
            <w:vAlign w:val="center"/>
          </w:tcPr>
          <w:p w14:paraId="1E88564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43.23</w:t>
            </w:r>
          </w:p>
        </w:tc>
      </w:tr>
      <w:tr w:rsidR="00470850" w14:paraId="63944931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3583988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UR200-1</w:t>
            </w:r>
          </w:p>
        </w:tc>
        <w:tc>
          <w:tcPr>
            <w:tcW w:w="1418" w:type="dxa"/>
            <w:vAlign w:val="center"/>
          </w:tcPr>
          <w:p w14:paraId="147FB49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7543524604</w:t>
            </w:r>
          </w:p>
        </w:tc>
        <w:tc>
          <w:tcPr>
            <w:tcW w:w="1417" w:type="dxa"/>
            <w:vAlign w:val="center"/>
          </w:tcPr>
          <w:p w14:paraId="023F98C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51431526</w:t>
            </w:r>
          </w:p>
        </w:tc>
        <w:tc>
          <w:tcPr>
            <w:tcW w:w="992" w:type="dxa"/>
            <w:vAlign w:val="center"/>
          </w:tcPr>
          <w:p w14:paraId="5CD53CF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98.08</w:t>
            </w:r>
          </w:p>
        </w:tc>
        <w:tc>
          <w:tcPr>
            <w:tcW w:w="993" w:type="dxa"/>
            <w:vAlign w:val="center"/>
          </w:tcPr>
          <w:p w14:paraId="7B91E4A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94.64</w:t>
            </w:r>
          </w:p>
        </w:tc>
        <w:tc>
          <w:tcPr>
            <w:tcW w:w="850" w:type="dxa"/>
            <w:vAlign w:val="center"/>
          </w:tcPr>
          <w:p w14:paraId="26FD6EE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43.33</w:t>
            </w:r>
          </w:p>
        </w:tc>
      </w:tr>
      <w:tr w:rsidR="00470850" w14:paraId="338CE225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4AC8BC42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UR200-2</w:t>
            </w:r>
          </w:p>
        </w:tc>
        <w:tc>
          <w:tcPr>
            <w:tcW w:w="1418" w:type="dxa"/>
            <w:vAlign w:val="center"/>
          </w:tcPr>
          <w:p w14:paraId="11EB198E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6015299140</w:t>
            </w:r>
          </w:p>
        </w:tc>
        <w:tc>
          <w:tcPr>
            <w:tcW w:w="1417" w:type="dxa"/>
            <w:vAlign w:val="center"/>
          </w:tcPr>
          <w:p w14:paraId="03400D7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40788978</w:t>
            </w:r>
          </w:p>
        </w:tc>
        <w:tc>
          <w:tcPr>
            <w:tcW w:w="992" w:type="dxa"/>
            <w:vAlign w:val="center"/>
          </w:tcPr>
          <w:p w14:paraId="4B506C0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98.07</w:t>
            </w:r>
          </w:p>
        </w:tc>
        <w:tc>
          <w:tcPr>
            <w:tcW w:w="993" w:type="dxa"/>
            <w:vAlign w:val="center"/>
          </w:tcPr>
          <w:p w14:paraId="674C7F4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94.54</w:t>
            </w:r>
          </w:p>
        </w:tc>
        <w:tc>
          <w:tcPr>
            <w:tcW w:w="850" w:type="dxa"/>
            <w:vAlign w:val="center"/>
          </w:tcPr>
          <w:p w14:paraId="7CBB2BD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43.17</w:t>
            </w:r>
          </w:p>
        </w:tc>
      </w:tr>
      <w:tr w:rsidR="00470850" w14:paraId="433ECBA6" w14:textId="77777777" w:rsidTr="00432F13">
        <w:trPr>
          <w:trHeight w:val="510"/>
          <w:jc w:val="center"/>
        </w:trPr>
        <w:tc>
          <w:tcPr>
            <w:tcW w:w="1276" w:type="dxa"/>
            <w:vAlign w:val="center"/>
          </w:tcPr>
          <w:p w14:paraId="3ECC6A9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UR200-3</w:t>
            </w:r>
          </w:p>
        </w:tc>
        <w:tc>
          <w:tcPr>
            <w:tcW w:w="1418" w:type="dxa"/>
            <w:vAlign w:val="center"/>
          </w:tcPr>
          <w:p w14:paraId="4322628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6700001527</w:t>
            </w:r>
          </w:p>
        </w:tc>
        <w:tc>
          <w:tcPr>
            <w:tcW w:w="1417" w:type="dxa"/>
            <w:vAlign w:val="center"/>
          </w:tcPr>
          <w:p w14:paraId="192A7A9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45256000</w:t>
            </w:r>
          </w:p>
        </w:tc>
        <w:tc>
          <w:tcPr>
            <w:tcW w:w="992" w:type="dxa"/>
            <w:vAlign w:val="center"/>
          </w:tcPr>
          <w:p w14:paraId="0DAD800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98.03</w:t>
            </w:r>
          </w:p>
        </w:tc>
        <w:tc>
          <w:tcPr>
            <w:tcW w:w="993" w:type="dxa"/>
            <w:vAlign w:val="center"/>
          </w:tcPr>
          <w:p w14:paraId="5415FEA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94.43</w:t>
            </w:r>
          </w:p>
        </w:tc>
        <w:tc>
          <w:tcPr>
            <w:tcW w:w="850" w:type="dxa"/>
            <w:vAlign w:val="center"/>
          </w:tcPr>
          <w:p w14:paraId="6AD6887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43.49</w:t>
            </w:r>
          </w:p>
        </w:tc>
      </w:tr>
      <w:tr w:rsidR="00470850" w14:paraId="6B5A1C7F" w14:textId="77777777" w:rsidTr="00432F13">
        <w:trPr>
          <w:trHeight w:val="510"/>
          <w:jc w:val="center"/>
        </w:trPr>
        <w:tc>
          <w:tcPr>
            <w:tcW w:w="1276" w:type="dxa"/>
            <w:vAlign w:val="center"/>
          </w:tcPr>
          <w:p w14:paraId="5B17679C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Control-1</w:t>
            </w:r>
          </w:p>
        </w:tc>
        <w:tc>
          <w:tcPr>
            <w:tcW w:w="1418" w:type="dxa"/>
            <w:vAlign w:val="center"/>
          </w:tcPr>
          <w:p w14:paraId="2BEEB06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6452067836</w:t>
            </w:r>
          </w:p>
        </w:tc>
        <w:tc>
          <w:tcPr>
            <w:tcW w:w="1417" w:type="dxa"/>
            <w:vAlign w:val="center"/>
          </w:tcPr>
          <w:p w14:paraId="7EF1318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43747844</w:t>
            </w:r>
          </w:p>
        </w:tc>
        <w:tc>
          <w:tcPr>
            <w:tcW w:w="992" w:type="dxa"/>
            <w:vAlign w:val="center"/>
          </w:tcPr>
          <w:p w14:paraId="060531E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98.17</w:t>
            </w:r>
          </w:p>
        </w:tc>
        <w:tc>
          <w:tcPr>
            <w:tcW w:w="993" w:type="dxa"/>
            <w:vAlign w:val="center"/>
          </w:tcPr>
          <w:p w14:paraId="10573CB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94.78</w:t>
            </w:r>
          </w:p>
        </w:tc>
        <w:tc>
          <w:tcPr>
            <w:tcW w:w="850" w:type="dxa"/>
            <w:vAlign w:val="center"/>
          </w:tcPr>
          <w:p w14:paraId="7DC0DFE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44.06</w:t>
            </w:r>
          </w:p>
        </w:tc>
      </w:tr>
      <w:tr w:rsidR="00470850" w14:paraId="7655165A" w14:textId="77777777" w:rsidTr="00432F13">
        <w:trPr>
          <w:trHeight w:val="510"/>
          <w:jc w:val="center"/>
        </w:trPr>
        <w:tc>
          <w:tcPr>
            <w:tcW w:w="1276" w:type="dxa"/>
            <w:vAlign w:val="center"/>
          </w:tcPr>
          <w:p w14:paraId="7B0418E9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Control-2</w:t>
            </w:r>
          </w:p>
        </w:tc>
        <w:tc>
          <w:tcPr>
            <w:tcW w:w="1418" w:type="dxa"/>
            <w:vAlign w:val="center"/>
          </w:tcPr>
          <w:p w14:paraId="673CAEA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6542979049</w:t>
            </w:r>
          </w:p>
        </w:tc>
        <w:tc>
          <w:tcPr>
            <w:tcW w:w="1417" w:type="dxa"/>
            <w:vAlign w:val="center"/>
          </w:tcPr>
          <w:p w14:paraId="1E065C2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44398334</w:t>
            </w:r>
          </w:p>
        </w:tc>
        <w:tc>
          <w:tcPr>
            <w:tcW w:w="992" w:type="dxa"/>
            <w:vAlign w:val="center"/>
          </w:tcPr>
          <w:p w14:paraId="7509D8D8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98.17</w:t>
            </w:r>
          </w:p>
        </w:tc>
        <w:tc>
          <w:tcPr>
            <w:tcW w:w="993" w:type="dxa"/>
            <w:vAlign w:val="center"/>
          </w:tcPr>
          <w:p w14:paraId="15D0DBC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94.87</w:t>
            </w:r>
          </w:p>
        </w:tc>
        <w:tc>
          <w:tcPr>
            <w:tcW w:w="850" w:type="dxa"/>
            <w:vAlign w:val="center"/>
          </w:tcPr>
          <w:p w14:paraId="088BCD7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44.15</w:t>
            </w:r>
          </w:p>
        </w:tc>
      </w:tr>
    </w:tbl>
    <w:p w14:paraId="394784A4" w14:textId="77777777" w:rsidR="00470850" w:rsidRDefault="00470850" w:rsidP="00470850">
      <w:pPr>
        <w:rPr>
          <w:rFonts w:eastAsiaTheme="minorEastAsia"/>
          <w:bCs/>
          <w:lang w:bidi="en-US"/>
        </w:rPr>
      </w:pPr>
      <w:r>
        <w:rPr>
          <w:rFonts w:eastAsia="Times New Roman"/>
          <w:b/>
          <w:lang w:eastAsia="de-DE" w:bidi="en-US"/>
        </w:rPr>
        <w:t>Note:</w:t>
      </w:r>
      <w:r>
        <w:rPr>
          <w:rFonts w:eastAsia="Times New Roman"/>
          <w:bCs/>
          <w:lang w:eastAsia="de-DE" w:bidi="en-US"/>
        </w:rPr>
        <w:t xml:space="preserve"> </w:t>
      </w:r>
      <w:r>
        <w:rPr>
          <w:rFonts w:eastAsia="Times New Roman" w:hint="eastAsia"/>
          <w:bCs/>
          <w:lang w:eastAsia="de-DE" w:bidi="en-US"/>
        </w:rPr>
        <w:t>Clean bases</w:t>
      </w:r>
      <w:r>
        <w:rPr>
          <w:rFonts w:eastAsia="Times New Roman"/>
          <w:bCs/>
          <w:lang w:eastAsia="de-DE" w:bidi="en-US"/>
        </w:rPr>
        <w:t xml:space="preserve"> </w:t>
      </w:r>
      <w:r>
        <w:rPr>
          <w:rFonts w:eastAsia="Times New Roman" w:hint="eastAsia"/>
          <w:bCs/>
          <w:lang w:eastAsia="de-DE" w:bidi="en-US"/>
        </w:rPr>
        <w:t>i</w:t>
      </w:r>
      <w:r>
        <w:rPr>
          <w:rFonts w:eastAsia="Times New Roman"/>
          <w:bCs/>
          <w:lang w:eastAsia="de-DE" w:bidi="en-US"/>
        </w:rPr>
        <w:t xml:space="preserve">s the total number of sequencing reads after quality control (The number of Clean reads multiplied by the length of the reads); </w:t>
      </w:r>
      <w:r>
        <w:rPr>
          <w:rFonts w:eastAsia="Times New Roman" w:hint="eastAsia"/>
          <w:bCs/>
          <w:lang w:eastAsia="de-DE" w:bidi="en-US"/>
        </w:rPr>
        <w:t>Clean reads</w:t>
      </w:r>
      <w:r>
        <w:rPr>
          <w:rFonts w:eastAsia="Times New Roman"/>
          <w:bCs/>
          <w:lang w:eastAsia="de-DE" w:bidi="en-US"/>
        </w:rPr>
        <w:t xml:space="preserve"> is the total number of sequencing reads after quality control;</w:t>
      </w:r>
      <w:r>
        <w:rPr>
          <w:rFonts w:ascii="微软雅黑" w:eastAsia="微软雅黑" w:hAnsi="微软雅黑" w:cs="微软雅黑" w:hint="eastAsia"/>
          <w:bCs/>
          <w:lang w:eastAsia="de-DE" w:bidi="en-US"/>
        </w:rPr>
        <w:t>（</w:t>
      </w:r>
      <w:r>
        <w:rPr>
          <w:rFonts w:eastAsia="Times New Roman" w:hint="eastAsia"/>
          <w:bCs/>
          <w:lang w:eastAsia="de-DE" w:bidi="en-US"/>
        </w:rPr>
        <w:t>7</w:t>
      </w:r>
      <w:r>
        <w:rPr>
          <w:rFonts w:ascii="微软雅黑" w:eastAsia="微软雅黑" w:hAnsi="微软雅黑" w:cs="微软雅黑" w:hint="eastAsia"/>
          <w:bCs/>
          <w:lang w:eastAsia="de-DE" w:bidi="en-US"/>
        </w:rPr>
        <w:t>）</w:t>
      </w:r>
      <w:r>
        <w:rPr>
          <w:rFonts w:eastAsia="Times New Roman" w:hint="eastAsia"/>
          <w:bCs/>
          <w:lang w:eastAsia="de-DE" w:bidi="en-US"/>
        </w:rPr>
        <w:t>Q20 %</w:t>
      </w:r>
      <w:r>
        <w:rPr>
          <w:rFonts w:ascii="微软雅黑" w:eastAsia="微软雅黑" w:hAnsi="微软雅黑" w:cs="微软雅黑" w:hint="eastAsia"/>
          <w:bCs/>
          <w:lang w:eastAsia="de-DE" w:bidi="en-US"/>
        </w:rPr>
        <w:t>、</w:t>
      </w:r>
      <w:r>
        <w:rPr>
          <w:rFonts w:eastAsia="Times New Roman" w:hint="eastAsia"/>
          <w:bCs/>
          <w:lang w:eastAsia="de-DE" w:bidi="en-US"/>
        </w:rPr>
        <w:t xml:space="preserve">Q30 % </w:t>
      </w:r>
      <w:r>
        <w:rPr>
          <w:rFonts w:eastAsia="Times New Roman"/>
          <w:bCs/>
          <w:lang w:eastAsia="de-DE" w:bidi="en-US"/>
        </w:rPr>
        <w:t>means the quality assessment of sequencing data after quality control,</w:t>
      </w:r>
      <w:r>
        <w:rPr>
          <w:rFonts w:eastAsia="Times New Roman" w:hint="eastAsia"/>
          <w:bCs/>
          <w:lang w:eastAsia="de-DE" w:bidi="en-US"/>
        </w:rPr>
        <w:t xml:space="preserve"> </w:t>
      </w:r>
      <w:r>
        <w:rPr>
          <w:rFonts w:eastAsia="Times New Roman"/>
          <w:bCs/>
          <w:lang w:eastAsia="de-DE" w:bidi="en-US"/>
        </w:rPr>
        <w:t>where Q20 and Q30 refer to the percentage of bases with sequencing quality above 99% and 99.9% respectively, generally Q20 above 85% and Q30 above 80%. (8) GC% % means the percentage of G and C bases in the total bases of quality-controlled data.</w:t>
      </w:r>
      <w:r>
        <w:rPr>
          <w:rFonts w:eastAsia="Times New Roman" w:hint="eastAsia"/>
          <w:bCs/>
          <w:lang w:eastAsia="de-DE" w:bidi="en-US"/>
        </w:rPr>
        <w:t xml:space="preserve"> </w:t>
      </w:r>
    </w:p>
    <w:p w14:paraId="07B84A7E" w14:textId="77777777" w:rsidR="00470850" w:rsidRDefault="00470850" w:rsidP="00470850">
      <w:pPr>
        <w:spacing w:line="360" w:lineRule="auto"/>
        <w:jc w:val="left"/>
        <w:rPr>
          <w:rFonts w:eastAsiaTheme="minorEastAsia"/>
          <w:bCs/>
          <w:lang w:bidi="en-US"/>
        </w:rPr>
      </w:pPr>
      <w:r>
        <w:rPr>
          <w:rFonts w:eastAsia="Times New Roman"/>
          <w:b/>
          <w:lang w:eastAsia="de-DE" w:bidi="en-US"/>
        </w:rPr>
        <w:t>Table S2</w:t>
      </w:r>
      <w:r>
        <w:rPr>
          <w:rFonts w:eastAsiaTheme="minorEastAsia" w:hint="eastAsia"/>
          <w:b/>
          <w:lang w:bidi="en-US"/>
        </w:rPr>
        <w:t>:</w:t>
      </w:r>
      <w:r>
        <w:rPr>
          <w:rFonts w:eastAsia="Times New Roman"/>
          <w:b/>
          <w:lang w:eastAsia="de-DE" w:bidi="en-US"/>
        </w:rPr>
        <w:t xml:space="preserve"> </w:t>
      </w:r>
      <w:r>
        <w:rPr>
          <w:rFonts w:eastAsia="Times New Roman"/>
          <w:bCs/>
          <w:lang w:eastAsia="de-DE" w:bidi="en-US"/>
        </w:rPr>
        <w:t>Table of comparison statistics with assembly results</w:t>
      </w:r>
    </w:p>
    <w:tbl>
      <w:tblPr>
        <w:tblStyle w:val="a7"/>
        <w:tblW w:w="5387" w:type="dxa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1418"/>
        <w:gridCol w:w="1417"/>
        <w:gridCol w:w="1276"/>
      </w:tblGrid>
      <w:tr w:rsidR="00470850" w14:paraId="421C7F6F" w14:textId="77777777" w:rsidTr="00432F13">
        <w:trPr>
          <w:trHeight w:val="307"/>
          <w:jc w:val="center"/>
        </w:trPr>
        <w:tc>
          <w:tcPr>
            <w:tcW w:w="1276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440E7F1E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Sample</w:t>
            </w:r>
          </w:p>
        </w:tc>
        <w:tc>
          <w:tcPr>
            <w:tcW w:w="1418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7B2F7657" w14:textId="77777777" w:rsidR="00470850" w:rsidRDefault="00470850" w:rsidP="00432F13">
            <w:pPr>
              <w:spacing w:line="240" w:lineRule="auto"/>
              <w:ind w:left="720" w:hangingChars="400" w:hanging="720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Clean Reads</w:t>
            </w:r>
          </w:p>
        </w:tc>
        <w:tc>
          <w:tcPr>
            <w:tcW w:w="1417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66DBDCA4" w14:textId="77777777" w:rsidR="00470850" w:rsidRDefault="00470850" w:rsidP="00432F13">
            <w:pPr>
              <w:spacing w:line="240" w:lineRule="auto"/>
              <w:ind w:left="360" w:hangingChars="200" w:hanging="360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Mapped reads</w:t>
            </w:r>
          </w:p>
        </w:tc>
        <w:tc>
          <w:tcPr>
            <w:tcW w:w="1276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1BAC754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Mapped ratio</w:t>
            </w:r>
          </w:p>
        </w:tc>
      </w:tr>
      <w:tr w:rsidR="00470850" w14:paraId="7B0CED26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5A51A036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UR0-1</w:t>
            </w:r>
          </w:p>
        </w:tc>
        <w:tc>
          <w:tcPr>
            <w:tcW w:w="1418" w:type="dxa"/>
            <w:vAlign w:val="center"/>
          </w:tcPr>
          <w:p w14:paraId="087C1E1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21799730</w:t>
            </w:r>
          </w:p>
        </w:tc>
        <w:tc>
          <w:tcPr>
            <w:tcW w:w="1417" w:type="dxa"/>
            <w:vAlign w:val="center"/>
          </w:tcPr>
          <w:p w14:paraId="1C9C515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18301974</w:t>
            </w:r>
          </w:p>
        </w:tc>
        <w:tc>
          <w:tcPr>
            <w:tcW w:w="1276" w:type="dxa"/>
            <w:vAlign w:val="center"/>
          </w:tcPr>
          <w:p w14:paraId="33E88A4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83.96%</w:t>
            </w:r>
          </w:p>
        </w:tc>
      </w:tr>
      <w:tr w:rsidR="00470850" w14:paraId="44CD2AD7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39F2CF94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UR0-2</w:t>
            </w:r>
          </w:p>
        </w:tc>
        <w:tc>
          <w:tcPr>
            <w:tcW w:w="1418" w:type="dxa"/>
            <w:vAlign w:val="center"/>
          </w:tcPr>
          <w:p w14:paraId="3312358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21688187</w:t>
            </w:r>
          </w:p>
        </w:tc>
        <w:tc>
          <w:tcPr>
            <w:tcW w:w="1417" w:type="dxa"/>
            <w:vAlign w:val="center"/>
          </w:tcPr>
          <w:p w14:paraId="5C9BA6C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18173622</w:t>
            </w:r>
          </w:p>
        </w:tc>
        <w:tc>
          <w:tcPr>
            <w:tcW w:w="1276" w:type="dxa"/>
            <w:vAlign w:val="center"/>
          </w:tcPr>
          <w:p w14:paraId="5A59DF0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83.80%</w:t>
            </w:r>
          </w:p>
        </w:tc>
      </w:tr>
      <w:tr w:rsidR="00470850" w14:paraId="1A2D3D87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0DF14F27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UR0-3</w:t>
            </w:r>
          </w:p>
        </w:tc>
        <w:tc>
          <w:tcPr>
            <w:tcW w:w="1418" w:type="dxa"/>
            <w:vAlign w:val="center"/>
          </w:tcPr>
          <w:p w14:paraId="7D7644D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20806524</w:t>
            </w:r>
          </w:p>
        </w:tc>
        <w:tc>
          <w:tcPr>
            <w:tcW w:w="1417" w:type="dxa"/>
            <w:vAlign w:val="center"/>
          </w:tcPr>
          <w:p w14:paraId="3D3CA6E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17482787</w:t>
            </w:r>
          </w:p>
        </w:tc>
        <w:tc>
          <w:tcPr>
            <w:tcW w:w="1276" w:type="dxa"/>
            <w:vAlign w:val="center"/>
          </w:tcPr>
          <w:p w14:paraId="5ADAE26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84.03%</w:t>
            </w:r>
          </w:p>
        </w:tc>
      </w:tr>
      <w:tr w:rsidR="00470850" w14:paraId="3DD3A392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549E13EC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UR200-1</w:t>
            </w:r>
          </w:p>
        </w:tc>
        <w:tc>
          <w:tcPr>
            <w:tcW w:w="1418" w:type="dxa"/>
            <w:vAlign w:val="center"/>
          </w:tcPr>
          <w:p w14:paraId="4F6F213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25715763</w:t>
            </w:r>
          </w:p>
        </w:tc>
        <w:tc>
          <w:tcPr>
            <w:tcW w:w="1417" w:type="dxa"/>
            <w:vAlign w:val="center"/>
          </w:tcPr>
          <w:p w14:paraId="75595A8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21751145</w:t>
            </w:r>
          </w:p>
        </w:tc>
        <w:tc>
          <w:tcPr>
            <w:tcW w:w="1276" w:type="dxa"/>
            <w:vAlign w:val="center"/>
          </w:tcPr>
          <w:p w14:paraId="7FF38F7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84.58%</w:t>
            </w:r>
          </w:p>
        </w:tc>
      </w:tr>
      <w:tr w:rsidR="00470850" w14:paraId="4AB53407" w14:textId="77777777" w:rsidTr="00432F13">
        <w:trPr>
          <w:trHeight w:val="480"/>
          <w:jc w:val="center"/>
        </w:trPr>
        <w:tc>
          <w:tcPr>
            <w:tcW w:w="1276" w:type="dxa"/>
            <w:vAlign w:val="center"/>
          </w:tcPr>
          <w:p w14:paraId="7B36DBB2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UR200-2</w:t>
            </w:r>
          </w:p>
        </w:tc>
        <w:tc>
          <w:tcPr>
            <w:tcW w:w="1418" w:type="dxa"/>
            <w:vAlign w:val="center"/>
          </w:tcPr>
          <w:p w14:paraId="02973CB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20394489</w:t>
            </w:r>
          </w:p>
        </w:tc>
        <w:tc>
          <w:tcPr>
            <w:tcW w:w="1417" w:type="dxa"/>
            <w:vAlign w:val="center"/>
          </w:tcPr>
          <w:p w14:paraId="7F00240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17163321</w:t>
            </w:r>
          </w:p>
        </w:tc>
        <w:tc>
          <w:tcPr>
            <w:tcW w:w="1276" w:type="dxa"/>
            <w:vAlign w:val="center"/>
          </w:tcPr>
          <w:p w14:paraId="4373C0B8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84.16%</w:t>
            </w:r>
          </w:p>
        </w:tc>
      </w:tr>
      <w:tr w:rsidR="00470850" w14:paraId="18FE73DA" w14:textId="77777777" w:rsidTr="00432F13">
        <w:trPr>
          <w:trHeight w:val="510"/>
          <w:jc w:val="center"/>
        </w:trPr>
        <w:tc>
          <w:tcPr>
            <w:tcW w:w="1276" w:type="dxa"/>
            <w:vAlign w:val="center"/>
          </w:tcPr>
          <w:p w14:paraId="2499BA93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 w:hint="eastAsia"/>
                <w:sz w:val="18"/>
                <w:szCs w:val="18"/>
              </w:rPr>
              <w:t>C</w:t>
            </w:r>
            <w:r>
              <w:rPr>
                <w:rFonts w:ascii="Times New Roman" w:hAnsi="Times New Roman"/>
                <w:sz w:val="18"/>
                <w:szCs w:val="18"/>
              </w:rPr>
              <w:t>UR200-3</w:t>
            </w:r>
          </w:p>
        </w:tc>
        <w:tc>
          <w:tcPr>
            <w:tcW w:w="1418" w:type="dxa"/>
            <w:vAlign w:val="center"/>
          </w:tcPr>
          <w:p w14:paraId="38975E9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22628000</w:t>
            </w:r>
          </w:p>
        </w:tc>
        <w:tc>
          <w:tcPr>
            <w:tcW w:w="1417" w:type="dxa"/>
            <w:vAlign w:val="center"/>
          </w:tcPr>
          <w:p w14:paraId="221386E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19070306</w:t>
            </w:r>
          </w:p>
        </w:tc>
        <w:tc>
          <w:tcPr>
            <w:tcW w:w="1276" w:type="dxa"/>
            <w:vAlign w:val="center"/>
          </w:tcPr>
          <w:p w14:paraId="622AA4B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84.28%</w:t>
            </w:r>
          </w:p>
        </w:tc>
      </w:tr>
      <w:tr w:rsidR="00470850" w14:paraId="797C81DD" w14:textId="77777777" w:rsidTr="00432F13">
        <w:trPr>
          <w:trHeight w:val="510"/>
          <w:jc w:val="center"/>
        </w:trPr>
        <w:tc>
          <w:tcPr>
            <w:tcW w:w="1276" w:type="dxa"/>
            <w:vAlign w:val="center"/>
          </w:tcPr>
          <w:p w14:paraId="74AF2478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Control-1</w:t>
            </w:r>
          </w:p>
        </w:tc>
        <w:tc>
          <w:tcPr>
            <w:tcW w:w="1418" w:type="dxa"/>
            <w:vAlign w:val="center"/>
          </w:tcPr>
          <w:p w14:paraId="7E170B39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22199167</w:t>
            </w:r>
          </w:p>
        </w:tc>
        <w:tc>
          <w:tcPr>
            <w:tcW w:w="1417" w:type="dxa"/>
            <w:vAlign w:val="center"/>
          </w:tcPr>
          <w:p w14:paraId="55167ED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18748253</w:t>
            </w:r>
          </w:p>
        </w:tc>
        <w:tc>
          <w:tcPr>
            <w:tcW w:w="1276" w:type="dxa"/>
            <w:vAlign w:val="center"/>
          </w:tcPr>
          <w:p w14:paraId="5B0C1488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84.45%</w:t>
            </w:r>
          </w:p>
        </w:tc>
      </w:tr>
      <w:tr w:rsidR="00470850" w14:paraId="28297C42" w14:textId="77777777" w:rsidTr="00432F13">
        <w:trPr>
          <w:trHeight w:val="510"/>
          <w:jc w:val="center"/>
        </w:trPr>
        <w:tc>
          <w:tcPr>
            <w:tcW w:w="1276" w:type="dxa"/>
            <w:vAlign w:val="center"/>
          </w:tcPr>
          <w:p w14:paraId="388F0108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Control-2</w:t>
            </w:r>
          </w:p>
        </w:tc>
        <w:tc>
          <w:tcPr>
            <w:tcW w:w="1418" w:type="dxa"/>
            <w:vAlign w:val="center"/>
          </w:tcPr>
          <w:p w14:paraId="6127729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21873922</w:t>
            </w:r>
          </w:p>
        </w:tc>
        <w:tc>
          <w:tcPr>
            <w:tcW w:w="1417" w:type="dxa"/>
            <w:vAlign w:val="center"/>
          </w:tcPr>
          <w:p w14:paraId="4163C6C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18501716</w:t>
            </w:r>
          </w:p>
        </w:tc>
        <w:tc>
          <w:tcPr>
            <w:tcW w:w="1276" w:type="dxa"/>
            <w:vAlign w:val="center"/>
          </w:tcPr>
          <w:p w14:paraId="2BCE65F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84.58%</w:t>
            </w:r>
          </w:p>
        </w:tc>
      </w:tr>
    </w:tbl>
    <w:p w14:paraId="5A90C22C" w14:textId="77777777" w:rsidR="00470850" w:rsidRDefault="00470850" w:rsidP="00470850">
      <w:pPr>
        <w:spacing w:line="240" w:lineRule="auto"/>
        <w:jc w:val="left"/>
        <w:rPr>
          <w:rFonts w:eastAsiaTheme="minorEastAsia"/>
          <w:bCs/>
          <w:lang w:bidi="en-US"/>
        </w:rPr>
      </w:pPr>
      <w:r>
        <w:rPr>
          <w:rFonts w:eastAsia="Times New Roman"/>
          <w:b/>
          <w:lang w:eastAsia="de-DE" w:bidi="en-US"/>
        </w:rPr>
        <w:t>Note:</w:t>
      </w:r>
      <w:r>
        <w:rPr>
          <w:rFonts w:eastAsia="Times New Roman" w:hint="eastAsia"/>
          <w:b/>
          <w:lang w:eastAsia="de-DE" w:bidi="en-US"/>
        </w:rPr>
        <w:t xml:space="preserve"> </w:t>
      </w:r>
      <w:r>
        <w:rPr>
          <w:rFonts w:eastAsia="Times New Roman" w:hint="eastAsia"/>
          <w:bCs/>
          <w:lang w:eastAsia="de-DE" w:bidi="en-US"/>
        </w:rPr>
        <w:t xml:space="preserve">Clean reads </w:t>
      </w:r>
      <w:r>
        <w:rPr>
          <w:rFonts w:eastAsia="Times New Roman"/>
          <w:bCs/>
          <w:lang w:eastAsia="de-DE" w:bidi="en-US"/>
        </w:rPr>
        <w:t xml:space="preserve">means the number of filtered sequencing reads; </w:t>
      </w:r>
      <w:r>
        <w:rPr>
          <w:rFonts w:eastAsia="Times New Roman" w:hint="eastAsia"/>
          <w:bCs/>
          <w:lang w:eastAsia="de-DE" w:bidi="en-US"/>
        </w:rPr>
        <w:t>Mapped reads</w:t>
      </w:r>
      <w:r>
        <w:rPr>
          <w:rFonts w:eastAsia="Times New Roman"/>
          <w:bCs/>
          <w:lang w:eastAsia="de-DE" w:bidi="en-US"/>
        </w:rPr>
        <w:t xml:space="preserve"> implies the number of Clean reads that can be aligned to the assembled transcriptome; Mapped ratio means the percentage of Clean reads that can be located on the assembled transcriptome.</w:t>
      </w:r>
    </w:p>
    <w:p w14:paraId="7E75F5C9" w14:textId="77777777" w:rsidR="00470850" w:rsidRDefault="00470850" w:rsidP="00470850">
      <w:pPr>
        <w:spacing w:line="360" w:lineRule="auto"/>
        <w:jc w:val="left"/>
        <w:rPr>
          <w:rFonts w:eastAsiaTheme="minorEastAsia"/>
          <w:bCs/>
          <w:lang w:bidi="en-US"/>
        </w:rPr>
      </w:pPr>
      <w:r>
        <w:rPr>
          <w:rFonts w:eastAsia="Times New Roman"/>
          <w:b/>
          <w:lang w:eastAsia="de-DE" w:bidi="en-US"/>
        </w:rPr>
        <w:t>Table S3</w:t>
      </w:r>
      <w:r>
        <w:rPr>
          <w:rFonts w:eastAsiaTheme="minorEastAsia" w:hint="eastAsia"/>
          <w:b/>
          <w:lang w:bidi="en-US"/>
        </w:rPr>
        <w:t>:</w:t>
      </w:r>
      <w:r>
        <w:rPr>
          <w:rFonts w:eastAsia="Times New Roman"/>
          <w:b/>
          <w:lang w:eastAsia="de-DE" w:bidi="en-US"/>
        </w:rPr>
        <w:t xml:space="preserve"> </w:t>
      </w:r>
      <w:r>
        <w:rPr>
          <w:rFonts w:eastAsia="Times New Roman"/>
          <w:bCs/>
          <w:lang w:eastAsia="de-DE" w:bidi="en-US"/>
        </w:rPr>
        <w:t xml:space="preserve">KEGG metabolic pathway functional annotation analysis results of differentially </w:t>
      </w:r>
      <w:r>
        <w:rPr>
          <w:rFonts w:eastAsia="Times New Roman"/>
          <w:bCs/>
          <w:lang w:eastAsia="de-DE" w:bidi="en-US"/>
        </w:rPr>
        <w:lastRenderedPageBreak/>
        <w:t>expressed unigenes</w:t>
      </w:r>
    </w:p>
    <w:tbl>
      <w:tblPr>
        <w:tblStyle w:val="a7"/>
        <w:tblW w:w="8085" w:type="dxa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9"/>
        <w:gridCol w:w="1277"/>
        <w:gridCol w:w="4539"/>
      </w:tblGrid>
      <w:tr w:rsidR="00470850" w14:paraId="5C3208ED" w14:textId="77777777" w:rsidTr="00432F13">
        <w:trPr>
          <w:trHeight w:val="357"/>
          <w:jc w:val="center"/>
        </w:trPr>
        <w:tc>
          <w:tcPr>
            <w:tcW w:w="2269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0E631E21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KEGG Pathway</w:t>
            </w:r>
          </w:p>
        </w:tc>
        <w:tc>
          <w:tcPr>
            <w:tcW w:w="1277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0B878014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Unigene number</w:t>
            </w:r>
          </w:p>
        </w:tc>
        <w:tc>
          <w:tcPr>
            <w:tcW w:w="4539" w:type="dxa"/>
            <w:tcBorders>
              <w:top w:val="single" w:sz="12" w:space="0" w:color="auto"/>
              <w:left w:val="nil"/>
              <w:bottom w:val="single" w:sz="12" w:space="0" w:color="auto"/>
              <w:right w:val="nil"/>
            </w:tcBorders>
            <w:vAlign w:val="center"/>
          </w:tcPr>
          <w:p w14:paraId="6849398F" w14:textId="77777777" w:rsidR="00470850" w:rsidRDefault="00470850" w:rsidP="00432F13">
            <w:pPr>
              <w:spacing w:line="240" w:lineRule="auto"/>
              <w:ind w:left="360" w:hangingChars="200" w:hanging="360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Gene id</w:t>
            </w:r>
          </w:p>
        </w:tc>
      </w:tr>
      <w:tr w:rsidR="00470850" w14:paraId="21E13F8B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8D4E1C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Plant hormone signal transduction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5FA2BC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8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96DBC6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TRINITY_DN4666_c0_g1; TRINITY_DN8281_c0_g1; TRINITY_DN5683_c0_g1; TRINITY_DN7510_c0_g1; TRINITY_DN13178_c0_g1; TRINITY_DN5433_c0_g1; TRINITY_DN3919_c0_g1; TRINITY_DN4687_c0_g1;</w:t>
            </w:r>
          </w:p>
        </w:tc>
      </w:tr>
      <w:tr w:rsidR="00470850" w14:paraId="670A4973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94F6A99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hAnsi="Times New Roman"/>
                <w:color w:val="000000" w:themeColor="text1"/>
                <w:sz w:val="18"/>
                <w:szCs w:val="18"/>
              </w:rPr>
              <w:t>Glutathione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B944C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hAnsi="Times New Roman"/>
                <w:color w:val="000000" w:themeColor="text1"/>
                <w:sz w:val="18"/>
                <w:szCs w:val="18"/>
              </w:rPr>
              <w:t>8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904DE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color w:val="000000" w:themeColor="text1"/>
                <w:sz w:val="18"/>
                <w:szCs w:val="18"/>
              </w:rPr>
            </w:pPr>
            <w:r>
              <w:rPr>
                <w:rFonts w:ascii="Times New Roman" w:hAnsi="Times New Roman"/>
                <w:color w:val="000000" w:themeColor="text1"/>
                <w:sz w:val="18"/>
                <w:szCs w:val="18"/>
              </w:rPr>
              <w:t>TRINITY_DN2438_c0_g1; TRINITY_DN4732_c0_g1; TRINITY_DN6564_c0_g1;</w:t>
            </w:r>
            <w:r>
              <w:rPr>
                <w:color w:val="000000" w:themeColor="text1"/>
              </w:rPr>
              <w:t xml:space="preserve"> </w:t>
            </w:r>
            <w:r>
              <w:rPr>
                <w:rFonts w:ascii="Times New Roman" w:hAnsi="Times New Roman"/>
                <w:color w:val="000000" w:themeColor="text1"/>
                <w:sz w:val="18"/>
                <w:szCs w:val="18"/>
              </w:rPr>
              <w:t>TRINITY_DN56492_c0_g1; TRINITY_DN10678_c0_g1; TRINITY_DN3690_c1_g2; TRINITY_DN8963_c0_g1; TRINITY_DN11350_c1_g2</w:t>
            </w:r>
          </w:p>
        </w:tc>
      </w:tr>
      <w:tr w:rsidR="00470850" w14:paraId="15A86A38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0B09E24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Oxidative phosphorylation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AF8AF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7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7409C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TRINITY_DN9948_c0_g5; TRINITY_DN9948_c0_g6; TRINITY_DN2571_c0_g12; TRINITY_DN501_c1_g3; TRINITY_DN501_c1_g1;</w:t>
            </w:r>
            <w:r>
              <w:rPr>
                <w:rFonts w:ascii="Times New Roman" w:hAnsi="Times New Roman" w:hint="eastAsia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TRINITY_DN860_c0_g8;TRINITY_DN871_c0_g2 </w:t>
            </w:r>
          </w:p>
        </w:tc>
      </w:tr>
      <w:tr w:rsidR="00470850" w14:paraId="1D073DA1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8FFA608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Starch and sucrose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9169E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97C90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TRINITY_DN605_c0_g1; TRINITY_DN44347_c0_g2; TRINITY_DN9167_c1_g2; TRINITY_DN4980_c0_g1; TRINITY_DN873_c0_g1; TRINITY_DN27_c0_g2</w:t>
            </w:r>
          </w:p>
        </w:tc>
      </w:tr>
      <w:tr w:rsidR="00470850" w14:paraId="3A452541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D4032F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Phagosome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58AF6A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25DAB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TRINITY_DN11486_c0_g2; TRINITY_DN2142_c0_g1; TRINITY_DN11486_c0_g1; TRINITY_DN809_c0_g2; TRINITY_DN16326_c0_g1</w:t>
            </w:r>
          </w:p>
        </w:tc>
      </w:tr>
      <w:tr w:rsidR="00470850" w14:paraId="63F93749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9B308FB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Plant-pathogen interaction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6C3AE9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1CB93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TRINITY_DN1627_c1_g1; TRINITY_DN59454_c0_g1; TRINITY_DN2102_c0_g2; TRINITY_DN6154_c0_g1; TRINITY_DN18928_c1_g1</w:t>
            </w:r>
          </w:p>
        </w:tc>
      </w:tr>
      <w:tr w:rsidR="00470850" w14:paraId="40AC4554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CAC4FB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Amino sugar and nucleotide sugar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F3CCB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025CB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TRINITY_DN7388_c0_g1; TRINITY_DN9167_c1_g2; TRINITY_DN27_c0_g2; TRINITY_DN7742_c0_g2; TRINITY_DN2879_c0_g2</w:t>
            </w:r>
          </w:p>
        </w:tc>
      </w:tr>
      <w:tr w:rsidR="00470850" w14:paraId="71327B9C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2BEC87B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Biosynthesis of cofactors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2C1FA6B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554C750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TRINITY_DN4203_c0_g1; TRINITY_DN10923_c1_g2; TRINITY_DN7742_c0_g2; TRINITY_DN1961_c2_g2</w:t>
            </w:r>
          </w:p>
        </w:tc>
      </w:tr>
      <w:tr w:rsidR="00470850" w14:paraId="1CF64956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BD095B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Brassinosteroid biosynthesis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1CC14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30674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TRINITY_DN19463_c0_g1; TRINITY_DN513_c1_g1; TRINITY_DN12571_c1_g1; TRINITY_DN6461_c0_g1</w:t>
            </w:r>
          </w:p>
        </w:tc>
      </w:tr>
      <w:tr w:rsidR="00470850" w14:paraId="2704D679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2F683379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Cysteine and methionine metaboli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4B8B6A8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3E8247A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TRINITY_DN4965_c0_g3; TRINITY_DN1261_c0_g1; TRINITY_DN40192_c0_g1</w:t>
            </w:r>
          </w:p>
        </w:tc>
      </w:tr>
      <w:tr w:rsidR="00470850" w14:paraId="24743C12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FA4A7E2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MAPK signaling pathway - plant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C997B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CD2E4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TRINITY_DN10923_c1_g2; TRINITY_DN18928_c1_g1; TRINITY_DN13755_c0_g1;</w:t>
            </w:r>
          </w:p>
        </w:tc>
      </w:tr>
      <w:tr w:rsidR="00470850" w14:paraId="752E08CB" w14:textId="77777777" w:rsidTr="00432F13">
        <w:trPr>
          <w:trHeight w:val="48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1A314AD2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Porphyrin and chlorophyll metabo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70100A5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3268AFD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TRINITY_DN702_c0_g1; TRINITY_DN4203_c0_g1; TRINITY_DN1961_c2_g2</w:t>
            </w:r>
          </w:p>
        </w:tc>
      </w:tr>
      <w:tr w:rsidR="00470850" w14:paraId="3E3A0411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14371B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Ribosome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C92B4E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325D8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TRINITY_DN10491_c0_g2; TRINITY_DN5851_c1_g1</w:t>
            </w:r>
          </w:p>
        </w:tc>
      </w:tr>
      <w:tr w:rsidR="00470850" w14:paraId="74ECC0F7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52BAD0B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Flavone and flavonol biosynthesis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63E6442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13D1DBD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TRINITY_DN7547_c0_g1; TRINITY_DN10801_c0_g1</w:t>
            </w:r>
          </w:p>
        </w:tc>
      </w:tr>
      <w:tr w:rsidR="00470850" w14:paraId="0D62CC79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39B3C475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Tryptophan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408498BE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39E47B8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TRINITY_DN21612_c0_g1; TRINITY_DN13646_c0_g1</w:t>
            </w:r>
          </w:p>
        </w:tc>
      </w:tr>
      <w:tr w:rsidR="00470850" w14:paraId="513D3BC8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224AF1CF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Pentose and glucuronate intercon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302B605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0B1C217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TRINITY_DN7754_c0_g1; TRINITY_DN5793_c0_g1</w:t>
            </w:r>
          </w:p>
        </w:tc>
      </w:tr>
      <w:tr w:rsidR="00470850" w14:paraId="40659D21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352B482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Glycerophospholipid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587C4B4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33618CD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TRINITY_DN4584_c0_g1; TRINITY_DN18835_c0_g1</w:t>
            </w:r>
          </w:p>
        </w:tc>
      </w:tr>
      <w:tr w:rsidR="00470850" w14:paraId="3EA5DBFB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1549C03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Glycerolipid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49601E4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07756B6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TRINITY_DN4584_c0_g1; TRINITY_DN2363_c0_g1</w:t>
            </w:r>
          </w:p>
        </w:tc>
      </w:tr>
      <w:tr w:rsidR="00470850" w14:paraId="1DD82CD1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7BF5014C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Tyrosine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013FCE0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07CEA68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TRINITY_DN30264_c0_g2; TRINITY_DN10116_c0_g1</w:t>
            </w:r>
          </w:p>
        </w:tc>
      </w:tr>
      <w:tr w:rsidR="00470850" w14:paraId="24B251D0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093C18BF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Selenocompound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618E05CE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20818AB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TRINITY_DN4965_c0_g3; TRINITY_DN1261_c0_g1</w:t>
            </w:r>
          </w:p>
        </w:tc>
      </w:tr>
      <w:tr w:rsidR="00470850" w14:paraId="6BAE6915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67F9642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Sesquiterpenoid and triterpenoid b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658483A9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27BBD38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TRINITY_DN12850_c0_g1; TRINITY_DN8282_c0_g1</w:t>
            </w:r>
          </w:p>
        </w:tc>
      </w:tr>
      <w:tr w:rsidR="00470850" w14:paraId="46D86B5B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024DAE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Phenylalanine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C6ADA3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A4226D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TRINITY_DN30264_c0_g2</w:t>
            </w:r>
          </w:p>
        </w:tc>
      </w:tr>
      <w:tr w:rsidR="00470850" w14:paraId="172356FC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79B61D0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Carotenoid biosynthesis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F046E0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7FD2FE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TRINITY_DN1375_c1_g1</w:t>
            </w:r>
          </w:p>
        </w:tc>
      </w:tr>
      <w:tr w:rsidR="00470850" w14:paraId="5647511B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1CCBF83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Terpenoid backbone biosynthesis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6DBE6BE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300548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TRINITY_DN2087_c0_g3</w:t>
            </w:r>
          </w:p>
        </w:tc>
      </w:tr>
      <w:tr w:rsidR="00470850" w14:paraId="712A7221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FF4A42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Glyoxylate and dicarboxylate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D08A7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5CAB7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TRINITY_DN15081_c0_g1</w:t>
            </w:r>
          </w:p>
        </w:tc>
      </w:tr>
      <w:tr w:rsidR="00470850" w14:paraId="61CDF186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6958E6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Sulfur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8841B3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15C90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TRINITY_DN7029_c0_g1</w:t>
            </w:r>
          </w:p>
        </w:tc>
      </w:tr>
      <w:tr w:rsidR="00470850" w14:paraId="3FEAE3F7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4B795AB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Ubiquitin mediated proteolysis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F5A1D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74F152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TRINITY_DN5851_c1_g1</w:t>
            </w:r>
          </w:p>
        </w:tc>
      </w:tr>
      <w:tr w:rsidR="00470850" w14:paraId="247E46BB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385C10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RNA degradation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A30A9C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EE1A9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TRINITY_DN6937_c0_g2</w:t>
            </w:r>
          </w:p>
        </w:tc>
      </w:tr>
      <w:tr w:rsidR="00470850" w14:paraId="42C7B7B1" w14:textId="77777777" w:rsidTr="00432F13">
        <w:trPr>
          <w:trHeight w:val="510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B6C38CC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Protein processing in endoplasm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CB9AD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FEF9F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TRINITY_DN20404_c1_g1</w:t>
            </w:r>
          </w:p>
        </w:tc>
      </w:tr>
      <w:tr w:rsidR="00470850" w14:paraId="05AD9D30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02DEE808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Homologous recombination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3C782F8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69C3555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TRINITY_DN54984_c0_g1</w:t>
            </w:r>
          </w:p>
        </w:tc>
      </w:tr>
      <w:tr w:rsidR="00470850" w14:paraId="1345984A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7073DED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ABC transporters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283935A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35CCF7A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TRINITY_DN7829_c0_g1</w:t>
            </w:r>
          </w:p>
        </w:tc>
      </w:tr>
      <w:tr w:rsidR="00470850" w14:paraId="21FB24B5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6FF00175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Ether lipid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6574D6A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4E5B5C9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TRINITY_DN18835_c0_g1</w:t>
            </w:r>
          </w:p>
        </w:tc>
      </w:tr>
      <w:tr w:rsidR="00470850" w14:paraId="0F6B2DB1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3ABBFB29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Carbon fixation in photosynthetic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589F31B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6E42B01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TRINITY_DN15081_c0_g1</w:t>
            </w:r>
          </w:p>
        </w:tc>
      </w:tr>
      <w:tr w:rsidR="00470850" w14:paraId="3D17A832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1DC49B2C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Phenylpropanoid biosynthesis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1A819F7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79D009D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TRINITY_DN5436_c0_g1</w:t>
            </w:r>
          </w:p>
        </w:tc>
      </w:tr>
      <w:tr w:rsidR="00470850" w14:paraId="0DB7481F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4F9C6D7D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Fatty acid elongation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3F2140C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79BE1EF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TRINITY_DN2102_c0_g2;</w:t>
            </w:r>
          </w:p>
        </w:tc>
      </w:tr>
      <w:tr w:rsidR="00470850" w14:paraId="13E9F2A6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4B5684EF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Fructose and mannose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51369D1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3735542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TRINITY_DN9167_c1_g2</w:t>
            </w:r>
          </w:p>
        </w:tc>
      </w:tr>
      <w:tr w:rsidR="00470850" w14:paraId="48B0E3AE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110E90A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Ascorbate and aldarate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76D092B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3A9A335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TRINITY_DN7742_c0_g2</w:t>
            </w:r>
          </w:p>
        </w:tc>
      </w:tr>
      <w:tr w:rsidR="00470850" w14:paraId="0F0046CE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451B57D6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Galactose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45058D7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011147E8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TRINITY_DN44347_c0_g2</w:t>
            </w:r>
          </w:p>
        </w:tc>
      </w:tr>
      <w:tr w:rsidR="00470850" w14:paraId="68CCC939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18A9172B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Riboflavin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29EA92C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270E407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TRINITY_DN5826_c0_g2</w:t>
            </w:r>
          </w:p>
        </w:tc>
      </w:tr>
      <w:tr w:rsidR="00470850" w14:paraId="0260EC48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13506EAF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Purine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0FB2D8A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5B2DAD5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TRINITY_DN10923_c1_g2</w:t>
            </w:r>
          </w:p>
        </w:tc>
      </w:tr>
      <w:tr w:rsidR="00470850" w14:paraId="0DB4E77F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5B5546AB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Arginine and proline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7184F70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1505770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TRINITY_DN56492_c0_g1</w:t>
            </w:r>
          </w:p>
        </w:tc>
      </w:tr>
      <w:tr w:rsidR="00470850" w14:paraId="4C453933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7021A855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Thiamine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5643C3B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00B8CAB5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TRINITY_DN2087_c0_g3</w:t>
            </w:r>
          </w:p>
        </w:tc>
      </w:tr>
      <w:tr w:rsidR="00470850" w14:paraId="518160B2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16B04341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Pyrimidine metabolism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0310DED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3942C4B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TRINITY_DN10923_c1_g2</w:t>
            </w:r>
          </w:p>
        </w:tc>
      </w:tr>
      <w:tr w:rsidR="00470850" w14:paraId="002A5F84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6B6770B1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Isoquinoline alkaloid biosynthesis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7A5B22F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1558867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TRINITY_DN10116_c0_g1</w:t>
            </w:r>
          </w:p>
        </w:tc>
      </w:tr>
      <w:tr w:rsidR="00470850" w14:paraId="757966C0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749F02D9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Base excision repair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133D2C0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2CCDFD4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TRINITY_DN6502_c0_g1</w:t>
            </w:r>
          </w:p>
        </w:tc>
      </w:tr>
      <w:tr w:rsidR="00470850" w14:paraId="207AB3BA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4D67C02C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Nucleocytoplasmic transport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20442B88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7246C82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TRINITY_DN11637_c0_g1</w:t>
            </w:r>
          </w:p>
        </w:tc>
      </w:tr>
      <w:tr w:rsidR="00470850" w14:paraId="62139914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1E4DBBC4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Phosphatidylinositol signaling sys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272915D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6E377F1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TRINITY_DN18928_c1_g1</w:t>
            </w:r>
          </w:p>
        </w:tc>
      </w:tr>
      <w:tr w:rsidR="00470850" w14:paraId="32FE1C45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nil"/>
              <w:right w:val="nil"/>
            </w:tcBorders>
          </w:tcPr>
          <w:p w14:paraId="24E47AB2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Endocytosis</w:t>
            </w:r>
          </w:p>
        </w:tc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6C43BDC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nil"/>
              <w:right w:val="nil"/>
            </w:tcBorders>
          </w:tcPr>
          <w:p w14:paraId="7DD36CB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TRINITY_DN18835_c0_g1</w:t>
            </w:r>
          </w:p>
        </w:tc>
      </w:tr>
      <w:tr w:rsidR="00470850" w14:paraId="0B5E2D47" w14:textId="77777777" w:rsidTr="00432F13">
        <w:trPr>
          <w:trHeight w:val="312"/>
          <w:jc w:val="center"/>
        </w:trPr>
        <w:tc>
          <w:tcPr>
            <w:tcW w:w="226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98F45AD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Circadian rhythm - plant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870EA0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539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ECF8CE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TRINITY_DN5430_c0_g1</w:t>
            </w:r>
          </w:p>
        </w:tc>
      </w:tr>
    </w:tbl>
    <w:p w14:paraId="36FBB3B7" w14:textId="77777777" w:rsidR="00470850" w:rsidRDefault="00470850" w:rsidP="00470850">
      <w:pPr>
        <w:spacing w:line="360" w:lineRule="auto"/>
        <w:jc w:val="left"/>
        <w:rPr>
          <w:rFonts w:eastAsiaTheme="minorEastAsia"/>
          <w:bCs/>
          <w:lang w:bidi="en-US"/>
        </w:rPr>
      </w:pPr>
      <w:r>
        <w:rPr>
          <w:rFonts w:eastAsia="Times New Roman"/>
          <w:b/>
          <w:lang w:eastAsia="de-DE" w:bidi="en-US"/>
        </w:rPr>
        <w:t>Table S4</w:t>
      </w:r>
      <w:r>
        <w:rPr>
          <w:rFonts w:eastAsiaTheme="minorEastAsia" w:hint="eastAsia"/>
          <w:b/>
          <w:lang w:bidi="en-US"/>
        </w:rPr>
        <w:t>:</w:t>
      </w:r>
      <w:r>
        <w:rPr>
          <w:rFonts w:eastAsia="Times New Roman"/>
          <w:b/>
          <w:lang w:eastAsia="de-DE" w:bidi="en-US"/>
        </w:rPr>
        <w:t xml:space="preserve"> </w:t>
      </w:r>
      <w:r>
        <w:rPr>
          <w:rFonts w:eastAsia="Times New Roman"/>
          <w:bCs/>
          <w:lang w:eastAsia="de-DE" w:bidi="en-US"/>
        </w:rPr>
        <w:t>29 differentially expressed unigenes obtained in TFs Analysis</w:t>
      </w:r>
    </w:p>
    <w:tbl>
      <w:tblPr>
        <w:tblStyle w:val="a7"/>
        <w:tblW w:w="7796" w:type="dxa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1417"/>
        <w:gridCol w:w="4678"/>
      </w:tblGrid>
      <w:tr w:rsidR="00470850" w14:paraId="1BC48CF4" w14:textId="77777777" w:rsidTr="00432F13">
        <w:trPr>
          <w:trHeight w:val="357"/>
          <w:jc w:val="center"/>
        </w:trPr>
        <w:tc>
          <w:tcPr>
            <w:tcW w:w="1701" w:type="dxa"/>
            <w:tcBorders>
              <w:bottom w:val="single" w:sz="12" w:space="0" w:color="auto"/>
              <w:tl2br w:val="nil"/>
              <w:tr2bl w:val="nil"/>
            </w:tcBorders>
          </w:tcPr>
          <w:p w14:paraId="712A52C9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F</w:t>
            </w:r>
            <w:r>
              <w:rPr>
                <w:rFonts w:ascii="Times New Roman" w:hAnsi="Times New Roman" w:hint="eastAsia"/>
                <w:sz w:val="18"/>
                <w:szCs w:val="18"/>
              </w:rPr>
              <w:t>ami</w:t>
            </w:r>
            <w:r>
              <w:rPr>
                <w:rFonts w:ascii="Times New Roman" w:hAnsi="Times New Roman"/>
                <w:sz w:val="18"/>
                <w:szCs w:val="18"/>
              </w:rPr>
              <w:t>ly</w:t>
            </w:r>
          </w:p>
        </w:tc>
        <w:tc>
          <w:tcPr>
            <w:tcW w:w="1417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7FB6EB04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Unigene number</w:t>
            </w:r>
          </w:p>
        </w:tc>
        <w:tc>
          <w:tcPr>
            <w:tcW w:w="4678" w:type="dxa"/>
            <w:tcBorders>
              <w:bottom w:val="single" w:sz="12" w:space="0" w:color="auto"/>
              <w:tl2br w:val="nil"/>
              <w:tr2bl w:val="nil"/>
            </w:tcBorders>
            <w:vAlign w:val="center"/>
          </w:tcPr>
          <w:p w14:paraId="2762FE5A" w14:textId="77777777" w:rsidR="00470850" w:rsidRDefault="00470850" w:rsidP="00432F13">
            <w:pPr>
              <w:spacing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Gene id</w:t>
            </w:r>
          </w:p>
        </w:tc>
      </w:tr>
      <w:tr w:rsidR="00470850" w14:paraId="31C43CCC" w14:textId="77777777" w:rsidTr="00432F13">
        <w:trPr>
          <w:trHeight w:val="480"/>
          <w:jc w:val="center"/>
        </w:trPr>
        <w:tc>
          <w:tcPr>
            <w:tcW w:w="1701" w:type="dxa"/>
          </w:tcPr>
          <w:p w14:paraId="5E60205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MYB</w:t>
            </w:r>
          </w:p>
        </w:tc>
        <w:tc>
          <w:tcPr>
            <w:tcW w:w="1417" w:type="dxa"/>
          </w:tcPr>
          <w:p w14:paraId="28C5902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</w:t>
            </w:r>
          </w:p>
        </w:tc>
        <w:tc>
          <w:tcPr>
            <w:tcW w:w="4678" w:type="dxa"/>
          </w:tcPr>
          <w:p w14:paraId="3E39281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TRINITY_DN10830_c1_g1; TRINITY_DN10830_c0_g1; TRINITY_DN8763_c1_g2; TRINITY_DN2444_c0_g1; TRINITY_DN1138_c0_g1; TRINITY_DN3202_c0_g5</w:t>
            </w:r>
          </w:p>
        </w:tc>
      </w:tr>
      <w:tr w:rsidR="00470850" w14:paraId="7FEB18A2" w14:textId="77777777" w:rsidTr="00432F13">
        <w:trPr>
          <w:trHeight w:val="480"/>
          <w:jc w:val="center"/>
        </w:trPr>
        <w:tc>
          <w:tcPr>
            <w:tcW w:w="1701" w:type="dxa"/>
          </w:tcPr>
          <w:p w14:paraId="505D1F4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AP2/ERF</w:t>
            </w:r>
          </w:p>
        </w:tc>
        <w:tc>
          <w:tcPr>
            <w:tcW w:w="1417" w:type="dxa"/>
          </w:tcPr>
          <w:p w14:paraId="1F86818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6</w:t>
            </w:r>
          </w:p>
        </w:tc>
        <w:tc>
          <w:tcPr>
            <w:tcW w:w="4678" w:type="dxa"/>
          </w:tcPr>
          <w:p w14:paraId="0622CBA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TRINITY_DN8959_c0_g1; TRINITY_DN5338_c0_g1; TRINITY_DN17085_c0_g1; TRINITY_DN7675_c0_g1; TRINITY_DN6154_c0_g1; TRINITY_DN3300_c0_g1</w:t>
            </w:r>
          </w:p>
        </w:tc>
      </w:tr>
      <w:tr w:rsidR="00470850" w14:paraId="7FC43949" w14:textId="77777777" w:rsidTr="00432F13">
        <w:trPr>
          <w:trHeight w:val="480"/>
          <w:jc w:val="center"/>
        </w:trPr>
        <w:tc>
          <w:tcPr>
            <w:tcW w:w="1701" w:type="dxa"/>
          </w:tcPr>
          <w:p w14:paraId="791CF8A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NAC</w:t>
            </w:r>
          </w:p>
        </w:tc>
        <w:tc>
          <w:tcPr>
            <w:tcW w:w="1417" w:type="dxa"/>
          </w:tcPr>
          <w:p w14:paraId="677D38E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</w:t>
            </w:r>
          </w:p>
        </w:tc>
        <w:tc>
          <w:tcPr>
            <w:tcW w:w="4678" w:type="dxa"/>
            <w:vAlign w:val="center"/>
          </w:tcPr>
          <w:p w14:paraId="49FCBBF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TRINITY_DN14696_c1_g1</w:t>
            </w:r>
            <w:r>
              <w:rPr>
                <w:rFonts w:ascii="Times New Roman" w:hAnsi="Times New Roman" w:hint="eastAsia"/>
                <w:sz w:val="18"/>
                <w:szCs w:val="18"/>
              </w:rPr>
              <w:t>;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TRINITY_DN15035_c0_g1; TRINITY_DN1125_c0_g1; TRINITY_DN51735_c1_g1; TRINITY_DN21556_c0_g2</w:t>
            </w:r>
          </w:p>
        </w:tc>
      </w:tr>
      <w:tr w:rsidR="00470850" w14:paraId="41A82E32" w14:textId="77777777" w:rsidTr="00432F13">
        <w:trPr>
          <w:trHeight w:val="480"/>
          <w:jc w:val="center"/>
        </w:trPr>
        <w:tc>
          <w:tcPr>
            <w:tcW w:w="1701" w:type="dxa"/>
          </w:tcPr>
          <w:p w14:paraId="25D6B310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lastRenderedPageBreak/>
              <w:t>bHLH</w:t>
            </w:r>
          </w:p>
        </w:tc>
        <w:tc>
          <w:tcPr>
            <w:tcW w:w="1417" w:type="dxa"/>
          </w:tcPr>
          <w:p w14:paraId="38A024E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</w:t>
            </w:r>
          </w:p>
        </w:tc>
        <w:tc>
          <w:tcPr>
            <w:tcW w:w="4678" w:type="dxa"/>
            <w:vAlign w:val="center"/>
          </w:tcPr>
          <w:p w14:paraId="72B5C089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TRINITY_DN3463_c0_g1; TRINITY_DN3176_c0_g1; TRINITY_DN5012_c0_g1; TRINITY_DN2312_c0_g1</w:t>
            </w:r>
          </w:p>
        </w:tc>
      </w:tr>
      <w:tr w:rsidR="00470850" w14:paraId="5E7CE8FE" w14:textId="77777777" w:rsidTr="00432F13">
        <w:trPr>
          <w:trHeight w:val="312"/>
          <w:jc w:val="center"/>
        </w:trPr>
        <w:tc>
          <w:tcPr>
            <w:tcW w:w="1701" w:type="dxa"/>
          </w:tcPr>
          <w:p w14:paraId="6C0119B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C2C2</w:t>
            </w:r>
          </w:p>
        </w:tc>
        <w:tc>
          <w:tcPr>
            <w:tcW w:w="1417" w:type="dxa"/>
          </w:tcPr>
          <w:p w14:paraId="014379D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</w:t>
            </w:r>
          </w:p>
        </w:tc>
        <w:tc>
          <w:tcPr>
            <w:tcW w:w="4678" w:type="dxa"/>
          </w:tcPr>
          <w:p w14:paraId="14A6CFC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TRINITY_DN7157_c0_g1; TRINITY_DN7157_c0_g2; TRINITY_DN3957_c1_g2</w:t>
            </w:r>
          </w:p>
        </w:tc>
      </w:tr>
      <w:tr w:rsidR="00470850" w14:paraId="7297D45F" w14:textId="77777777" w:rsidTr="00432F13">
        <w:trPr>
          <w:trHeight w:val="312"/>
          <w:jc w:val="center"/>
        </w:trPr>
        <w:tc>
          <w:tcPr>
            <w:tcW w:w="1701" w:type="dxa"/>
          </w:tcPr>
          <w:p w14:paraId="7903415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bZIP</w:t>
            </w:r>
          </w:p>
        </w:tc>
        <w:tc>
          <w:tcPr>
            <w:tcW w:w="1417" w:type="dxa"/>
          </w:tcPr>
          <w:p w14:paraId="0CEF49EE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678" w:type="dxa"/>
          </w:tcPr>
          <w:p w14:paraId="52F3EB54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TRINITY_DN25587_c0_g4</w:t>
            </w:r>
          </w:p>
        </w:tc>
      </w:tr>
      <w:tr w:rsidR="00470850" w14:paraId="0DF0FC9C" w14:textId="77777777" w:rsidTr="00432F13">
        <w:trPr>
          <w:trHeight w:val="312"/>
          <w:jc w:val="center"/>
        </w:trPr>
        <w:tc>
          <w:tcPr>
            <w:tcW w:w="1701" w:type="dxa"/>
          </w:tcPr>
          <w:p w14:paraId="45BB3F11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LBD (AS2/LOB)</w:t>
            </w:r>
          </w:p>
        </w:tc>
        <w:tc>
          <w:tcPr>
            <w:tcW w:w="1417" w:type="dxa"/>
          </w:tcPr>
          <w:p w14:paraId="3B6F411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678" w:type="dxa"/>
          </w:tcPr>
          <w:p w14:paraId="36203DD6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TRINITY_DN34582_c0_g1</w:t>
            </w:r>
          </w:p>
        </w:tc>
      </w:tr>
      <w:tr w:rsidR="00470850" w14:paraId="0D83B923" w14:textId="77777777" w:rsidTr="00432F13">
        <w:trPr>
          <w:trHeight w:val="312"/>
          <w:jc w:val="center"/>
        </w:trPr>
        <w:tc>
          <w:tcPr>
            <w:tcW w:w="1701" w:type="dxa"/>
          </w:tcPr>
          <w:p w14:paraId="7117932F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B3</w:t>
            </w:r>
          </w:p>
        </w:tc>
        <w:tc>
          <w:tcPr>
            <w:tcW w:w="1417" w:type="dxa"/>
          </w:tcPr>
          <w:p w14:paraId="307659DA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678" w:type="dxa"/>
          </w:tcPr>
          <w:p w14:paraId="4761C9B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TRINITY_DN5877_c0_g1</w:t>
            </w:r>
          </w:p>
        </w:tc>
      </w:tr>
      <w:tr w:rsidR="00470850" w14:paraId="231A71CF" w14:textId="77777777" w:rsidTr="00432F13">
        <w:trPr>
          <w:trHeight w:val="312"/>
          <w:jc w:val="center"/>
        </w:trPr>
        <w:tc>
          <w:tcPr>
            <w:tcW w:w="1701" w:type="dxa"/>
          </w:tcPr>
          <w:p w14:paraId="116236C7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HSF</w:t>
            </w:r>
          </w:p>
        </w:tc>
        <w:tc>
          <w:tcPr>
            <w:tcW w:w="1417" w:type="dxa"/>
          </w:tcPr>
          <w:p w14:paraId="7FDC3992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678" w:type="dxa"/>
          </w:tcPr>
          <w:p w14:paraId="3E99889B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TRINITY_DN30885_c1_g1</w:t>
            </w:r>
          </w:p>
        </w:tc>
      </w:tr>
      <w:tr w:rsidR="00470850" w14:paraId="05F2DACE" w14:textId="77777777" w:rsidTr="00432F13">
        <w:trPr>
          <w:trHeight w:val="312"/>
          <w:jc w:val="center"/>
        </w:trPr>
        <w:tc>
          <w:tcPr>
            <w:tcW w:w="1701" w:type="dxa"/>
          </w:tcPr>
          <w:p w14:paraId="488CE153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GRAS</w:t>
            </w:r>
          </w:p>
        </w:tc>
        <w:tc>
          <w:tcPr>
            <w:tcW w:w="1417" w:type="dxa"/>
          </w:tcPr>
          <w:p w14:paraId="5FACFFCC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4678" w:type="dxa"/>
          </w:tcPr>
          <w:p w14:paraId="0ADE1C5D" w14:textId="77777777" w:rsidR="00470850" w:rsidRDefault="00470850" w:rsidP="00432F13">
            <w:pPr>
              <w:spacing w:line="240" w:lineRule="auto"/>
              <w:jc w:val="center"/>
              <w:textAlignment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TRINITY_DN1329_c4_g1</w:t>
            </w:r>
          </w:p>
        </w:tc>
      </w:tr>
    </w:tbl>
    <w:p w14:paraId="50C0BB18" w14:textId="77777777" w:rsidR="00470850" w:rsidRDefault="00470850" w:rsidP="00470850">
      <w:pPr>
        <w:spacing w:line="360" w:lineRule="auto"/>
        <w:jc w:val="center"/>
        <w:rPr>
          <w:rFonts w:eastAsiaTheme="minorEastAsia"/>
          <w:bCs/>
          <w:lang w:bidi="en-US"/>
        </w:rPr>
      </w:pPr>
      <w:r>
        <w:rPr>
          <w:rFonts w:eastAsiaTheme="minorEastAsia" w:hint="eastAsia"/>
          <w:bCs/>
          <w:lang w:bidi="en-US"/>
        </w:rPr>
        <w:drawing>
          <wp:inline distT="0" distB="0" distL="0" distR="0" wp14:anchorId="19F8DF23" wp14:editId="7B950838">
            <wp:extent cx="5944870" cy="3082290"/>
            <wp:effectExtent l="0" t="0" r="0" b="3810"/>
            <wp:docPr id="94669189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691897" name="图片 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4870" cy="3082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672A5" w14:textId="77777777" w:rsidR="00470850" w:rsidRDefault="00470850" w:rsidP="00470850">
      <w:pPr>
        <w:spacing w:line="360" w:lineRule="auto"/>
        <w:jc w:val="left"/>
        <w:rPr>
          <w:rFonts w:eastAsia="Times New Roman"/>
          <w:bCs/>
          <w:lang w:eastAsia="de-DE" w:bidi="en-US"/>
        </w:rPr>
      </w:pPr>
      <w:r>
        <w:rPr>
          <w:rFonts w:eastAsia="Times New Roman" w:hint="eastAsia"/>
          <w:b/>
          <w:lang w:eastAsia="de-DE" w:bidi="en-US"/>
        </w:rPr>
        <w:t>F</w:t>
      </w:r>
      <w:r>
        <w:rPr>
          <w:rFonts w:eastAsia="Times New Roman"/>
          <w:b/>
          <w:lang w:eastAsia="de-DE" w:bidi="en-US"/>
        </w:rPr>
        <w:t>ig S1</w:t>
      </w:r>
      <w:r>
        <w:rPr>
          <w:rFonts w:eastAsiaTheme="minorEastAsia" w:hint="eastAsia"/>
          <w:b/>
          <w:lang w:bidi="en-US"/>
        </w:rPr>
        <w:t>:</w:t>
      </w:r>
      <w:r>
        <w:rPr>
          <w:rFonts w:eastAsia="Times New Roman"/>
          <w:b/>
          <w:lang w:eastAsia="de-DE" w:bidi="en-US"/>
        </w:rPr>
        <w:t xml:space="preserve"> </w:t>
      </w:r>
      <w:r>
        <w:rPr>
          <w:rFonts w:eastAsia="Times New Roman"/>
          <w:bCs/>
          <w:lang w:eastAsia="de-DE" w:bidi="en-US"/>
        </w:rPr>
        <w:t>Functional annotation analysis of differentially expressed unigenes in the 7 major KEGG metabolic pathways</w:t>
      </w:r>
    </w:p>
    <w:p w14:paraId="1EA7369E" w14:textId="77777777" w:rsidR="00C75F01" w:rsidRDefault="00C75F01">
      <w:bookmarkStart w:id="0" w:name="_GoBack"/>
      <w:bookmarkEnd w:id="0"/>
    </w:p>
    <w:sectPr w:rsidR="00C75F01" w:rsidSect="002F159E">
      <w:pgSz w:w="11906" w:h="16838"/>
      <w:pgMar w:top="1440" w:right="1800" w:bottom="1440" w:left="180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0CA0505" w14:textId="77777777" w:rsidR="001751A1" w:rsidRDefault="001751A1" w:rsidP="00470850">
      <w:pPr>
        <w:spacing w:after="0" w:line="240" w:lineRule="auto"/>
      </w:pPr>
      <w:r>
        <w:separator/>
      </w:r>
    </w:p>
  </w:endnote>
  <w:endnote w:type="continuationSeparator" w:id="0">
    <w:p w14:paraId="322A0B91" w14:textId="77777777" w:rsidR="001751A1" w:rsidRDefault="001751A1" w:rsidP="004708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FDFFBE4" w14:textId="77777777" w:rsidR="001751A1" w:rsidRDefault="001751A1" w:rsidP="00470850">
      <w:pPr>
        <w:spacing w:after="0" w:line="240" w:lineRule="auto"/>
      </w:pPr>
      <w:r>
        <w:separator/>
      </w:r>
    </w:p>
  </w:footnote>
  <w:footnote w:type="continuationSeparator" w:id="0">
    <w:p w14:paraId="625F065B" w14:textId="77777777" w:rsidR="001751A1" w:rsidRDefault="001751A1" w:rsidP="0047085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hybridMultilevel"/>
    <w:tmpl w:val="CC4E56EA"/>
    <w:lvl w:ilvl="0" w:tplc="E264CA32">
      <w:start w:val="1"/>
      <w:numFmt w:val="bullet"/>
      <w:lvlRestart w:val="0"/>
      <w:pStyle w:val="TSP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2085B"/>
    <w:multiLevelType w:val="hybridMultilevel"/>
    <w:tmpl w:val="CB98231C"/>
    <w:lvl w:ilvl="0" w:tplc="664029F2">
      <w:start w:val="1"/>
      <w:numFmt w:val="decimal"/>
      <w:lvlRestart w:val="0"/>
      <w:pStyle w:val="TSP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012E46"/>
    <w:multiLevelType w:val="hybridMultilevel"/>
    <w:tmpl w:val="88C2FAD8"/>
    <w:lvl w:ilvl="0" w:tplc="5C06B1C6">
      <w:start w:val="1"/>
      <w:numFmt w:val="decimal"/>
      <w:pStyle w:val="TSP71References"/>
      <w:lvlText w:val="%1."/>
      <w:lvlJc w:val="left"/>
      <w:pPr>
        <w:ind w:left="360" w:hanging="360"/>
      </w:pPr>
      <w:rPr>
        <w:rFonts w:hint="eastAsia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311A3B"/>
    <w:multiLevelType w:val="hybridMultilevel"/>
    <w:tmpl w:val="9EF4A612"/>
    <w:lvl w:ilvl="0" w:tplc="BED0D818">
      <w:start w:val="1"/>
      <w:numFmt w:val="decimal"/>
      <w:lvlRestart w:val="0"/>
      <w:pStyle w:val="TSP37itemize"/>
      <w:lvlText w:val="%1."/>
      <w:lvlJc w:val="left"/>
      <w:pPr>
        <w:tabs>
          <w:tab w:val="num" w:pos="0"/>
        </w:tabs>
        <w:ind w:left="425" w:hanging="425"/>
      </w:pPr>
      <w:rPr>
        <w:rFonts w:hint="eastAsi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u w:val="none"/>
        <w:effect w:val="none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2E47"/>
    <w:rsid w:val="001751A1"/>
    <w:rsid w:val="00181619"/>
    <w:rsid w:val="002F159E"/>
    <w:rsid w:val="00470850"/>
    <w:rsid w:val="00BE0BA1"/>
    <w:rsid w:val="00C75F01"/>
    <w:rsid w:val="00E62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DED4D7F-9A32-4E97-A9C6-0C671F69EB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TSP11articletype">
    <w:name w:val="TSP_1.1_article_type"/>
    <w:next w:val="a"/>
    <w:qFormat/>
    <w:rsid w:val="00BE0BA1"/>
    <w:pPr>
      <w:adjustRightInd w:val="0"/>
      <w:snapToGrid w:val="0"/>
      <w:spacing w:before="240" w:after="0" w:line="240" w:lineRule="atLeast"/>
    </w:pPr>
    <w:rPr>
      <w:rFonts w:ascii="Minion Pro" w:eastAsia="Times New Roman" w:hAnsi="Minion Pro" w:cs="Times New Roman"/>
      <w:b/>
      <w:caps/>
      <w:snapToGrid w:val="0"/>
      <w:color w:val="000000"/>
      <w:sz w:val="18"/>
      <w:u w:val="single"/>
      <w:lang w:eastAsia="de-DE" w:bidi="en-US"/>
    </w:rPr>
  </w:style>
  <w:style w:type="paragraph" w:customStyle="1" w:styleId="TSP110doinum">
    <w:name w:val="TSP_1.10_doinum"/>
    <w:basedOn w:val="a"/>
    <w:qFormat/>
    <w:rsid w:val="00BE0BA1"/>
    <w:pPr>
      <w:widowControl/>
      <w:spacing w:after="240" w:line="60" w:lineRule="atLeast"/>
      <w:jc w:val="left"/>
    </w:pPr>
    <w:rPr>
      <w:rFonts w:ascii="Minion Pro" w:eastAsiaTheme="minorEastAsia" w:hAnsi="Minion Pro" w:cs="Times New Roman"/>
      <w:color w:val="000000"/>
      <w:kern w:val="2"/>
      <w:sz w:val="14"/>
      <w:szCs w:val="20"/>
      <w:lang w:eastAsia="zh-CN"/>
    </w:rPr>
  </w:style>
  <w:style w:type="paragraph" w:customStyle="1" w:styleId="TSP12title">
    <w:name w:val="TSP_1.2_title"/>
    <w:next w:val="a"/>
    <w:qFormat/>
    <w:rsid w:val="00BE0BA1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snapToGrid w:val="0"/>
      <w:color w:val="000000"/>
      <w:sz w:val="28"/>
      <w:szCs w:val="20"/>
      <w:lang w:eastAsia="de-DE" w:bidi="en-US"/>
    </w:rPr>
  </w:style>
  <w:style w:type="paragraph" w:customStyle="1" w:styleId="TSP13authornames">
    <w:name w:val="TSP_1.3_authornames"/>
    <w:next w:val="a"/>
    <w:qFormat/>
    <w:rsid w:val="00BE0BA1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color w:val="000000"/>
      <w:lang w:eastAsia="de-DE" w:bidi="en-US"/>
    </w:rPr>
  </w:style>
  <w:style w:type="paragraph" w:customStyle="1" w:styleId="TSP14history">
    <w:name w:val="TSP_1.4_history"/>
    <w:basedOn w:val="a"/>
    <w:next w:val="a"/>
    <w:autoRedefine/>
    <w:qFormat/>
    <w:rsid w:val="00BE0BA1"/>
    <w:pPr>
      <w:widowControl/>
      <w:adjustRightInd w:val="0"/>
      <w:snapToGrid w:val="0"/>
      <w:spacing w:before="60" w:after="240" w:line="240" w:lineRule="atLeast"/>
      <w:jc w:val="left"/>
    </w:pPr>
    <w:rPr>
      <w:rFonts w:ascii="Minion Pro" w:eastAsia="Times New Roman" w:hAnsi="Minion Pro" w:cs="Times New Roman"/>
      <w:color w:val="000000"/>
      <w:sz w:val="18"/>
      <w:szCs w:val="20"/>
      <w:lang w:eastAsia="de-DE" w:bidi="en-US"/>
    </w:rPr>
  </w:style>
  <w:style w:type="paragraph" w:customStyle="1" w:styleId="TSP15academiceditor">
    <w:name w:val="TSP_1.5_academic_editor"/>
    <w:qFormat/>
    <w:rsid w:val="00BE0BA1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color w:val="000000"/>
      <w:sz w:val="18"/>
      <w:lang w:eastAsia="de-DE" w:bidi="en-US"/>
    </w:rPr>
  </w:style>
  <w:style w:type="paragraph" w:customStyle="1" w:styleId="TSP16affiliation">
    <w:name w:val="TSP_1.6_affiliation"/>
    <w:qFormat/>
    <w:rsid w:val="00BE0BA1"/>
    <w:pPr>
      <w:adjustRightInd w:val="0"/>
      <w:snapToGrid w:val="0"/>
      <w:spacing w:after="0" w:line="240" w:lineRule="atLeast"/>
      <w:ind w:left="57" w:hanging="57"/>
    </w:pPr>
    <w:rPr>
      <w:rFonts w:ascii="Minion Pro" w:eastAsia="Times New Roman" w:hAnsi="Minion Pro" w:cs="Times New Roman"/>
      <w:color w:val="000000"/>
      <w:sz w:val="18"/>
      <w:szCs w:val="18"/>
      <w:lang w:eastAsia="de-DE" w:bidi="en-US"/>
    </w:rPr>
  </w:style>
  <w:style w:type="paragraph" w:customStyle="1" w:styleId="TSP17abstract">
    <w:name w:val="TSP_1.7_abstract"/>
    <w:next w:val="a"/>
    <w:qFormat/>
    <w:rsid w:val="00BE0BA1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color w:val="000000"/>
      <w:sz w:val="20"/>
      <w:lang w:eastAsia="de-DE" w:bidi="en-US"/>
    </w:rPr>
  </w:style>
  <w:style w:type="paragraph" w:customStyle="1" w:styleId="TSP18keywords">
    <w:name w:val="TSP_1.8_keywords"/>
    <w:next w:val="a"/>
    <w:qFormat/>
    <w:rsid w:val="00BE0BA1"/>
    <w:pPr>
      <w:adjustRightInd w:val="0"/>
      <w:snapToGrid w:val="0"/>
      <w:spacing w:before="240" w:after="0" w:line="240" w:lineRule="atLeast"/>
      <w:jc w:val="both"/>
    </w:pPr>
    <w:rPr>
      <w:rFonts w:ascii="Minion Pro" w:eastAsia="Times New Roman" w:hAnsi="Minion Pro" w:cs="Times New Roman"/>
      <w:snapToGrid w:val="0"/>
      <w:color w:val="000000"/>
      <w:sz w:val="20"/>
      <w:lang w:eastAsia="de-DE" w:bidi="en-US"/>
    </w:rPr>
  </w:style>
  <w:style w:type="paragraph" w:customStyle="1" w:styleId="TSP19classification">
    <w:name w:val="TSP_1.9_classification"/>
    <w:qFormat/>
    <w:rsid w:val="00BE0BA1"/>
    <w:pPr>
      <w:spacing w:before="240" w:after="0" w:line="240" w:lineRule="atLeast"/>
      <w:jc w:val="both"/>
    </w:pPr>
    <w:rPr>
      <w:rFonts w:ascii="Minion Pro" w:eastAsia="Times New Roman" w:hAnsi="Minion Pro" w:cs="Times New Roman"/>
      <w:b/>
      <w:color w:val="000000"/>
      <w:sz w:val="20"/>
      <w:lang w:eastAsia="de-DE" w:bidi="en-US"/>
    </w:rPr>
  </w:style>
  <w:style w:type="paragraph" w:customStyle="1" w:styleId="TSP19line">
    <w:name w:val="TSP_1.9_line"/>
    <w:qFormat/>
    <w:rsid w:val="00BE0BA1"/>
    <w:pPr>
      <w:pBdr>
        <w:bottom w:val="single" w:sz="6" w:space="1" w:color="auto"/>
      </w:pBdr>
      <w:adjustRightInd w:val="0"/>
      <w:snapToGrid w:val="0"/>
      <w:spacing w:after="480" w:line="240" w:lineRule="atLeast"/>
      <w:jc w:val="both"/>
    </w:pPr>
    <w:rPr>
      <w:rFonts w:ascii="Minion Pro" w:eastAsia="Times New Roman" w:hAnsi="Minion Pro" w:cs="Cordia New"/>
      <w:color w:val="000000"/>
      <w:sz w:val="20"/>
      <w:szCs w:val="24"/>
      <w:lang w:eastAsia="de-DE" w:bidi="en-US"/>
    </w:rPr>
  </w:style>
  <w:style w:type="paragraph" w:customStyle="1" w:styleId="TSP21heading1">
    <w:name w:val="TSP_2.1_heading1"/>
    <w:qFormat/>
    <w:rsid w:val="00BE0BA1"/>
    <w:pPr>
      <w:adjustRightInd w:val="0"/>
      <w:snapToGrid w:val="0"/>
      <w:spacing w:before="240" w:after="60" w:line="240" w:lineRule="atLeast"/>
      <w:outlineLvl w:val="0"/>
    </w:pPr>
    <w:rPr>
      <w:rFonts w:ascii="Minion Pro" w:eastAsia="Times New Roman" w:hAnsi="Minion Pro" w:cs="Times New Roman"/>
      <w:b/>
      <w:snapToGrid w:val="0"/>
      <w:color w:val="000000"/>
      <w:lang w:eastAsia="de-DE" w:bidi="en-US"/>
    </w:rPr>
  </w:style>
  <w:style w:type="paragraph" w:customStyle="1" w:styleId="TSP22heading2">
    <w:name w:val="TSP_2.2_heading2"/>
    <w:qFormat/>
    <w:rsid w:val="00BE0BA1"/>
    <w:pPr>
      <w:adjustRightInd w:val="0"/>
      <w:snapToGrid w:val="0"/>
      <w:spacing w:before="60" w:after="60" w:line="240" w:lineRule="atLeast"/>
      <w:outlineLvl w:val="1"/>
    </w:pPr>
    <w:rPr>
      <w:rFonts w:ascii="Minion Pro" w:eastAsia="Times New Roman" w:hAnsi="Minion Pro" w:cs="Times New Roman"/>
      <w:b/>
      <w:i/>
      <w:noProof/>
      <w:snapToGrid w:val="0"/>
      <w:color w:val="000000"/>
      <w:lang w:eastAsia="de-DE" w:bidi="en-US"/>
    </w:rPr>
  </w:style>
  <w:style w:type="paragraph" w:customStyle="1" w:styleId="TSP23heading3">
    <w:name w:val="TSP_2.3_heading3"/>
    <w:qFormat/>
    <w:rsid w:val="00BE0BA1"/>
    <w:pPr>
      <w:adjustRightInd w:val="0"/>
      <w:snapToGrid w:val="0"/>
      <w:spacing w:before="60" w:after="60" w:line="240" w:lineRule="atLeast"/>
      <w:outlineLvl w:val="2"/>
    </w:pPr>
    <w:rPr>
      <w:rFonts w:ascii="Minion Pro" w:eastAsia="Times New Roman" w:hAnsi="Minion Pro" w:cs="Times New Roman"/>
      <w:i/>
      <w:snapToGrid w:val="0"/>
      <w:color w:val="000000"/>
      <w:lang w:eastAsia="de-DE" w:bidi="en-US"/>
    </w:rPr>
  </w:style>
  <w:style w:type="paragraph" w:customStyle="1" w:styleId="TSP31text">
    <w:name w:val="TSP_3.1_text"/>
    <w:qFormat/>
    <w:rsid w:val="00BE0BA1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2textnoindent">
    <w:name w:val="TSP_3.2_text_no_indent"/>
    <w:basedOn w:val="TSP31text"/>
    <w:qFormat/>
    <w:rsid w:val="00BE0BA1"/>
    <w:pPr>
      <w:ind w:firstLine="0"/>
    </w:pPr>
  </w:style>
  <w:style w:type="paragraph" w:customStyle="1" w:styleId="TSP33textspaceafter">
    <w:name w:val="TSP_3.3_text_space_after"/>
    <w:qFormat/>
    <w:rsid w:val="00BE0BA1"/>
    <w:pPr>
      <w:adjustRightInd w:val="0"/>
      <w:snapToGrid w:val="0"/>
      <w:spacing w:after="24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4textspacebefore">
    <w:name w:val="TSP_3.4_text_space_before"/>
    <w:qFormat/>
    <w:rsid w:val="00BE0BA1"/>
    <w:pPr>
      <w:adjustRightInd w:val="0"/>
      <w:snapToGrid w:val="0"/>
      <w:spacing w:before="24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5textbeforelist">
    <w:name w:val="TSP_3.5_text_before_list"/>
    <w:qFormat/>
    <w:rsid w:val="00BE0BA1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6textafterlist">
    <w:name w:val="TSP_3.6_text_after_list"/>
    <w:qFormat/>
    <w:rsid w:val="00BE0BA1"/>
    <w:pPr>
      <w:adjustRightInd w:val="0"/>
      <w:snapToGrid w:val="0"/>
      <w:spacing w:before="6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7itemize">
    <w:name w:val="TSP_3.7_itemize"/>
    <w:qFormat/>
    <w:rsid w:val="00BE0BA1"/>
    <w:pPr>
      <w:numPr>
        <w:numId w:val="1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lang w:eastAsia="de-DE" w:bidi="en-US"/>
    </w:rPr>
  </w:style>
  <w:style w:type="paragraph" w:customStyle="1" w:styleId="TSP38bullet">
    <w:name w:val="TSP_3.8_bullet"/>
    <w:qFormat/>
    <w:rsid w:val="00BE0BA1"/>
    <w:pPr>
      <w:numPr>
        <w:numId w:val="2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lang w:eastAsia="de-DE" w:bidi="en-US"/>
    </w:rPr>
  </w:style>
  <w:style w:type="paragraph" w:customStyle="1" w:styleId="TSP39equation">
    <w:name w:val="TSP_3.9_equation"/>
    <w:qFormat/>
    <w:rsid w:val="00BE0BA1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3aequationnumber">
    <w:name w:val="TSP_3.a_equation_number"/>
    <w:qFormat/>
    <w:rsid w:val="00BE0BA1"/>
    <w:pPr>
      <w:spacing w:before="120" w:after="120" w:line="240" w:lineRule="atLeast"/>
      <w:jc w:val="right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411onetablecaption">
    <w:name w:val="TSP_4.1.1_one_table_caption"/>
    <w:qFormat/>
    <w:rsid w:val="00BE0BA1"/>
    <w:pPr>
      <w:adjustRightInd w:val="0"/>
      <w:snapToGrid w:val="0"/>
      <w:spacing w:before="240" w:after="120" w:line="240" w:lineRule="atLeast"/>
      <w:jc w:val="center"/>
    </w:pPr>
    <w:rPr>
      <w:rFonts w:ascii="Minion Pro" w:eastAsia="宋体" w:hAnsi="Minion Pro" w:cs="Cordia New"/>
      <w:noProof/>
      <w:color w:val="000000"/>
      <w:sz w:val="20"/>
      <w:lang w:eastAsia="zh-CN" w:bidi="en-US"/>
    </w:rPr>
  </w:style>
  <w:style w:type="paragraph" w:customStyle="1" w:styleId="TSP41tablecaption">
    <w:name w:val="TSP_4.1_table_caption"/>
    <w:qFormat/>
    <w:rsid w:val="00BE0BA1"/>
    <w:pPr>
      <w:adjustRightInd w:val="0"/>
      <w:snapToGrid w:val="0"/>
      <w:spacing w:before="240" w:after="120" w:line="240" w:lineRule="atLeast"/>
      <w:jc w:val="both"/>
    </w:pPr>
    <w:rPr>
      <w:rFonts w:ascii="Minion Pro" w:eastAsia="Times New Roman" w:hAnsi="Minion Pro" w:cs="Cordia New"/>
      <w:color w:val="000000"/>
      <w:sz w:val="20"/>
      <w:lang w:eastAsia="de-DE" w:bidi="en-US"/>
    </w:rPr>
  </w:style>
  <w:style w:type="paragraph" w:customStyle="1" w:styleId="TSP42tablebody">
    <w:name w:val="TSP_4.2_table_body"/>
    <w:qFormat/>
    <w:rsid w:val="00BE0BA1"/>
    <w:pPr>
      <w:adjustRightInd w:val="0"/>
      <w:snapToGrid w:val="0"/>
      <w:spacing w:after="0" w:line="240" w:lineRule="atLeast"/>
      <w:jc w:val="center"/>
    </w:pPr>
    <w:rPr>
      <w:rFonts w:ascii="Minion Pro" w:eastAsia="Times New Roman" w:hAnsi="Minion Pro" w:cs="Times New Roman"/>
      <w:snapToGrid w:val="0"/>
      <w:color w:val="000000"/>
      <w:sz w:val="20"/>
      <w:szCs w:val="20"/>
      <w:lang w:eastAsia="de-DE" w:bidi="en-US"/>
    </w:rPr>
  </w:style>
  <w:style w:type="paragraph" w:customStyle="1" w:styleId="TSP43tablefooter">
    <w:name w:val="TSP_4.3_table_footer"/>
    <w:next w:val="TSP31text"/>
    <w:qFormat/>
    <w:rsid w:val="00BE0BA1"/>
    <w:pPr>
      <w:adjustRightInd w:val="0"/>
      <w:snapToGrid w:val="0"/>
      <w:spacing w:after="240" w:line="240" w:lineRule="atLeast"/>
      <w:jc w:val="both"/>
    </w:pPr>
    <w:rPr>
      <w:rFonts w:ascii="Minion Pro" w:eastAsia="Times New Roman" w:hAnsi="Minion Pro" w:cs="Cordia New"/>
      <w:color w:val="000000"/>
      <w:sz w:val="20"/>
      <w:lang w:eastAsia="de-DE" w:bidi="en-US"/>
    </w:rPr>
  </w:style>
  <w:style w:type="paragraph" w:customStyle="1" w:styleId="TSP511onefigurecaption">
    <w:name w:val="TSP_5.1.1_one_figure_caption"/>
    <w:qFormat/>
    <w:rsid w:val="00BE0BA1"/>
    <w:pPr>
      <w:adjustRightInd w:val="0"/>
      <w:snapToGrid w:val="0"/>
      <w:spacing w:before="120" w:after="240" w:line="240" w:lineRule="atLeast"/>
      <w:jc w:val="center"/>
    </w:pPr>
    <w:rPr>
      <w:rFonts w:ascii="Minion Pro" w:eastAsia="宋体" w:hAnsi="Minion Pro" w:cs="Times New Roman"/>
      <w:noProof/>
      <w:color w:val="000000"/>
      <w:sz w:val="20"/>
      <w:szCs w:val="20"/>
      <w:lang w:eastAsia="zh-CN" w:bidi="en-US"/>
    </w:rPr>
  </w:style>
  <w:style w:type="paragraph" w:customStyle="1" w:styleId="TSP51figurecaption">
    <w:name w:val="TSP_5.1_figure_caption"/>
    <w:qFormat/>
    <w:rsid w:val="00BE0BA1"/>
    <w:pPr>
      <w:adjustRightInd w:val="0"/>
      <w:snapToGrid w:val="0"/>
      <w:spacing w:before="120" w:after="240" w:line="240" w:lineRule="atLeast"/>
      <w:jc w:val="both"/>
    </w:pPr>
    <w:rPr>
      <w:rFonts w:ascii="Minion Pro" w:eastAsia="Times New Roman" w:hAnsi="Minion Pro" w:cs="Times New Roman"/>
      <w:color w:val="000000"/>
      <w:sz w:val="20"/>
      <w:szCs w:val="20"/>
      <w:lang w:eastAsia="de-DE" w:bidi="en-US"/>
    </w:rPr>
  </w:style>
  <w:style w:type="paragraph" w:customStyle="1" w:styleId="TSP52figure">
    <w:name w:val="TSP_5.2_figure"/>
    <w:qFormat/>
    <w:rsid w:val="00BE0BA1"/>
    <w:pPr>
      <w:adjustRightInd w:val="0"/>
      <w:snapToGrid w:val="0"/>
      <w:spacing w:before="240" w:after="120" w:line="240" w:lineRule="atLeast"/>
      <w:jc w:val="center"/>
    </w:pPr>
    <w:rPr>
      <w:rFonts w:ascii="Minion Pro" w:eastAsia="Times New Roman" w:hAnsi="Minion Pro" w:cs="Times New Roman"/>
      <w:snapToGrid w:val="0"/>
      <w:color w:val="000000"/>
      <w:sz w:val="20"/>
      <w:szCs w:val="20"/>
      <w:lang w:eastAsia="de-DE" w:bidi="en-US"/>
    </w:rPr>
  </w:style>
  <w:style w:type="paragraph" w:customStyle="1" w:styleId="TSP61Citation">
    <w:name w:val="TSP_6.1_Citation"/>
    <w:qFormat/>
    <w:rsid w:val="00BE0BA1"/>
    <w:pPr>
      <w:adjustRightInd w:val="0"/>
      <w:snapToGrid w:val="0"/>
      <w:spacing w:after="0" w:line="240" w:lineRule="atLeast"/>
    </w:pPr>
    <w:rPr>
      <w:rFonts w:ascii="Minion Pro" w:eastAsia="宋体" w:hAnsi="Minion Pro" w:cs="Cordia New"/>
      <w:lang w:eastAsia="zh-CN"/>
    </w:rPr>
  </w:style>
  <w:style w:type="paragraph" w:customStyle="1" w:styleId="TSP62BackMatter">
    <w:name w:val="TSP_6.2_BackMatter"/>
    <w:qFormat/>
    <w:rsid w:val="00BE0BA1"/>
    <w:pPr>
      <w:adjustRightInd w:val="0"/>
      <w:snapToGrid w:val="0"/>
      <w:spacing w:before="120" w:after="120" w:line="240" w:lineRule="atLeast"/>
      <w:jc w:val="both"/>
    </w:pPr>
    <w:rPr>
      <w:rFonts w:ascii="Minion Pro" w:eastAsia="Times New Roman" w:hAnsi="Minion Pro" w:cs="Times New Roman"/>
      <w:snapToGrid w:val="0"/>
      <w:color w:val="000000"/>
      <w:sz w:val="20"/>
      <w:szCs w:val="20"/>
      <w:lang w:bidi="en-US"/>
    </w:rPr>
  </w:style>
  <w:style w:type="paragraph" w:customStyle="1" w:styleId="TSP63Notes">
    <w:name w:val="TSP_6.3_Notes"/>
    <w:qFormat/>
    <w:rsid w:val="00BE0BA1"/>
    <w:pPr>
      <w:adjustRightInd w:val="0"/>
      <w:snapToGrid w:val="0"/>
      <w:spacing w:before="60" w:after="60" w:line="228" w:lineRule="auto"/>
      <w:jc w:val="both"/>
    </w:pPr>
    <w:rPr>
      <w:rFonts w:ascii="Minion Pro" w:eastAsia="宋体" w:hAnsi="Minion Pro" w:cs="Times New Roman"/>
      <w:snapToGrid w:val="0"/>
      <w:color w:val="000000"/>
      <w:sz w:val="18"/>
      <w:szCs w:val="20"/>
      <w:lang w:bidi="en-US"/>
    </w:rPr>
  </w:style>
  <w:style w:type="paragraph" w:customStyle="1" w:styleId="TSP71FootNotes">
    <w:name w:val="TSP_7.1_FootNotes"/>
    <w:qFormat/>
    <w:rsid w:val="00BE0BA1"/>
    <w:pPr>
      <w:numPr>
        <w:numId w:val="3"/>
      </w:numPr>
      <w:adjustRightInd w:val="0"/>
      <w:snapToGrid w:val="0"/>
      <w:spacing w:before="60" w:after="60" w:line="228" w:lineRule="auto"/>
      <w:jc w:val="both"/>
    </w:pPr>
    <w:rPr>
      <w:rFonts w:ascii="Minion Pro" w:eastAsiaTheme="minorEastAsia" w:hAnsi="Minion Pro" w:cs="Times New Roman"/>
      <w:noProof/>
      <w:color w:val="000000"/>
      <w:sz w:val="18"/>
      <w:szCs w:val="20"/>
      <w:lang w:eastAsia="zh-CN"/>
    </w:rPr>
  </w:style>
  <w:style w:type="paragraph" w:customStyle="1" w:styleId="TSP71References">
    <w:name w:val="TSP_7.1_References"/>
    <w:qFormat/>
    <w:rsid w:val="00BE0BA1"/>
    <w:pPr>
      <w:numPr>
        <w:numId w:val="4"/>
      </w:numPr>
      <w:adjustRightInd w:val="0"/>
      <w:snapToGrid w:val="0"/>
      <w:spacing w:after="0" w:line="228" w:lineRule="auto"/>
      <w:jc w:val="both"/>
    </w:pPr>
    <w:rPr>
      <w:rFonts w:ascii="Minion Pro" w:eastAsia="等线" w:hAnsi="Minion Pro" w:cs="Times New Roman"/>
      <w:color w:val="000000"/>
      <w:sz w:val="20"/>
      <w:szCs w:val="20"/>
      <w:lang w:eastAsia="de-DE" w:bidi="en-US"/>
    </w:rPr>
  </w:style>
  <w:style w:type="paragraph" w:customStyle="1" w:styleId="TSP72Copyright">
    <w:name w:val="TSP_7.2_Copyright"/>
    <w:qFormat/>
    <w:rsid w:val="00BE0BA1"/>
    <w:pPr>
      <w:adjustRightInd w:val="0"/>
      <w:snapToGrid w:val="0"/>
      <w:spacing w:after="0" w:line="192" w:lineRule="auto"/>
      <w:jc w:val="both"/>
    </w:pPr>
    <w:rPr>
      <w:rFonts w:ascii="Minion Pro" w:eastAsia="Times New Roman" w:hAnsi="Minion Pro" w:cs="Times New Roman"/>
      <w:noProof/>
      <w:snapToGrid w:val="0"/>
      <w:color w:val="000000"/>
      <w:sz w:val="18"/>
      <w:szCs w:val="20"/>
      <w:lang w:val="en-GB" w:eastAsia="en-GB"/>
    </w:rPr>
  </w:style>
  <w:style w:type="paragraph" w:customStyle="1" w:styleId="TSP73CopyrightImage">
    <w:name w:val="TSP_7.3_CopyrightImage"/>
    <w:qFormat/>
    <w:rsid w:val="00BE0BA1"/>
    <w:pPr>
      <w:adjustRightInd w:val="0"/>
      <w:snapToGrid w:val="0"/>
      <w:spacing w:before="20" w:after="0" w:line="228" w:lineRule="auto"/>
    </w:pPr>
    <w:rPr>
      <w:rFonts w:ascii="Minion Pro" w:eastAsia="Times New Roman" w:hAnsi="Minion Pro" w:cs="Times New Roman"/>
      <w:color w:val="000000"/>
      <w:sz w:val="18"/>
      <w:szCs w:val="20"/>
      <w:lang w:eastAsia="de-CH"/>
    </w:rPr>
  </w:style>
  <w:style w:type="paragraph" w:customStyle="1" w:styleId="TSP81theorem">
    <w:name w:val="TSP_8.1_theorem"/>
    <w:qFormat/>
    <w:rsid w:val="00BE0BA1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i/>
      <w:snapToGrid w:val="0"/>
      <w:color w:val="000000"/>
      <w:lang w:eastAsia="de-DE" w:bidi="en-US"/>
    </w:rPr>
  </w:style>
  <w:style w:type="paragraph" w:customStyle="1" w:styleId="TSP82proof">
    <w:name w:val="TSP_8.2_proof"/>
    <w:qFormat/>
    <w:rsid w:val="00BE0BA1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equationFram">
    <w:name w:val="TSP_equationFram"/>
    <w:qFormat/>
    <w:rsid w:val="00BE0BA1"/>
    <w:pPr>
      <w:adjustRightInd w:val="0"/>
      <w:snapToGrid w:val="0"/>
      <w:spacing w:before="120" w:after="120" w:line="240" w:lineRule="auto"/>
    </w:pPr>
    <w:rPr>
      <w:rFonts w:ascii="Minion Pro" w:eastAsia="Times New Roman" w:hAnsi="Minion Pro" w:cs="Times New Roman"/>
      <w:snapToGrid w:val="0"/>
      <w:color w:val="000000"/>
      <w:lang w:eastAsia="de-DE" w:bidi="en-US"/>
    </w:rPr>
  </w:style>
  <w:style w:type="paragraph" w:customStyle="1" w:styleId="TSPfooter">
    <w:name w:val="TSP_footer"/>
    <w:qFormat/>
    <w:rsid w:val="00BE0BA1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sz w:val="16"/>
      <w:szCs w:val="20"/>
      <w:lang w:eastAsia="de-DE"/>
    </w:rPr>
  </w:style>
  <w:style w:type="paragraph" w:customStyle="1" w:styleId="TSPfooterfirstpage">
    <w:name w:val="TSP_footer_firstpage"/>
    <w:qFormat/>
    <w:rsid w:val="00BE0BA1"/>
    <w:pPr>
      <w:tabs>
        <w:tab w:val="right" w:pos="8845"/>
      </w:tabs>
      <w:suppressAutoHyphens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sz w:val="16"/>
      <w:szCs w:val="20"/>
      <w:lang w:eastAsia="de-DE"/>
    </w:rPr>
  </w:style>
  <w:style w:type="paragraph" w:customStyle="1" w:styleId="TSPheader">
    <w:name w:val="TSP_header"/>
    <w:qFormat/>
    <w:rsid w:val="00BE0BA1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iCs/>
      <w:color w:val="000000"/>
      <w:sz w:val="16"/>
      <w:szCs w:val="20"/>
      <w:lang w:eastAsia="de-DE"/>
    </w:rPr>
  </w:style>
  <w:style w:type="paragraph" w:customStyle="1" w:styleId="TSPheadercitation">
    <w:name w:val="TSP_header_citation"/>
    <w:qFormat/>
    <w:rsid w:val="00BE0BA1"/>
    <w:pPr>
      <w:spacing w:after="0" w:line="228" w:lineRule="auto"/>
    </w:pPr>
    <w:rPr>
      <w:rFonts w:ascii="Minion Pro" w:eastAsia="Times New Roman" w:hAnsi="Minion Pro" w:cs="Times New Roman"/>
      <w:snapToGrid w:val="0"/>
      <w:color w:val="000000"/>
      <w:sz w:val="16"/>
      <w:szCs w:val="20"/>
      <w:lang w:eastAsia="de-DE" w:bidi="en-US"/>
    </w:rPr>
  </w:style>
  <w:style w:type="paragraph" w:customStyle="1" w:styleId="TSPheaderjournallogo">
    <w:name w:val="TSP_header_journal_logo"/>
    <w:qFormat/>
    <w:rsid w:val="00BE0BA1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lang w:eastAsia="de-CH"/>
    </w:rPr>
  </w:style>
  <w:style w:type="paragraph" w:customStyle="1" w:styleId="TSPheadertsplogo">
    <w:name w:val="TSP_header_tsp_logo"/>
    <w:qFormat/>
    <w:rsid w:val="00BE0BA1"/>
    <w:pPr>
      <w:adjustRightInd w:val="0"/>
      <w:snapToGrid w:val="0"/>
      <w:spacing w:after="0" w:line="240" w:lineRule="atLeast"/>
      <w:jc w:val="right"/>
    </w:pPr>
    <w:rPr>
      <w:rFonts w:ascii="Minion Pro" w:eastAsia="Times New Roman" w:hAnsi="Minion Pro" w:cs="Times New Roman"/>
      <w:color w:val="000000"/>
      <w:lang w:eastAsia="de-CH"/>
    </w:rPr>
  </w:style>
  <w:style w:type="paragraph" w:customStyle="1" w:styleId="TSPtext">
    <w:name w:val="TSP_text"/>
    <w:qFormat/>
    <w:rsid w:val="00BE0BA1"/>
    <w:pPr>
      <w:snapToGrid w:val="0"/>
      <w:spacing w:after="0" w:line="240" w:lineRule="atLeast"/>
      <w:ind w:firstLine="425"/>
      <w:jc w:val="both"/>
    </w:pPr>
    <w:rPr>
      <w:rFonts w:ascii="Minion Pro" w:eastAsia="Times New Roman" w:hAnsi="Minion Pro" w:cs="Times New Roman"/>
      <w:noProof/>
      <w:snapToGrid w:val="0"/>
      <w:color w:val="000000"/>
      <w:lang w:eastAsia="de-DE" w:bidi="en-US"/>
    </w:rPr>
  </w:style>
  <w:style w:type="paragraph" w:customStyle="1" w:styleId="TSPtitle">
    <w:name w:val="TSP_title"/>
    <w:qFormat/>
    <w:rsid w:val="00BE0BA1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b/>
      <w:snapToGrid w:val="0"/>
      <w:color w:val="000000"/>
      <w:sz w:val="28"/>
      <w:szCs w:val="20"/>
      <w:lang w:eastAsia="de-DE" w:bidi="en-US"/>
    </w:rPr>
  </w:style>
  <w:style w:type="paragraph" w:styleId="a3">
    <w:name w:val="header"/>
    <w:basedOn w:val="a"/>
    <w:link w:val="a4"/>
    <w:uiPriority w:val="99"/>
    <w:unhideWhenUsed/>
    <w:rsid w:val="00470850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4">
    <w:name w:val="页眉 字符"/>
    <w:basedOn w:val="a0"/>
    <w:link w:val="a3"/>
    <w:uiPriority w:val="99"/>
    <w:rsid w:val="00470850"/>
  </w:style>
  <w:style w:type="paragraph" w:styleId="a5">
    <w:name w:val="footer"/>
    <w:basedOn w:val="a"/>
    <w:link w:val="a6"/>
    <w:uiPriority w:val="99"/>
    <w:unhideWhenUsed/>
    <w:rsid w:val="00470850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6">
    <w:name w:val="页脚 字符"/>
    <w:basedOn w:val="a0"/>
    <w:link w:val="a5"/>
    <w:uiPriority w:val="99"/>
    <w:rsid w:val="00470850"/>
  </w:style>
  <w:style w:type="table" w:styleId="a7">
    <w:name w:val="Table Grid"/>
    <w:basedOn w:val="a1"/>
    <w:qFormat/>
    <w:rsid w:val="00470850"/>
    <w:pPr>
      <w:spacing w:after="0" w:line="260" w:lineRule="atLeast"/>
      <w:jc w:val="both"/>
    </w:pPr>
    <w:rPr>
      <w:rFonts w:ascii="Minion Pro" w:eastAsia="宋体" w:hAnsi="Minion Pro" w:cs="Times New Roman"/>
      <w:color w:val="000000"/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981</Words>
  <Characters>5598</Characters>
  <Application>Microsoft Office Word</Application>
  <DocSecurity>0</DocSecurity>
  <Lines>46</Lines>
  <Paragraphs>13</Paragraphs>
  <ScaleCrop>false</ScaleCrop>
  <Company/>
  <LinksUpToDate>false</LinksUpToDate>
  <CharactersWithSpaces>6566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 Science Press</dc:creator>
  <cp:keywords/>
  <dc:description/>
  <cp:lastModifiedBy>Tech Science Press</cp:lastModifiedBy>
  <cp:revision>2</cp:revision>
  <dcterms:created xsi:type="dcterms:W3CDTF">2025-08-08T06:57:00Z</dcterms:created>
  <dcterms:modified xsi:type="dcterms:W3CDTF">2025-08-08T06:57:00Z</dcterms:modified>
</cp:coreProperties>
</file>