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FCC7C" w14:textId="77777777" w:rsidR="00E1513D" w:rsidRPr="002D2821" w:rsidRDefault="00E1513D" w:rsidP="00E1513D">
      <w:pPr>
        <w:pStyle w:val="TSP52figure"/>
        <w:rPr>
          <w:color w:val="auto"/>
        </w:rPr>
      </w:pPr>
      <w:r w:rsidRPr="002D2821">
        <w:rPr>
          <w:noProof/>
          <w:color w:val="auto"/>
        </w:rPr>
        <w:drawing>
          <wp:inline distT="0" distB="0" distL="0" distR="0" wp14:anchorId="246E526F" wp14:editId="375D232C">
            <wp:extent cx="5590540" cy="2961640"/>
            <wp:effectExtent l="0" t="0" r="10160" b="1016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3854B346" w14:textId="77777777" w:rsidR="00E1513D" w:rsidRPr="002D2821" w:rsidRDefault="00E1513D" w:rsidP="00E1513D">
      <w:pPr>
        <w:pStyle w:val="TSP51figurecaption"/>
        <w:rPr>
          <w:color w:val="auto"/>
        </w:rPr>
      </w:pPr>
      <w:r w:rsidRPr="002D2821">
        <w:rPr>
          <w:b/>
          <w:bCs/>
          <w:color w:val="auto"/>
        </w:rPr>
        <w:t>Figure S1:</w:t>
      </w:r>
      <w:r w:rsidRPr="002D2821">
        <w:rPr>
          <w:bCs/>
          <w:color w:val="auto"/>
        </w:rPr>
        <w:t xml:space="preserve"> </w:t>
      </w:r>
      <w:r w:rsidRPr="002D2821">
        <w:rPr>
          <w:color w:val="auto"/>
        </w:rPr>
        <w:t xml:space="preserve">Classification and distribution of subsystem categories found in the complete genome of </w:t>
      </w:r>
      <w:proofErr w:type="spellStart"/>
      <w:r w:rsidRPr="002D2821">
        <w:rPr>
          <w:i/>
          <w:color w:val="auto"/>
        </w:rPr>
        <w:t>Paenibacillus</w:t>
      </w:r>
      <w:proofErr w:type="spellEnd"/>
      <w:r w:rsidRPr="002D2821">
        <w:rPr>
          <w:color w:val="auto"/>
        </w:rPr>
        <w:t xml:space="preserve"> sp. VCA1, obtained by genome annotation in </w:t>
      </w:r>
      <w:proofErr w:type="spellStart"/>
      <w:r w:rsidRPr="002D2821">
        <w:rPr>
          <w:color w:val="auto"/>
        </w:rPr>
        <w:t>RASTtk</w:t>
      </w:r>
      <w:proofErr w:type="spellEnd"/>
      <w:r w:rsidRPr="002D2821">
        <w:rPr>
          <w:color w:val="auto"/>
        </w:rPr>
        <w:t xml:space="preserve"> v2.0 (</w:t>
      </w:r>
      <w:r w:rsidRPr="002D2821">
        <w:rPr>
          <w:color w:val="auto"/>
          <w:kern w:val="24"/>
          <w:szCs w:val="36"/>
        </w:rPr>
        <w:t>http://rast.nmpdr.org</w:t>
      </w:r>
      <w:r w:rsidRPr="002D2821">
        <w:rPr>
          <w:color w:val="auto"/>
        </w:rPr>
        <w:t>).</w:t>
      </w:r>
    </w:p>
    <w:p w14:paraId="2C195228" w14:textId="7A9FE6DD" w:rsidR="002D2821" w:rsidRPr="002D2821" w:rsidRDefault="002D2821" w:rsidP="002D2821">
      <w:pPr>
        <w:pStyle w:val="TSP41tablecaption"/>
        <w:rPr>
          <w:color w:val="auto"/>
        </w:rPr>
      </w:pPr>
      <w:r w:rsidRPr="002D2821">
        <w:rPr>
          <w:b/>
          <w:color w:val="auto"/>
        </w:rPr>
        <w:t>Table S</w:t>
      </w:r>
      <w:commentRangeStart w:id="0"/>
      <w:r w:rsidR="00E1513D" w:rsidRPr="00E1513D">
        <w:rPr>
          <w:b/>
          <w:color w:val="auto"/>
          <w:highlight w:val="yellow"/>
        </w:rPr>
        <w:t>1</w:t>
      </w:r>
      <w:commentRangeEnd w:id="0"/>
      <w:r w:rsidR="00E1513D">
        <w:rPr>
          <w:rStyle w:val="CommentReference"/>
          <w:rFonts w:eastAsia="宋体" w:cs="Times New Roman"/>
          <w:noProof/>
          <w:lang w:eastAsia="zh-CN" w:bidi="ar-SA"/>
        </w:rPr>
        <w:commentReference w:id="0"/>
      </w:r>
      <w:r w:rsidRPr="002D2821">
        <w:rPr>
          <w:b/>
          <w:color w:val="auto"/>
        </w:rPr>
        <w:t>:</w:t>
      </w:r>
      <w:r w:rsidRPr="002D2821">
        <w:rPr>
          <w:color w:val="auto"/>
        </w:rPr>
        <w:t xml:space="preserve"> Inhibition of the antifungal activity of </w:t>
      </w:r>
      <w:r w:rsidRPr="002D2821">
        <w:rPr>
          <w:i/>
          <w:color w:val="auto"/>
        </w:rPr>
        <w:t xml:space="preserve">Paenibacillus </w:t>
      </w:r>
      <w:r w:rsidRPr="002D2821">
        <w:rPr>
          <w:color w:val="auto"/>
        </w:rPr>
        <w:t xml:space="preserve">sp. VCA1 strain against phytopathogen </w:t>
      </w:r>
      <w:r w:rsidRPr="002D2821">
        <w:rPr>
          <w:i/>
          <w:color w:val="auto"/>
        </w:rPr>
        <w:t xml:space="preserve">Fusarium </w:t>
      </w:r>
      <w:proofErr w:type="spellStart"/>
      <w:r w:rsidRPr="002D2821">
        <w:rPr>
          <w:i/>
          <w:color w:val="auto"/>
        </w:rPr>
        <w:t>oxysporum</w:t>
      </w:r>
      <w:proofErr w:type="spellEnd"/>
      <w:r w:rsidRPr="002D2821">
        <w:rPr>
          <w:i/>
          <w:color w:val="auto"/>
        </w:rPr>
        <w:t xml:space="preserve"> </w:t>
      </w:r>
      <w:r w:rsidRPr="002D2821">
        <w:rPr>
          <w:color w:val="auto"/>
        </w:rPr>
        <w:t>45ta.</w:t>
      </w:r>
    </w:p>
    <w:tbl>
      <w:tblPr>
        <w:tblW w:w="9360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2252"/>
        <w:gridCol w:w="2428"/>
      </w:tblGrid>
      <w:tr w:rsidR="002D2821" w:rsidRPr="002D2821" w14:paraId="5EBDE044" w14:textId="77777777" w:rsidTr="002D2821">
        <w:trPr>
          <w:jc w:val="center"/>
        </w:trPr>
        <w:tc>
          <w:tcPr>
            <w:tcW w:w="3827" w:type="dxa"/>
            <w:tcBorders>
              <w:top w:val="single" w:sz="8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6271A2AB" w14:textId="77777777" w:rsidR="002D2821" w:rsidRPr="002D2821" w:rsidRDefault="002D2821" w:rsidP="002D282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color w:val="auto"/>
              </w:rPr>
            </w:pPr>
            <w:r w:rsidRPr="002D2821">
              <w:rPr>
                <w:rFonts w:eastAsia="Times New Roman"/>
                <w:b/>
                <w:color w:val="auto"/>
              </w:rPr>
              <w:t>Treatments</w:t>
            </w:r>
          </w:p>
        </w:tc>
        <w:tc>
          <w:tcPr>
            <w:tcW w:w="1842" w:type="dxa"/>
            <w:tcBorders>
              <w:top w:val="single" w:sz="8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3C7A67AB" w14:textId="1154F04D" w:rsidR="002D2821" w:rsidRPr="002D2821" w:rsidRDefault="002D2821" w:rsidP="002D282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color w:val="auto"/>
              </w:rPr>
            </w:pPr>
            <w:r w:rsidRPr="002D2821">
              <w:rPr>
                <w:rFonts w:eastAsia="Times New Roman"/>
                <w:b/>
                <w:color w:val="auto"/>
              </w:rPr>
              <w:t>Fungal Growth Diameter (cm)</w:t>
            </w:r>
          </w:p>
        </w:tc>
        <w:tc>
          <w:tcPr>
            <w:tcW w:w="1986" w:type="dxa"/>
            <w:tcBorders>
              <w:top w:val="single" w:sz="8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3EE7D407" w14:textId="6DFFD941" w:rsidR="002D2821" w:rsidRPr="002D2821" w:rsidRDefault="002D2821" w:rsidP="002D282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auto"/>
              </w:rPr>
            </w:pPr>
            <w:r w:rsidRPr="002D2821">
              <w:rPr>
                <w:rFonts w:eastAsia="Times New Roman"/>
                <w:b/>
                <w:color w:val="auto"/>
              </w:rPr>
              <w:t>Inhibition Rate (%)</w:t>
            </w:r>
          </w:p>
        </w:tc>
      </w:tr>
      <w:tr w:rsidR="002D2821" w:rsidRPr="002D2821" w14:paraId="111C83E5" w14:textId="77777777" w:rsidTr="002D2821">
        <w:trPr>
          <w:jc w:val="center"/>
        </w:trPr>
        <w:tc>
          <w:tcPr>
            <w:tcW w:w="3827" w:type="dxa"/>
            <w:shd w:val="clear" w:color="auto" w:fill="FFFFFF"/>
            <w:vAlign w:val="center"/>
          </w:tcPr>
          <w:p w14:paraId="355174BC" w14:textId="77777777" w:rsidR="002D2821" w:rsidRPr="002D2821" w:rsidRDefault="002D2821" w:rsidP="002D282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 xml:space="preserve">Control </w:t>
            </w:r>
            <w:r w:rsidRPr="002D2821">
              <w:rPr>
                <w:rFonts w:eastAsia="Times New Roman"/>
                <w:i/>
                <w:iCs/>
                <w:color w:val="auto"/>
              </w:rPr>
              <w:t xml:space="preserve">Fusarium oxysporum </w:t>
            </w:r>
            <w:r w:rsidRPr="002D2821">
              <w:rPr>
                <w:rFonts w:eastAsia="Times New Roman"/>
                <w:color w:val="auto"/>
              </w:rPr>
              <w:t>45t</w:t>
            </w:r>
            <w:commentRangeStart w:id="1"/>
            <w:r w:rsidRPr="002D2821">
              <w:rPr>
                <w:rFonts w:eastAsia="Times New Roman"/>
                <w:color w:val="auto"/>
                <w:highlight w:val="yellow"/>
                <w:vertAlign w:val="superscript"/>
              </w:rPr>
              <w:t>a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10F81695" w14:textId="77777777" w:rsidR="002D2821" w:rsidRPr="00916548" w:rsidRDefault="002D2821" w:rsidP="002D282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5.6 ± 0</w:t>
            </w:r>
            <w:r w:rsidRPr="00916548">
              <w:rPr>
                <w:rFonts w:eastAsia="Times New Roman"/>
                <w:color w:val="auto"/>
                <w:highlight w:val="yellow"/>
                <w:vertAlign w:val="superscript"/>
              </w:rPr>
              <w:t>b</w:t>
            </w:r>
          </w:p>
        </w:tc>
        <w:tc>
          <w:tcPr>
            <w:tcW w:w="1986" w:type="dxa"/>
            <w:shd w:val="clear" w:color="auto" w:fill="FFFFFF"/>
            <w:vAlign w:val="center"/>
          </w:tcPr>
          <w:p w14:paraId="18871425" w14:textId="77777777" w:rsidR="002D2821" w:rsidRPr="002D2821" w:rsidRDefault="002D2821" w:rsidP="002D282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0 ± 0</w:t>
            </w:r>
            <w:r w:rsidRPr="00916548">
              <w:rPr>
                <w:rFonts w:eastAsia="Times New Roman"/>
                <w:color w:val="auto"/>
                <w:highlight w:val="yellow"/>
                <w:vertAlign w:val="superscript"/>
              </w:rPr>
              <w:t>b</w:t>
            </w:r>
          </w:p>
        </w:tc>
      </w:tr>
      <w:tr w:rsidR="002D2821" w:rsidRPr="002D2821" w14:paraId="4252AD5A" w14:textId="77777777" w:rsidTr="002D2821">
        <w:trPr>
          <w:jc w:val="center"/>
        </w:trPr>
        <w:tc>
          <w:tcPr>
            <w:tcW w:w="3827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DFCA15D" w14:textId="77777777" w:rsidR="002D2821" w:rsidRPr="002D2821" w:rsidRDefault="002D2821" w:rsidP="002D282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 xml:space="preserve">VCA1 vs </w:t>
            </w:r>
            <w:r w:rsidRPr="002D2821">
              <w:rPr>
                <w:rFonts w:eastAsia="Times New Roman"/>
                <w:i/>
                <w:iCs/>
                <w:color w:val="auto"/>
              </w:rPr>
              <w:t xml:space="preserve">Fusarium oxysporum </w:t>
            </w:r>
            <w:r w:rsidRPr="002D2821">
              <w:rPr>
                <w:rFonts w:eastAsia="Times New Roman"/>
                <w:color w:val="auto"/>
              </w:rPr>
              <w:t>45t</w:t>
            </w:r>
            <w:r w:rsidRPr="00916548">
              <w:rPr>
                <w:rFonts w:eastAsia="Times New Roman"/>
                <w:color w:val="auto"/>
                <w:highlight w:val="yellow"/>
                <w:vertAlign w:val="superscript"/>
              </w:rPr>
              <w:t>a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FC736F7" w14:textId="77777777" w:rsidR="002D2821" w:rsidRPr="002D2821" w:rsidRDefault="002D2821" w:rsidP="002D282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2.9 ± 0.1</w:t>
            </w:r>
            <w:r w:rsidRPr="00916548">
              <w:rPr>
                <w:rFonts w:eastAsia="Times New Roman"/>
                <w:color w:val="auto"/>
                <w:highlight w:val="yellow"/>
                <w:vertAlign w:val="superscript"/>
              </w:rPr>
              <w:t>a</w:t>
            </w:r>
          </w:p>
        </w:tc>
        <w:tc>
          <w:tcPr>
            <w:tcW w:w="1986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89474D4" w14:textId="77777777" w:rsidR="002D2821" w:rsidRPr="002D2821" w:rsidRDefault="002D2821" w:rsidP="002D282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49.40 ± 1.03</w:t>
            </w:r>
            <w:r w:rsidRPr="00916548">
              <w:rPr>
                <w:rFonts w:eastAsia="Times New Roman"/>
                <w:color w:val="auto"/>
                <w:highlight w:val="yellow"/>
                <w:vertAlign w:val="superscript"/>
              </w:rPr>
              <w:t>a</w:t>
            </w:r>
          </w:p>
        </w:tc>
      </w:tr>
      <w:tr w:rsidR="002D2821" w:rsidRPr="002D2821" w14:paraId="74DFCD54" w14:textId="77777777" w:rsidTr="002D2821">
        <w:trPr>
          <w:jc w:val="center"/>
        </w:trPr>
        <w:tc>
          <w:tcPr>
            <w:tcW w:w="3827" w:type="dxa"/>
            <w:tcBorders>
              <w:bottom w:val="single" w:sz="8" w:space="0" w:color="auto"/>
            </w:tcBorders>
            <w:shd w:val="clear" w:color="auto" w:fill="FFFFFF"/>
            <w:vAlign w:val="center"/>
          </w:tcPr>
          <w:p w14:paraId="78D12258" w14:textId="77777777" w:rsidR="002D2821" w:rsidRPr="002D2821" w:rsidRDefault="002D2821" w:rsidP="002D282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 w:rsidRPr="002D2821">
              <w:rPr>
                <w:rFonts w:eastAsia="Times New Roman"/>
                <w:b/>
                <w:bCs/>
                <w:color w:val="auto"/>
              </w:rPr>
              <w:t>DMS</w:t>
            </w:r>
          </w:p>
        </w:tc>
        <w:tc>
          <w:tcPr>
            <w:tcW w:w="1842" w:type="dxa"/>
            <w:tcBorders>
              <w:bottom w:val="single" w:sz="8" w:space="0" w:color="auto"/>
            </w:tcBorders>
            <w:shd w:val="clear" w:color="auto" w:fill="FFFFFF"/>
            <w:vAlign w:val="center"/>
          </w:tcPr>
          <w:p w14:paraId="0A1F8335" w14:textId="77777777" w:rsidR="002D2821" w:rsidRPr="002D2821" w:rsidRDefault="002D2821" w:rsidP="002D282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 w:rsidRPr="002D2821">
              <w:rPr>
                <w:rFonts w:eastAsia="Times New Roman"/>
                <w:b/>
                <w:bCs/>
                <w:color w:val="auto"/>
              </w:rPr>
              <w:t>0.16</w:t>
            </w:r>
          </w:p>
        </w:tc>
        <w:tc>
          <w:tcPr>
            <w:tcW w:w="1986" w:type="dxa"/>
            <w:tcBorders>
              <w:bottom w:val="single" w:sz="8" w:space="0" w:color="auto"/>
            </w:tcBorders>
            <w:shd w:val="clear" w:color="auto" w:fill="FFFFFF"/>
            <w:vAlign w:val="center"/>
          </w:tcPr>
          <w:p w14:paraId="75F937D5" w14:textId="77777777" w:rsidR="002D2821" w:rsidRPr="002D2821" w:rsidRDefault="002D2821" w:rsidP="002D282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</w:rPr>
            </w:pPr>
            <w:r w:rsidRPr="002D2821">
              <w:rPr>
                <w:rFonts w:eastAsia="Times New Roman"/>
                <w:b/>
                <w:bCs/>
                <w:color w:val="auto"/>
              </w:rPr>
              <w:t>1.656</w:t>
            </w:r>
          </w:p>
        </w:tc>
      </w:tr>
    </w:tbl>
    <w:p w14:paraId="189A43D5" w14:textId="0A49A0BA" w:rsidR="002D2821" w:rsidRPr="002D2821" w:rsidRDefault="002D2821" w:rsidP="002D2821">
      <w:pPr>
        <w:pStyle w:val="TSP43tablefooter"/>
        <w:rPr>
          <w:color w:val="auto"/>
        </w:rPr>
      </w:pPr>
      <w:r w:rsidRPr="002D2821">
        <w:rPr>
          <w:color w:val="auto"/>
        </w:rPr>
        <w:t>Mean values ± standard deviation. Significant differences (</w:t>
      </w:r>
      <w:r w:rsidRPr="002D2821">
        <w:rPr>
          <w:i/>
          <w:iCs/>
          <w:color w:val="auto"/>
        </w:rPr>
        <w:t>p</w:t>
      </w:r>
      <w:r w:rsidRPr="002D2821">
        <w:rPr>
          <w:color w:val="auto"/>
        </w:rPr>
        <w:t xml:space="preserve"> ≤ 0.05) between follow-up times by ANOVA/Fisher’s least significant difference (LSD) test are indicated in columns with different lowercase letters (a, b).</w:t>
      </w:r>
    </w:p>
    <w:p w14:paraId="4CDBA23C" w14:textId="3E49F037" w:rsidR="002D2821" w:rsidRPr="002D2821" w:rsidRDefault="002D2821" w:rsidP="002D2821">
      <w:pPr>
        <w:pStyle w:val="TSP41tablecaption"/>
        <w:rPr>
          <w:color w:val="auto"/>
        </w:rPr>
      </w:pPr>
      <w:r w:rsidRPr="002D2821">
        <w:rPr>
          <w:b/>
          <w:color w:val="auto"/>
        </w:rPr>
        <w:t>Table S</w:t>
      </w:r>
      <w:r w:rsidR="00E1513D" w:rsidRPr="00E1513D">
        <w:rPr>
          <w:b/>
          <w:color w:val="auto"/>
          <w:highlight w:val="yellow"/>
        </w:rPr>
        <w:t>2</w:t>
      </w:r>
      <w:r w:rsidRPr="002D2821">
        <w:rPr>
          <w:b/>
          <w:color w:val="auto"/>
        </w:rPr>
        <w:t>:</w:t>
      </w:r>
      <w:r w:rsidRPr="002D2821">
        <w:rPr>
          <w:color w:val="auto"/>
        </w:rPr>
        <w:t xml:space="preserve"> Emulsification activity by the biosurfactants produced by </w:t>
      </w:r>
      <w:r w:rsidRPr="002D2821">
        <w:rPr>
          <w:i/>
          <w:color w:val="auto"/>
        </w:rPr>
        <w:t xml:space="preserve">Paenibacillus </w:t>
      </w:r>
      <w:r w:rsidRPr="002D2821">
        <w:rPr>
          <w:color w:val="auto"/>
        </w:rPr>
        <w:t>sp. VCA1 strain with two types of oils.</w:t>
      </w:r>
    </w:p>
    <w:tbl>
      <w:tblPr>
        <w:tblW w:w="9360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0"/>
        <w:gridCol w:w="3783"/>
        <w:gridCol w:w="3387"/>
      </w:tblGrid>
      <w:tr w:rsidR="002D2821" w:rsidRPr="002D2821" w14:paraId="0E04AA89" w14:textId="77777777" w:rsidTr="002D2821">
        <w:trPr>
          <w:jc w:val="center"/>
        </w:trPr>
        <w:tc>
          <w:tcPr>
            <w:tcW w:w="1559" w:type="dxa"/>
            <w:tcBorders>
              <w:top w:val="single" w:sz="8" w:space="0" w:color="auto"/>
            </w:tcBorders>
            <w:shd w:val="clear" w:color="auto" w:fill="FFFFFF"/>
            <w:vAlign w:val="center"/>
          </w:tcPr>
          <w:p w14:paraId="20EBA55A" w14:textId="3A08C79B" w:rsidR="002D2821" w:rsidRPr="002D2821" w:rsidRDefault="002D2821" w:rsidP="002D282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color w:val="auto"/>
              </w:rPr>
            </w:pPr>
          </w:p>
        </w:tc>
        <w:tc>
          <w:tcPr>
            <w:tcW w:w="5102" w:type="dxa"/>
            <w:gridSpan w:val="2"/>
            <w:tcBorders>
              <w:top w:val="single" w:sz="8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B33211A" w14:textId="0B430945" w:rsidR="002D2821" w:rsidRPr="002D2821" w:rsidRDefault="002D2821" w:rsidP="002D282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auto"/>
              </w:rPr>
            </w:pPr>
            <w:r w:rsidRPr="002D2821">
              <w:rPr>
                <w:rFonts w:eastAsia="Times New Roman"/>
                <w:b/>
                <w:color w:val="auto"/>
              </w:rPr>
              <w:t>Absorbance at λ = 540 nm in Different Types of Oil</w:t>
            </w:r>
          </w:p>
        </w:tc>
      </w:tr>
      <w:tr w:rsidR="002D2821" w:rsidRPr="002D2821" w14:paraId="1F8C4564" w14:textId="77777777" w:rsidTr="002D2821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559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40EF141" w14:textId="7DDE55DA" w:rsidR="002D2821" w:rsidRPr="002D2821" w:rsidRDefault="002D2821" w:rsidP="002D282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color w:val="auto"/>
              </w:rPr>
            </w:pPr>
            <w:r w:rsidRPr="002D2821">
              <w:rPr>
                <w:rFonts w:eastAsia="Times New Roman"/>
                <w:b/>
                <w:color w:val="auto"/>
              </w:rPr>
              <w:t>Treatments</w:t>
            </w:r>
          </w:p>
        </w:tc>
        <w:tc>
          <w:tcPr>
            <w:tcW w:w="2692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C4A4041" w14:textId="26EB056B" w:rsidR="002D2821" w:rsidRPr="002D2821" w:rsidRDefault="002D2821" w:rsidP="002D282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color w:val="auto"/>
              </w:rPr>
            </w:pPr>
            <w:r w:rsidRPr="002D2821">
              <w:rPr>
                <w:rFonts w:eastAsia="Times New Roman"/>
                <w:b/>
                <w:color w:val="auto"/>
              </w:rPr>
              <w:t>Corn Oil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78FB7D5" w14:textId="098CC8C0" w:rsidR="002D2821" w:rsidRPr="002D2821" w:rsidRDefault="002D2821" w:rsidP="002D282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auto"/>
              </w:rPr>
            </w:pPr>
            <w:r w:rsidRPr="002D2821">
              <w:rPr>
                <w:rFonts w:eastAsia="Times New Roman"/>
                <w:b/>
                <w:color w:val="auto"/>
              </w:rPr>
              <w:t>Olive Oil</w:t>
            </w:r>
          </w:p>
        </w:tc>
      </w:tr>
      <w:tr w:rsidR="002D2821" w:rsidRPr="002D2821" w14:paraId="7C0550E0" w14:textId="77777777" w:rsidTr="002D2821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559" w:type="dxa"/>
            <w:shd w:val="clear" w:color="auto" w:fill="FFFFFF"/>
            <w:vAlign w:val="center"/>
          </w:tcPr>
          <w:p w14:paraId="634ECD17" w14:textId="77777777" w:rsidR="002D2821" w:rsidRPr="002D2821" w:rsidRDefault="002D2821" w:rsidP="002D282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Control</w:t>
            </w:r>
          </w:p>
        </w:tc>
        <w:tc>
          <w:tcPr>
            <w:tcW w:w="2692" w:type="dxa"/>
            <w:shd w:val="clear" w:color="auto" w:fill="FFFFFF"/>
            <w:vAlign w:val="center"/>
          </w:tcPr>
          <w:p w14:paraId="611EDB4C" w14:textId="77777777" w:rsidR="002D2821" w:rsidRPr="002D2821" w:rsidRDefault="002D2821" w:rsidP="002D282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0.300 ± 0.0005</w:t>
            </w:r>
            <w:r w:rsidRPr="00916548">
              <w:rPr>
                <w:rFonts w:eastAsia="Times New Roman"/>
                <w:color w:val="auto"/>
                <w:highlight w:val="yellow"/>
                <w:vertAlign w:val="superscript"/>
              </w:rPr>
              <w:t>b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77CFDAAF" w14:textId="77777777" w:rsidR="002D2821" w:rsidRPr="002D2821" w:rsidRDefault="002D2821" w:rsidP="002D282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0.450 ± 0.0001</w:t>
            </w:r>
            <w:r w:rsidRPr="00916548">
              <w:rPr>
                <w:rFonts w:eastAsia="Times New Roman"/>
                <w:color w:val="auto"/>
                <w:highlight w:val="yellow"/>
                <w:vertAlign w:val="superscript"/>
              </w:rPr>
              <w:t>b</w:t>
            </w:r>
          </w:p>
        </w:tc>
      </w:tr>
      <w:tr w:rsidR="002D2821" w:rsidRPr="002D2821" w14:paraId="3639A175" w14:textId="77777777" w:rsidTr="002D2821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559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2FC9164" w14:textId="77777777" w:rsidR="002D2821" w:rsidRPr="002D2821" w:rsidRDefault="002D2821" w:rsidP="002D282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Strain VCA1</w:t>
            </w:r>
          </w:p>
        </w:tc>
        <w:tc>
          <w:tcPr>
            <w:tcW w:w="2692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5E629872" w14:textId="77777777" w:rsidR="002D2821" w:rsidRPr="002D2821" w:rsidRDefault="002D2821" w:rsidP="002D282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0.031 ± 0.002</w:t>
            </w:r>
            <w:r w:rsidRPr="00916548">
              <w:rPr>
                <w:rFonts w:eastAsia="Times New Roman"/>
                <w:color w:val="auto"/>
                <w:highlight w:val="yellow"/>
                <w:vertAlign w:val="superscript"/>
              </w:rPr>
              <w:t>a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77F35A5" w14:textId="77777777" w:rsidR="002D2821" w:rsidRPr="002D2821" w:rsidRDefault="002D2821" w:rsidP="002D282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0.065 ± 0.008</w:t>
            </w:r>
            <w:r w:rsidRPr="00916548">
              <w:rPr>
                <w:rFonts w:eastAsia="Times New Roman"/>
                <w:color w:val="auto"/>
                <w:highlight w:val="yellow"/>
                <w:vertAlign w:val="superscript"/>
              </w:rPr>
              <w:t>a</w:t>
            </w:r>
          </w:p>
        </w:tc>
      </w:tr>
      <w:tr w:rsidR="002D2821" w:rsidRPr="002D2821" w14:paraId="2AC73638" w14:textId="77777777" w:rsidTr="002D2821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559" w:type="dxa"/>
            <w:tcBorders>
              <w:bottom w:val="single" w:sz="8" w:space="0" w:color="auto"/>
            </w:tcBorders>
            <w:shd w:val="clear" w:color="auto" w:fill="FFFFFF"/>
            <w:vAlign w:val="center"/>
          </w:tcPr>
          <w:p w14:paraId="5BF3C6EA" w14:textId="77777777" w:rsidR="002D2821" w:rsidRPr="002D2821" w:rsidRDefault="002D2821" w:rsidP="002D282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 w:rsidRPr="002D2821">
              <w:rPr>
                <w:rFonts w:eastAsia="Times New Roman"/>
                <w:b/>
                <w:bCs/>
                <w:color w:val="auto"/>
              </w:rPr>
              <w:t>DMS</w:t>
            </w:r>
          </w:p>
        </w:tc>
        <w:tc>
          <w:tcPr>
            <w:tcW w:w="2692" w:type="dxa"/>
            <w:tcBorders>
              <w:bottom w:val="single" w:sz="8" w:space="0" w:color="auto"/>
            </w:tcBorders>
            <w:shd w:val="clear" w:color="auto" w:fill="FFFFFF"/>
            <w:vAlign w:val="center"/>
          </w:tcPr>
          <w:p w14:paraId="3222EECD" w14:textId="77777777" w:rsidR="002D2821" w:rsidRPr="002D2821" w:rsidRDefault="002D2821" w:rsidP="002D282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 w:rsidRPr="002D2821">
              <w:rPr>
                <w:rFonts w:eastAsia="Times New Roman"/>
                <w:b/>
                <w:bCs/>
                <w:color w:val="auto"/>
              </w:rPr>
              <w:t>0.004</w:t>
            </w:r>
          </w:p>
        </w:tc>
        <w:tc>
          <w:tcPr>
            <w:tcW w:w="2410" w:type="dxa"/>
            <w:tcBorders>
              <w:bottom w:val="single" w:sz="8" w:space="0" w:color="auto"/>
            </w:tcBorders>
            <w:shd w:val="clear" w:color="auto" w:fill="FFFFFF"/>
            <w:vAlign w:val="center"/>
          </w:tcPr>
          <w:p w14:paraId="0130089E" w14:textId="77777777" w:rsidR="002D2821" w:rsidRPr="002D2821" w:rsidRDefault="002D2821" w:rsidP="002D282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</w:rPr>
            </w:pPr>
            <w:r w:rsidRPr="002D2821">
              <w:rPr>
                <w:rFonts w:eastAsia="Times New Roman"/>
                <w:b/>
                <w:bCs/>
                <w:color w:val="auto"/>
              </w:rPr>
              <w:t>0.013</w:t>
            </w:r>
          </w:p>
        </w:tc>
      </w:tr>
    </w:tbl>
    <w:p w14:paraId="3777CB40" w14:textId="3A3FDA18" w:rsidR="002D2821" w:rsidRDefault="002D2821" w:rsidP="002D2821">
      <w:pPr>
        <w:pStyle w:val="TSP43tablefooter"/>
        <w:rPr>
          <w:color w:val="auto"/>
        </w:rPr>
      </w:pPr>
      <w:r w:rsidRPr="002D2821">
        <w:rPr>
          <w:color w:val="auto"/>
        </w:rPr>
        <w:t>Mean values ± standard deviation. Significant differences (</w:t>
      </w:r>
      <w:r w:rsidRPr="00916548">
        <w:rPr>
          <w:i/>
          <w:iCs/>
          <w:color w:val="auto"/>
        </w:rPr>
        <w:t>p</w:t>
      </w:r>
      <w:r w:rsidRPr="002D2821">
        <w:rPr>
          <w:color w:val="auto"/>
        </w:rPr>
        <w:t xml:space="preserve"> ≤ 0.05) between follow-up times by ANOVA/Fisher</w:t>
      </w:r>
      <w:r>
        <w:rPr>
          <w:color w:val="auto"/>
        </w:rPr>
        <w:t>’</w:t>
      </w:r>
      <w:r w:rsidRPr="002D2821">
        <w:rPr>
          <w:color w:val="auto"/>
        </w:rPr>
        <w:t>s least significant difference (LSD) test are indicated in columns with different lowercase letters (a, b).</w:t>
      </w:r>
    </w:p>
    <w:p w14:paraId="5BE35A5A" w14:textId="77777777" w:rsidR="00E1513D" w:rsidRDefault="00E1513D">
      <w:pPr>
        <w:spacing w:line="240" w:lineRule="auto"/>
        <w:jc w:val="left"/>
        <w:rPr>
          <w:rFonts w:eastAsia="Times New Roman" w:cs="Cordia New"/>
          <w:b/>
          <w:noProof w:val="0"/>
          <w:color w:val="auto"/>
          <w:szCs w:val="22"/>
          <w:lang w:eastAsia="de-DE" w:bidi="en-US"/>
        </w:rPr>
      </w:pPr>
      <w:r>
        <w:rPr>
          <w:b/>
          <w:color w:val="auto"/>
        </w:rPr>
        <w:br w:type="page"/>
      </w:r>
    </w:p>
    <w:p w14:paraId="6CE9D903" w14:textId="1DDDAA84" w:rsidR="00E1513D" w:rsidRPr="002D2821" w:rsidRDefault="00E1513D" w:rsidP="00E1513D">
      <w:pPr>
        <w:pStyle w:val="TSP41tablecaption"/>
        <w:jc w:val="center"/>
        <w:rPr>
          <w:color w:val="auto"/>
        </w:rPr>
      </w:pPr>
      <w:r w:rsidRPr="002D2821">
        <w:rPr>
          <w:b/>
          <w:color w:val="auto"/>
        </w:rPr>
        <w:lastRenderedPageBreak/>
        <w:t>Table S</w:t>
      </w:r>
      <w:r w:rsidRPr="00E1513D">
        <w:rPr>
          <w:b/>
          <w:color w:val="auto"/>
          <w:highlight w:val="yellow"/>
        </w:rPr>
        <w:t>3</w:t>
      </w:r>
      <w:r w:rsidRPr="002D2821">
        <w:rPr>
          <w:b/>
          <w:color w:val="auto"/>
        </w:rPr>
        <w:t>:</w:t>
      </w:r>
      <w:r w:rsidRPr="002D2821">
        <w:rPr>
          <w:color w:val="auto"/>
        </w:rPr>
        <w:t xml:space="preserve"> Taxonomic parameters obtained for taxonomic assignment.</w:t>
      </w:r>
    </w:p>
    <w:tbl>
      <w:tblPr>
        <w:tblW w:w="9360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3"/>
        <w:gridCol w:w="2360"/>
        <w:gridCol w:w="2540"/>
        <w:gridCol w:w="2497"/>
      </w:tblGrid>
      <w:tr w:rsidR="00E1513D" w:rsidRPr="002D2821" w14:paraId="2B1D5061" w14:textId="77777777" w:rsidTr="00682A91">
        <w:trPr>
          <w:jc w:val="center"/>
        </w:trPr>
        <w:tc>
          <w:tcPr>
            <w:tcW w:w="1560" w:type="dxa"/>
            <w:tcBorders>
              <w:top w:val="single" w:sz="8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62373DE0" w14:textId="77777777" w:rsidR="00E1513D" w:rsidRPr="002D2821" w:rsidRDefault="00E1513D" w:rsidP="00682A9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i/>
                <w:iCs/>
                <w:color w:val="auto"/>
              </w:rPr>
            </w:pPr>
            <w:r w:rsidRPr="002D2821">
              <w:rPr>
                <w:rFonts w:eastAsia="Times New Roman"/>
                <w:b/>
                <w:color w:val="auto"/>
              </w:rPr>
              <w:t>Parameters</w:t>
            </w:r>
          </w:p>
        </w:tc>
        <w:tc>
          <w:tcPr>
            <w:tcW w:w="1876" w:type="dxa"/>
            <w:tcBorders>
              <w:top w:val="single" w:sz="8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4DA8E4" w14:textId="77777777" w:rsidR="00E1513D" w:rsidRPr="002D2821" w:rsidRDefault="00E1513D" w:rsidP="00682A9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i/>
                <w:iCs/>
                <w:color w:val="auto"/>
              </w:rPr>
            </w:pPr>
            <w:r w:rsidRPr="002D2821">
              <w:rPr>
                <w:rFonts w:eastAsia="Times New Roman"/>
                <w:b/>
                <w:i/>
                <w:iCs/>
                <w:color w:val="auto"/>
              </w:rPr>
              <w:t xml:space="preserve">Paenibacillus </w:t>
            </w:r>
            <w:r w:rsidRPr="002D2821">
              <w:rPr>
                <w:rFonts w:eastAsia="Times New Roman"/>
                <w:b/>
                <w:color w:val="auto"/>
              </w:rPr>
              <w:t>sp. P1XP2</w:t>
            </w:r>
          </w:p>
        </w:tc>
        <w:tc>
          <w:tcPr>
            <w:tcW w:w="2019" w:type="dxa"/>
            <w:tcBorders>
              <w:top w:val="single" w:sz="8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4A552FF5" w14:textId="77777777" w:rsidR="00E1513D" w:rsidRPr="002D2821" w:rsidRDefault="00E1513D" w:rsidP="00682A9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b/>
                <w:i/>
                <w:iCs/>
                <w:color w:val="auto"/>
              </w:rPr>
            </w:pPr>
            <w:r w:rsidRPr="002D2821">
              <w:rPr>
                <w:rFonts w:eastAsia="Times New Roman"/>
                <w:b/>
                <w:i/>
                <w:iCs/>
                <w:color w:val="auto"/>
              </w:rPr>
              <w:t xml:space="preserve">Paenibacillus polymyxa </w:t>
            </w:r>
            <w:r w:rsidRPr="002D2821">
              <w:rPr>
                <w:rFonts w:eastAsia="Times New Roman"/>
                <w:b/>
                <w:color w:val="auto"/>
              </w:rPr>
              <w:t>YC0573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411DB108" w14:textId="77777777" w:rsidR="00E1513D" w:rsidRPr="002D2821" w:rsidRDefault="00E1513D" w:rsidP="00682A9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auto"/>
              </w:rPr>
            </w:pPr>
            <w:r w:rsidRPr="002D2821">
              <w:rPr>
                <w:rFonts w:eastAsia="Times New Roman"/>
                <w:b/>
                <w:i/>
                <w:iCs/>
                <w:color w:val="auto"/>
              </w:rPr>
              <w:t xml:space="preserve">Paenibacillus lautus </w:t>
            </w:r>
            <w:r w:rsidRPr="002D2821">
              <w:rPr>
                <w:rFonts w:eastAsia="Times New Roman"/>
                <w:b/>
                <w:color w:val="auto"/>
              </w:rPr>
              <w:t>Y412MC10</w:t>
            </w:r>
          </w:p>
        </w:tc>
      </w:tr>
      <w:tr w:rsidR="00E1513D" w:rsidRPr="002D2821" w14:paraId="7A53A3AC" w14:textId="77777777" w:rsidTr="00682A91">
        <w:trPr>
          <w:jc w:val="center"/>
        </w:trPr>
        <w:tc>
          <w:tcPr>
            <w:tcW w:w="1560" w:type="dxa"/>
            <w:shd w:val="clear" w:color="auto" w:fill="FFFFFF"/>
            <w:vAlign w:val="center"/>
          </w:tcPr>
          <w:p w14:paraId="1EA1763A" w14:textId="77777777" w:rsidR="00E1513D" w:rsidRPr="002D2821" w:rsidRDefault="00E1513D" w:rsidP="00682A9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Similitude (%)</w:t>
            </w:r>
          </w:p>
        </w:tc>
        <w:tc>
          <w:tcPr>
            <w:tcW w:w="1876" w:type="dxa"/>
            <w:shd w:val="clear" w:color="auto" w:fill="FFFFFF"/>
            <w:vAlign w:val="center"/>
          </w:tcPr>
          <w:p w14:paraId="33415282" w14:textId="77777777" w:rsidR="00E1513D" w:rsidRPr="002D2821" w:rsidRDefault="00E1513D" w:rsidP="00682A9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98.77</w:t>
            </w:r>
          </w:p>
        </w:tc>
        <w:tc>
          <w:tcPr>
            <w:tcW w:w="2019" w:type="dxa"/>
            <w:shd w:val="clear" w:color="auto" w:fill="FFFFFF"/>
            <w:vAlign w:val="center"/>
          </w:tcPr>
          <w:p w14:paraId="6C070AFC" w14:textId="77777777" w:rsidR="00E1513D" w:rsidRPr="002D2821" w:rsidRDefault="00E1513D" w:rsidP="00682A9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97.44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653D4381" w14:textId="77777777" w:rsidR="00E1513D" w:rsidRPr="002D2821" w:rsidRDefault="00E1513D" w:rsidP="00682A9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95.55</w:t>
            </w:r>
          </w:p>
        </w:tc>
      </w:tr>
      <w:tr w:rsidR="00E1513D" w:rsidRPr="002D2821" w14:paraId="1BDE8185" w14:textId="77777777" w:rsidTr="00682A91">
        <w:trPr>
          <w:jc w:val="center"/>
        </w:trPr>
        <w:tc>
          <w:tcPr>
            <w:tcW w:w="1560" w:type="dxa"/>
            <w:shd w:val="clear" w:color="auto" w:fill="FFFFFF"/>
            <w:vAlign w:val="center"/>
          </w:tcPr>
          <w:p w14:paraId="75BAE854" w14:textId="77777777" w:rsidR="00E1513D" w:rsidRPr="002D2821" w:rsidRDefault="00E1513D" w:rsidP="00682A9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TETRA (Z)</w:t>
            </w:r>
          </w:p>
        </w:tc>
        <w:tc>
          <w:tcPr>
            <w:tcW w:w="1876" w:type="dxa"/>
            <w:shd w:val="clear" w:color="auto" w:fill="FFFFFF"/>
            <w:vAlign w:val="center"/>
          </w:tcPr>
          <w:p w14:paraId="1E6FDF9F" w14:textId="77777777" w:rsidR="00E1513D" w:rsidRPr="002D2821" w:rsidRDefault="00E1513D" w:rsidP="00682A9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0.9877</w:t>
            </w:r>
          </w:p>
        </w:tc>
        <w:tc>
          <w:tcPr>
            <w:tcW w:w="2019" w:type="dxa"/>
            <w:shd w:val="clear" w:color="auto" w:fill="FFFFFF"/>
            <w:vAlign w:val="center"/>
          </w:tcPr>
          <w:p w14:paraId="44E2890A" w14:textId="77777777" w:rsidR="00E1513D" w:rsidRPr="002D2821" w:rsidRDefault="00E1513D" w:rsidP="00682A9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0.707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41B019E7" w14:textId="77777777" w:rsidR="00E1513D" w:rsidRPr="002D2821" w:rsidRDefault="00E1513D" w:rsidP="00682A9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0.9214</w:t>
            </w:r>
          </w:p>
        </w:tc>
      </w:tr>
      <w:tr w:rsidR="00E1513D" w:rsidRPr="002D2821" w14:paraId="1BB388B8" w14:textId="77777777" w:rsidTr="00682A91">
        <w:trPr>
          <w:jc w:val="center"/>
        </w:trPr>
        <w:tc>
          <w:tcPr>
            <w:tcW w:w="1560" w:type="dxa"/>
            <w:shd w:val="clear" w:color="auto" w:fill="FFFFFF"/>
            <w:vAlign w:val="center"/>
          </w:tcPr>
          <w:p w14:paraId="421B938C" w14:textId="77777777" w:rsidR="00E1513D" w:rsidRPr="002D2821" w:rsidRDefault="00E1513D" w:rsidP="00682A9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ANIm (%)</w:t>
            </w:r>
          </w:p>
        </w:tc>
        <w:tc>
          <w:tcPr>
            <w:tcW w:w="1876" w:type="dxa"/>
            <w:shd w:val="clear" w:color="auto" w:fill="FFFFFF"/>
            <w:vAlign w:val="center"/>
          </w:tcPr>
          <w:p w14:paraId="36F83F98" w14:textId="77777777" w:rsidR="00E1513D" w:rsidRPr="002D2821" w:rsidRDefault="00E1513D" w:rsidP="00682A9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88.22</w:t>
            </w:r>
          </w:p>
        </w:tc>
        <w:tc>
          <w:tcPr>
            <w:tcW w:w="2019" w:type="dxa"/>
            <w:shd w:val="clear" w:color="auto" w:fill="FFFFFF"/>
            <w:vAlign w:val="center"/>
          </w:tcPr>
          <w:p w14:paraId="6CAC8CF9" w14:textId="77777777" w:rsidR="00E1513D" w:rsidRPr="002D2821" w:rsidRDefault="00E1513D" w:rsidP="00682A9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86.45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32A915BC" w14:textId="77777777" w:rsidR="00E1513D" w:rsidRPr="002D2821" w:rsidRDefault="00E1513D" w:rsidP="00682A9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84.74</w:t>
            </w:r>
          </w:p>
        </w:tc>
      </w:tr>
      <w:tr w:rsidR="00E1513D" w:rsidRPr="002D2821" w14:paraId="1C074865" w14:textId="77777777" w:rsidTr="00682A91">
        <w:trPr>
          <w:jc w:val="center"/>
        </w:trPr>
        <w:tc>
          <w:tcPr>
            <w:tcW w:w="1560" w:type="dxa"/>
            <w:shd w:val="clear" w:color="auto" w:fill="FFFFFF"/>
            <w:vAlign w:val="center"/>
          </w:tcPr>
          <w:p w14:paraId="5190AFE4" w14:textId="77777777" w:rsidR="00E1513D" w:rsidRPr="002D2821" w:rsidRDefault="00E1513D" w:rsidP="00682A9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 xml:space="preserve">ANIb (%) </w:t>
            </w:r>
          </w:p>
        </w:tc>
        <w:tc>
          <w:tcPr>
            <w:tcW w:w="1876" w:type="dxa"/>
            <w:shd w:val="clear" w:color="auto" w:fill="FFFFFF"/>
            <w:vAlign w:val="center"/>
          </w:tcPr>
          <w:p w14:paraId="36B8AEBF" w14:textId="77777777" w:rsidR="00E1513D" w:rsidRPr="002D2821" w:rsidRDefault="00E1513D" w:rsidP="00682A9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85.64</w:t>
            </w:r>
          </w:p>
        </w:tc>
        <w:tc>
          <w:tcPr>
            <w:tcW w:w="2019" w:type="dxa"/>
            <w:shd w:val="clear" w:color="auto" w:fill="FFFFFF"/>
            <w:vAlign w:val="center"/>
          </w:tcPr>
          <w:p w14:paraId="6614A4F5" w14:textId="77777777" w:rsidR="00E1513D" w:rsidRPr="002D2821" w:rsidRDefault="00E1513D" w:rsidP="00682A9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71.27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41094776" w14:textId="77777777" w:rsidR="00E1513D" w:rsidRPr="002D2821" w:rsidRDefault="00E1513D" w:rsidP="00682A9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68.9</w:t>
            </w:r>
          </w:p>
        </w:tc>
      </w:tr>
      <w:tr w:rsidR="00E1513D" w:rsidRPr="002D2821" w14:paraId="5751E8B3" w14:textId="77777777" w:rsidTr="00682A91">
        <w:trPr>
          <w:jc w:val="center"/>
        </w:trPr>
        <w:tc>
          <w:tcPr>
            <w:tcW w:w="1560" w:type="dxa"/>
            <w:tcBorders>
              <w:bottom w:val="single" w:sz="8" w:space="0" w:color="auto"/>
            </w:tcBorders>
            <w:shd w:val="clear" w:color="auto" w:fill="FFFFFF"/>
            <w:vAlign w:val="center"/>
          </w:tcPr>
          <w:p w14:paraId="5E710BF4" w14:textId="77777777" w:rsidR="00E1513D" w:rsidRPr="002D2821" w:rsidRDefault="00E1513D" w:rsidP="00682A9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DDH (%)</w:t>
            </w:r>
          </w:p>
        </w:tc>
        <w:tc>
          <w:tcPr>
            <w:tcW w:w="1876" w:type="dxa"/>
            <w:tcBorders>
              <w:bottom w:val="single" w:sz="8" w:space="0" w:color="auto"/>
            </w:tcBorders>
            <w:shd w:val="clear" w:color="auto" w:fill="FFFFFF"/>
            <w:vAlign w:val="center"/>
          </w:tcPr>
          <w:p w14:paraId="31E47180" w14:textId="77777777" w:rsidR="00E1513D" w:rsidRPr="002D2821" w:rsidRDefault="00E1513D" w:rsidP="00682A9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84.5</w:t>
            </w:r>
          </w:p>
        </w:tc>
        <w:tc>
          <w:tcPr>
            <w:tcW w:w="2019" w:type="dxa"/>
            <w:tcBorders>
              <w:bottom w:val="single" w:sz="8" w:space="0" w:color="auto"/>
            </w:tcBorders>
            <w:shd w:val="clear" w:color="auto" w:fill="FFFFFF"/>
            <w:vAlign w:val="center"/>
          </w:tcPr>
          <w:p w14:paraId="23E2F785" w14:textId="77777777" w:rsidR="00E1513D" w:rsidRPr="002D2821" w:rsidRDefault="00E1513D" w:rsidP="00682A9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/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73.8</w:t>
            </w:r>
          </w:p>
        </w:tc>
        <w:tc>
          <w:tcPr>
            <w:tcW w:w="1985" w:type="dxa"/>
            <w:tcBorders>
              <w:bottom w:val="single" w:sz="8" w:space="0" w:color="auto"/>
            </w:tcBorders>
            <w:shd w:val="clear" w:color="auto" w:fill="FFFFFF"/>
            <w:vAlign w:val="center"/>
          </w:tcPr>
          <w:p w14:paraId="553E6FBF" w14:textId="77777777" w:rsidR="00E1513D" w:rsidRPr="002D2821" w:rsidRDefault="00E1513D" w:rsidP="00682A9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auto"/>
              </w:rPr>
            </w:pPr>
            <w:r w:rsidRPr="002D2821">
              <w:rPr>
                <w:rFonts w:eastAsia="Times New Roman"/>
                <w:color w:val="auto"/>
              </w:rPr>
              <w:t>71.3</w:t>
            </w:r>
          </w:p>
        </w:tc>
      </w:tr>
    </w:tbl>
    <w:p w14:paraId="5F6CD30F" w14:textId="77777777" w:rsidR="00E1513D" w:rsidRPr="00E1513D" w:rsidRDefault="00E1513D" w:rsidP="00E1513D">
      <w:pPr>
        <w:pStyle w:val="TSP31text"/>
      </w:pPr>
    </w:p>
    <w:sectPr w:rsidR="00E1513D" w:rsidRPr="00E1513D" w:rsidSect="00427B68">
      <w:headerReference w:type="even" r:id="rId12"/>
      <w:headerReference w:type="default" r:id="rId13"/>
      <w:headerReference w:type="first" r:id="rId14"/>
      <w:footerReference w:type="first" r:id="rId15"/>
      <w:type w:val="continuous"/>
      <w:pgSz w:w="12242" w:h="15842" w:code="1"/>
      <w:pgMar w:top="1440" w:right="1440" w:bottom="1440" w:left="1440" w:header="1020" w:footer="624" w:gutter="0"/>
      <w:pgNumType w:start="1"/>
      <w:cols w:space="425"/>
      <w:titlePg/>
      <w:bidi/>
      <w:docGrid w:type="lines"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Tech Science Press" w:date="2025-08-15T09:59:00Z" w:initials="TSP">
    <w:p w14:paraId="0A78C2DD" w14:textId="77777777" w:rsidR="00E1513D" w:rsidRDefault="00E1513D" w:rsidP="00E1513D">
      <w:pPr>
        <w:pStyle w:val="CommentText"/>
        <w:jc w:val="left"/>
      </w:pPr>
      <w:r>
        <w:rPr>
          <w:rStyle w:val="CommentReference"/>
        </w:rPr>
        <w:annotationRef/>
      </w:r>
      <w:r>
        <w:t>Tables should be cited by numerical order, so we rearranged the order of Tables S1­­–S3. Please confirm.</w:t>
      </w:r>
    </w:p>
  </w:comment>
  <w:comment w:id="1" w:author="Tech Science Press" w:date="2025-08-15T09:52:00Z" w:initials="TSP">
    <w:p w14:paraId="7D6DF9A3" w14:textId="22D0E0BB" w:rsidR="002D2821" w:rsidRDefault="002D2821" w:rsidP="002D2821">
      <w:pPr>
        <w:pStyle w:val="CommentText"/>
        <w:jc w:val="left"/>
      </w:pPr>
      <w:r>
        <w:rPr>
          <w:rStyle w:val="CommentReference"/>
        </w:rPr>
        <w:annotationRef/>
      </w:r>
      <w:r>
        <w:t>Lowercase letters (a, b) in the footnote are modified as superscript, please confirm. Same with highlighted below.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A78C2DD" w15:done="0"/>
  <w15:commentEx w15:paraId="7D6DF9A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167A19F" w16cex:dateUtc="2025-08-15T01:59:00Z"/>
  <w16cex:commentExtensible w16cex:durableId="687A6467" w16cex:dateUtc="2025-08-15T01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A78C2DD" w16cid:durableId="1167A19F"/>
  <w16cid:commentId w16cid:paraId="7D6DF9A3" w16cid:durableId="687A64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AB4B6" w14:textId="77777777" w:rsidR="007D2D3B" w:rsidRDefault="007D2D3B">
      <w:pPr>
        <w:spacing w:line="240" w:lineRule="auto"/>
      </w:pPr>
      <w:r>
        <w:separator/>
      </w:r>
    </w:p>
  </w:endnote>
  <w:endnote w:type="continuationSeparator" w:id="0">
    <w:p w14:paraId="5B64E090" w14:textId="77777777" w:rsidR="007D2D3B" w:rsidRDefault="007D2D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41ECF" w14:textId="77777777" w:rsidR="00C34E4B" w:rsidRPr="00375B4C" w:rsidRDefault="00C34E4B" w:rsidP="00640712">
    <w:pPr>
      <w:spacing w:before="240" w:line="100" w:lineRule="exact"/>
      <w:jc w:val="left"/>
      <w:rPr>
        <w:sz w:val="16"/>
        <w:szCs w:val="16"/>
      </w:rPr>
    </w:pPr>
  </w:p>
  <w:tbl>
    <w:tblPr>
      <w:tblW w:w="9361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93"/>
      <w:gridCol w:w="7768"/>
    </w:tblGrid>
    <w:tr w:rsidR="00C34E4B" w:rsidRPr="00375B4C" w14:paraId="302828C7" w14:textId="77777777" w:rsidTr="00222B24">
      <w:trPr>
        <w:trHeight w:hRule="exact" w:val="595"/>
        <w:jc w:val="center"/>
      </w:trPr>
      <w:tc>
        <w:tcPr>
          <w:tcW w:w="1594" w:type="dxa"/>
          <w:vAlign w:val="center"/>
        </w:tcPr>
        <w:p w14:paraId="59CEAEDC" w14:textId="77777777" w:rsidR="00C34E4B" w:rsidRPr="00375B4C" w:rsidRDefault="00C34E4B" w:rsidP="00F14FB5">
          <w:pPr>
            <w:pStyle w:val="TSP73CopyrightImage"/>
            <w:rPr>
              <w:lang w:bidi="en-US"/>
            </w:rPr>
          </w:pPr>
          <w:r w:rsidRPr="00375B4C">
            <w:rPr>
              <w:noProof/>
              <w:lang w:bidi="en-US"/>
            </w:rPr>
            <w:drawing>
              <wp:inline distT="0" distB="0" distL="0" distR="0" wp14:anchorId="2D7437DA" wp14:editId="5E8F73E5">
                <wp:extent cx="1000125" cy="361950"/>
                <wp:effectExtent l="0" t="0" r="9525" b="0"/>
                <wp:docPr id="1653046361" name="图片 4" descr="copyRigh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图片 7" descr="copyRigh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01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07" w:type="dxa"/>
          <w:tcMar>
            <w:left w:w="57" w:type="dxa"/>
          </w:tcMar>
          <w:vAlign w:val="center"/>
        </w:tcPr>
        <w:p w14:paraId="69170895" w14:textId="77777777" w:rsidR="00C34E4B" w:rsidRPr="006564E2" w:rsidRDefault="00C34E4B" w:rsidP="00673B6B">
          <w:pPr>
            <w:pStyle w:val="TSP72Copyright"/>
            <w:rPr>
              <w:lang w:bidi="en-US"/>
            </w:rPr>
          </w:pPr>
          <w:r w:rsidRPr="006564E2">
            <w:rPr>
              <w:lang w:bidi="en-US"/>
            </w:rPr>
            <w:t>Copyright © 202</w:t>
          </w:r>
          <w:r w:rsidR="00FD7345">
            <w:rPr>
              <w:rFonts w:eastAsiaTheme="minorEastAsia" w:hint="eastAsia"/>
              <w:lang w:eastAsia="zh-CN" w:bidi="en-US"/>
            </w:rPr>
            <w:t>5</w:t>
          </w:r>
          <w:r w:rsidRPr="006564E2">
            <w:rPr>
              <w:lang w:bidi="en-US"/>
            </w:rPr>
            <w:t xml:space="preserve"> The Author(s). Published by Tech Science Press.</w:t>
          </w:r>
        </w:p>
        <w:p w14:paraId="33B13417" w14:textId="77777777" w:rsidR="00C34E4B" w:rsidRPr="00375B4C" w:rsidRDefault="00C34E4B" w:rsidP="00673B6B">
          <w:pPr>
            <w:pStyle w:val="TSP72Copyright"/>
            <w:rPr>
              <w:bCs/>
              <w:lang w:bidi="en-US"/>
            </w:rPr>
          </w:pPr>
          <w:r w:rsidRPr="006564E2">
            <w:rPr>
              <w:lang w:bidi="en-US"/>
            </w:rPr>
            <w:t>This work is licensed under a Creative Commons Attribution 4.0 International License, which permits unrestricted use, distribution, and reproduction in any medium, provided the original work is properly cited.</w:t>
          </w:r>
        </w:p>
      </w:tc>
    </w:tr>
  </w:tbl>
  <w:p w14:paraId="0FB12CA4" w14:textId="77777777" w:rsidR="00776E78" w:rsidRDefault="00776E78" w:rsidP="007F1339">
    <w:pPr>
      <w:pStyle w:val="Footer"/>
      <w:spacing w:line="19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D527A" w14:textId="77777777" w:rsidR="007D2D3B" w:rsidRDefault="007D2D3B">
      <w:pPr>
        <w:spacing w:line="240" w:lineRule="auto"/>
      </w:pPr>
      <w:r>
        <w:separator/>
      </w:r>
    </w:p>
  </w:footnote>
  <w:footnote w:type="continuationSeparator" w:id="0">
    <w:p w14:paraId="40935133" w14:textId="77777777" w:rsidR="007D2D3B" w:rsidRDefault="007D2D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406F1" w14:textId="77777777" w:rsidR="00724867" w:rsidRPr="00724867" w:rsidRDefault="00724867" w:rsidP="00724867">
    <w:pPr>
      <w:pStyle w:val="TSPheader"/>
      <w:rPr>
        <w:rFonts w:eastAsiaTheme="minorEastAsia"/>
        <w:lang w:eastAsia="zh-CN"/>
      </w:rPr>
    </w:pPr>
    <w:r w:rsidRPr="00661AA8">
      <w:fldChar w:fldCharType="begin"/>
    </w:r>
    <w:r w:rsidRPr="00661AA8">
      <w:instrText xml:space="preserve"> PAGE   \* MERGEFORMAT </w:instrText>
    </w:r>
    <w:r w:rsidRPr="00661AA8">
      <w:fldChar w:fldCharType="separate"/>
    </w:r>
    <w:r>
      <w:t>2</w:t>
    </w:r>
    <w:r w:rsidRPr="00661AA8">
      <w:fldChar w:fldCharType="end"/>
    </w:r>
    <w:r>
      <w:ptab w:relativeTo="margin" w:alignment="right" w:leader="none"/>
    </w:r>
    <w:r w:rsidR="00DC2FAA" w:rsidRPr="009D598E">
      <w:t>Phyton-Int J Exp Bot</w:t>
    </w:r>
    <w:r>
      <w:t>.</w:t>
    </w:r>
    <w:r w:rsidRPr="00900A21">
      <w:t xml:space="preserve"> </w:t>
    </w:r>
    <w:proofErr w:type="gramStart"/>
    <w:r w:rsidRPr="00900A21">
      <w:t>202</w:t>
    </w:r>
    <w:r w:rsidR="001951FB">
      <w:rPr>
        <w:rFonts w:eastAsiaTheme="minorEastAsia" w:hint="eastAsia"/>
        <w:lang w:eastAsia="zh-CN"/>
      </w:rPr>
      <w:t>5</w:t>
    </w:r>
    <w:r>
      <w:t>;</w:t>
    </w:r>
    <w:r>
      <w:rPr>
        <w:rFonts w:hint="eastAsia"/>
      </w:rPr>
      <w:t>volume</w:t>
    </w:r>
    <w:proofErr w:type="gramEnd"/>
    <w:r>
      <w:rPr>
        <w:rFonts w:hint="eastAsia"/>
      </w:rPr>
      <w:t>(</w:t>
    </w:r>
    <w:r>
      <w:t>issue)</w:t>
    </w:r>
  </w:p>
  <w:p w14:paraId="520B2A56" w14:textId="77777777" w:rsidR="0004400E" w:rsidRDefault="0004400E" w:rsidP="00724867">
    <w:pPr>
      <w:pStyle w:val="Header"/>
      <w:pBdr>
        <w:bottom w:val="none" w:sz="0" w:space="0" w:color="auto"/>
      </w:pBdr>
      <w:spacing w:after="240" w:line="100" w:lineRule="atLeast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3092C" w14:textId="77777777" w:rsidR="007F1339" w:rsidRDefault="00DC2FAA" w:rsidP="00673B6B">
    <w:pPr>
      <w:pStyle w:val="TSPheader"/>
    </w:pPr>
    <w:r w:rsidRPr="009D598E">
      <w:t>Phyton-Int J Exp Bot</w:t>
    </w:r>
    <w:r w:rsidR="00724867">
      <w:t>.</w:t>
    </w:r>
    <w:r w:rsidR="00724867" w:rsidRPr="00900A21">
      <w:t xml:space="preserve"> </w:t>
    </w:r>
    <w:proofErr w:type="gramStart"/>
    <w:r w:rsidR="00724867" w:rsidRPr="00900A21">
      <w:t>202</w:t>
    </w:r>
    <w:r w:rsidR="001951FB">
      <w:rPr>
        <w:rFonts w:eastAsiaTheme="minorEastAsia" w:hint="eastAsia"/>
        <w:lang w:eastAsia="zh-CN"/>
      </w:rPr>
      <w:t>5</w:t>
    </w:r>
    <w:r w:rsidR="00724867">
      <w:t>;</w:t>
    </w:r>
    <w:r w:rsidR="00724867">
      <w:rPr>
        <w:rFonts w:hint="eastAsia"/>
      </w:rPr>
      <w:t>volume</w:t>
    </w:r>
    <w:proofErr w:type="gramEnd"/>
    <w:r w:rsidR="00724867">
      <w:rPr>
        <w:rFonts w:hint="eastAsia"/>
      </w:rPr>
      <w:t>(</w:t>
    </w:r>
    <w:r w:rsidR="00724867">
      <w:t>issue)</w:t>
    </w:r>
    <w:r w:rsidR="00724867">
      <w:ptab w:relativeTo="margin" w:alignment="right" w:leader="none"/>
    </w:r>
    <w:r w:rsidR="00724867" w:rsidRPr="00661AA8">
      <w:fldChar w:fldCharType="begin"/>
    </w:r>
    <w:r w:rsidR="00724867" w:rsidRPr="00661AA8">
      <w:instrText xml:space="preserve"> PAGE   \* MERGEFORMAT </w:instrText>
    </w:r>
    <w:r w:rsidR="00724867" w:rsidRPr="00661AA8">
      <w:fldChar w:fldCharType="separate"/>
    </w:r>
    <w:r w:rsidR="00724867">
      <w:t>3</w:t>
    </w:r>
    <w:r w:rsidR="00724867" w:rsidRPr="00661AA8">
      <w:fldChar w:fldCharType="end"/>
    </w:r>
  </w:p>
  <w:p w14:paraId="00B3C3F1" w14:textId="77777777" w:rsidR="007F1339" w:rsidRPr="00661AA8" w:rsidRDefault="007F1339" w:rsidP="00640712">
    <w:pPr>
      <w:tabs>
        <w:tab w:val="left" w:pos="8335"/>
      </w:tabs>
      <w:spacing w:after="240" w:line="100" w:lineRule="atLeas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pPr w:leftFromText="180" w:rightFromText="180" w:vertAnchor="text" w:tblpY="1"/>
      <w:tblOverlap w:val="never"/>
      <w:tblW w:w="9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365"/>
      <w:gridCol w:w="2765"/>
      <w:gridCol w:w="3231"/>
    </w:tblGrid>
    <w:tr w:rsidR="00776E78" w14:paraId="718DB4FE" w14:textId="77777777" w:rsidTr="00C34E4B">
      <w:trPr>
        <w:cantSplit/>
        <w:trHeight w:val="567"/>
      </w:trPr>
      <w:tc>
        <w:tcPr>
          <w:tcW w:w="3591" w:type="dxa"/>
          <w:vAlign w:val="center"/>
        </w:tcPr>
        <w:p w14:paraId="79784268" w14:textId="77777777" w:rsidR="00776E78" w:rsidRDefault="00DC2FAA" w:rsidP="00C34E4B">
          <w:pPr>
            <w:pStyle w:val="TSPheaderjournallogo"/>
          </w:pPr>
          <w:r>
            <w:rPr>
              <w:noProof/>
            </w:rPr>
            <w:drawing>
              <wp:inline distT="0" distB="0" distL="114300" distR="114300" wp14:anchorId="3DE19D9D" wp14:editId="1368563F">
                <wp:extent cx="1659593" cy="409918"/>
                <wp:effectExtent l="0" t="0" r="0" b="9525"/>
                <wp:docPr id="730408606" name="图片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30408606" name="图片 6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l="1763" r="17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593" cy="40991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1" w:type="dxa"/>
          <w:vAlign w:val="center"/>
        </w:tcPr>
        <w:p w14:paraId="159884B6" w14:textId="77777777" w:rsidR="00776E78" w:rsidRDefault="00776E78" w:rsidP="00776E78">
          <w:pPr>
            <w:jc w:val="center"/>
          </w:pPr>
        </w:p>
      </w:tc>
      <w:tc>
        <w:tcPr>
          <w:tcW w:w="3591" w:type="dxa"/>
          <w:vAlign w:val="center"/>
        </w:tcPr>
        <w:p w14:paraId="1727EBCC" w14:textId="77777777" w:rsidR="00776E78" w:rsidRDefault="00776E78" w:rsidP="00C34E4B">
          <w:pPr>
            <w:pStyle w:val="TSPheadertsplogo"/>
          </w:pPr>
          <w:r>
            <w:rPr>
              <w:noProof/>
            </w:rPr>
            <w:drawing>
              <wp:inline distT="0" distB="0" distL="0" distR="0" wp14:anchorId="24C169EF" wp14:editId="2B09AE66">
                <wp:extent cx="1287780" cy="188337"/>
                <wp:effectExtent l="0" t="0" r="0" b="2540"/>
                <wp:docPr id="1653046360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78174370" name="图片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7780" cy="1883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46563D7" w14:textId="77777777" w:rsidR="00776E78" w:rsidRPr="00776E78" w:rsidRDefault="00776E78" w:rsidP="00776E78">
    <w:pPr>
      <w:pStyle w:val="Header"/>
      <w:spacing w:line="60" w:lineRule="exac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404899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0FF0D1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9FED0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2065858"/>
    <w:multiLevelType w:val="hybridMultilevel"/>
    <w:tmpl w:val="4B0C72EA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A037C"/>
    <w:multiLevelType w:val="hybridMultilevel"/>
    <w:tmpl w:val="2F484F9A"/>
    <w:lvl w:ilvl="0" w:tplc="B77A71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58227C">
      <w:start w:val="1"/>
      <w:numFmt w:val="upperLetter"/>
      <w:lvlText w:val="%2."/>
      <w:lvlJc w:val="left"/>
      <w:pPr>
        <w:ind w:left="800" w:hanging="360"/>
      </w:pPr>
      <w:rPr>
        <w:rFonts w:eastAsia="宋体" w:hint="default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12FD2432"/>
    <w:multiLevelType w:val="hybridMultilevel"/>
    <w:tmpl w:val="3856C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468F5"/>
    <w:multiLevelType w:val="hybridMultilevel"/>
    <w:tmpl w:val="2D961A8A"/>
    <w:lvl w:ilvl="0" w:tplc="E5E878CA">
      <w:start w:val="1"/>
      <w:numFmt w:val="bullet"/>
      <w:pStyle w:val="TSP38bullet"/>
      <w:lvlText w:val=""/>
      <w:lvlJc w:val="left"/>
      <w:pPr>
        <w:ind w:left="425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2085B"/>
    <w:multiLevelType w:val="hybridMultilevel"/>
    <w:tmpl w:val="1E6EAC1C"/>
    <w:lvl w:ilvl="0" w:tplc="32AC3F38">
      <w:start w:val="1"/>
      <w:numFmt w:val="decimal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92519"/>
    <w:multiLevelType w:val="hybridMultilevel"/>
    <w:tmpl w:val="F86602B4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0" w15:restartNumberingAfterBreak="0">
    <w:nsid w:val="24D96086"/>
    <w:multiLevelType w:val="hybridMultilevel"/>
    <w:tmpl w:val="5CA6B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7" w15:restartNumberingAfterBreak="0">
    <w:nsid w:val="59F251C5"/>
    <w:multiLevelType w:val="hybridMultilevel"/>
    <w:tmpl w:val="E2ACA3DC"/>
    <w:lvl w:ilvl="0" w:tplc="F574F898">
      <w:start w:val="1"/>
      <w:numFmt w:val="lowerLetter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5D206535"/>
    <w:multiLevelType w:val="hybridMultilevel"/>
    <w:tmpl w:val="CBC275A6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01B78"/>
    <w:multiLevelType w:val="hybridMultilevel"/>
    <w:tmpl w:val="E5348BD8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950A46"/>
    <w:multiLevelType w:val="hybridMultilevel"/>
    <w:tmpl w:val="C046ED72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12E46"/>
    <w:multiLevelType w:val="hybridMultilevel"/>
    <w:tmpl w:val="28ACA24C"/>
    <w:lvl w:ilvl="0" w:tplc="20F0DBF4">
      <w:start w:val="1"/>
      <w:numFmt w:val="decimal"/>
      <w:pStyle w:val="TSP71References"/>
      <w:lvlText w:val="%1."/>
      <w:lvlJc w:val="left"/>
      <w:pPr>
        <w:ind w:left="425" w:hanging="425"/>
      </w:pPr>
      <w:rPr>
        <w:rFonts w:hint="eastAsia"/>
        <w:b w:val="0"/>
        <w:i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311A3B"/>
    <w:multiLevelType w:val="hybridMultilevel"/>
    <w:tmpl w:val="82EE50C4"/>
    <w:lvl w:ilvl="0" w:tplc="CDF83B4E">
      <w:start w:val="1"/>
      <w:numFmt w:val="decimal"/>
      <w:pStyle w:val="TSP37itemize"/>
      <w:lvlText w:val="%1."/>
      <w:lvlJc w:val="left"/>
      <w:pPr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1691952215">
    <w:abstractNumId w:val="12"/>
  </w:num>
  <w:num w:numId="2" w16cid:durableId="1652440911">
    <w:abstractNumId w:val="14"/>
  </w:num>
  <w:num w:numId="3" w16cid:durableId="1187479263">
    <w:abstractNumId w:val="11"/>
  </w:num>
  <w:num w:numId="4" w16cid:durableId="15497607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4528829">
    <w:abstractNumId w:val="13"/>
  </w:num>
  <w:num w:numId="6" w16cid:durableId="1154181074">
    <w:abstractNumId w:val="16"/>
  </w:num>
  <w:num w:numId="7" w16cid:durableId="65033990">
    <w:abstractNumId w:val="9"/>
  </w:num>
  <w:num w:numId="8" w16cid:durableId="2140877248">
    <w:abstractNumId w:val="16"/>
  </w:num>
  <w:num w:numId="9" w16cid:durableId="20672592">
    <w:abstractNumId w:val="9"/>
  </w:num>
  <w:num w:numId="10" w16cid:durableId="2139564162">
    <w:abstractNumId w:val="16"/>
  </w:num>
  <w:num w:numId="11" w16cid:durableId="1012947991">
    <w:abstractNumId w:val="9"/>
  </w:num>
  <w:num w:numId="12" w16cid:durableId="1037122919">
    <w:abstractNumId w:val="22"/>
  </w:num>
  <w:num w:numId="13" w16cid:durableId="2121799575">
    <w:abstractNumId w:val="16"/>
  </w:num>
  <w:num w:numId="14" w16cid:durableId="1339308804">
    <w:abstractNumId w:val="9"/>
  </w:num>
  <w:num w:numId="15" w16cid:durableId="52080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8967528">
    <w:abstractNumId w:val="9"/>
  </w:num>
  <w:num w:numId="17" w16cid:durableId="743307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06720847">
    <w:abstractNumId w:val="6"/>
  </w:num>
  <w:num w:numId="19" w16cid:durableId="388119203">
    <w:abstractNumId w:val="15"/>
  </w:num>
  <w:num w:numId="20" w16cid:durableId="1764299600">
    <w:abstractNumId w:val="6"/>
  </w:num>
  <w:num w:numId="21" w16cid:durableId="961232939">
    <w:abstractNumId w:val="16"/>
  </w:num>
  <w:num w:numId="22" w16cid:durableId="1276476985">
    <w:abstractNumId w:val="9"/>
  </w:num>
  <w:num w:numId="23" w16cid:durableId="409735920">
    <w:abstractNumId w:val="6"/>
  </w:num>
  <w:num w:numId="24" w16cid:durableId="112406696">
    <w:abstractNumId w:val="7"/>
  </w:num>
  <w:num w:numId="25" w16cid:durableId="1404640498">
    <w:abstractNumId w:val="23"/>
  </w:num>
  <w:num w:numId="26" w16cid:durableId="168302275">
    <w:abstractNumId w:val="21"/>
  </w:num>
  <w:num w:numId="27" w16cid:durableId="857045198">
    <w:abstractNumId w:val="23"/>
  </w:num>
  <w:num w:numId="28" w16cid:durableId="2036497455">
    <w:abstractNumId w:val="6"/>
  </w:num>
  <w:num w:numId="29" w16cid:durableId="491918806">
    <w:abstractNumId w:val="7"/>
  </w:num>
  <w:num w:numId="30" w16cid:durableId="1943103568">
    <w:abstractNumId w:val="21"/>
  </w:num>
  <w:num w:numId="31" w16cid:durableId="1364674198">
    <w:abstractNumId w:val="1"/>
  </w:num>
  <w:num w:numId="32" w16cid:durableId="1314263126">
    <w:abstractNumId w:val="2"/>
  </w:num>
  <w:num w:numId="33" w16cid:durableId="133302434">
    <w:abstractNumId w:val="0"/>
  </w:num>
  <w:num w:numId="34" w16cid:durableId="1802306758">
    <w:abstractNumId w:val="4"/>
  </w:num>
  <w:num w:numId="35" w16cid:durableId="1333025447">
    <w:abstractNumId w:val="17"/>
  </w:num>
  <w:num w:numId="36" w16cid:durableId="570117604">
    <w:abstractNumId w:val="10"/>
  </w:num>
  <w:num w:numId="37" w16cid:durableId="1626737122">
    <w:abstractNumId w:val="5"/>
  </w:num>
  <w:num w:numId="38" w16cid:durableId="1263994072">
    <w:abstractNumId w:val="18"/>
  </w:num>
  <w:num w:numId="39" w16cid:durableId="1753820995">
    <w:abstractNumId w:val="20"/>
  </w:num>
  <w:num w:numId="40" w16cid:durableId="1230533176">
    <w:abstractNumId w:val="3"/>
  </w:num>
  <w:num w:numId="41" w16cid:durableId="2051149852">
    <w:abstractNumId w:val="8"/>
  </w:num>
  <w:num w:numId="42" w16cid:durableId="339164728">
    <w:abstractNumId w:val="19"/>
  </w:num>
  <w:num w:numId="43" w16cid:durableId="1765688548">
    <w:abstractNumId w:val="23"/>
    <w:lvlOverride w:ilvl="0">
      <w:startOverride w:val="1"/>
    </w:lvlOverride>
  </w:num>
  <w:num w:numId="44" w16cid:durableId="367146899">
    <w:abstractNumId w:val="23"/>
    <w:lvlOverride w:ilvl="0">
      <w:startOverride w:val="1"/>
    </w:lvlOverride>
  </w:num>
  <w:num w:numId="45" w16cid:durableId="620696734">
    <w:abstractNumId w:val="23"/>
  </w:num>
  <w:num w:numId="46" w16cid:durableId="618027527">
    <w:abstractNumId w:val="6"/>
  </w:num>
  <w:num w:numId="47" w16cid:durableId="2123331103">
    <w:abstractNumId w:val="7"/>
  </w:num>
  <w:num w:numId="48" w16cid:durableId="1399207555">
    <w:abstractNumId w:val="21"/>
  </w:num>
  <w:num w:numId="49" w16cid:durableId="17661994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ech Science Press">
    <w15:presenceInfo w15:providerId="None" w15:userId="Tech Science Pres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evenAndOddHeaders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9EA"/>
    <w:rsid w:val="000348D8"/>
    <w:rsid w:val="00035FC3"/>
    <w:rsid w:val="00042AF8"/>
    <w:rsid w:val="0004400E"/>
    <w:rsid w:val="00044BC6"/>
    <w:rsid w:val="00044C0A"/>
    <w:rsid w:val="0004721A"/>
    <w:rsid w:val="00053EBF"/>
    <w:rsid w:val="0006203A"/>
    <w:rsid w:val="00066035"/>
    <w:rsid w:val="00070F2A"/>
    <w:rsid w:val="00072E5A"/>
    <w:rsid w:val="00074D05"/>
    <w:rsid w:val="0009213F"/>
    <w:rsid w:val="000A0F93"/>
    <w:rsid w:val="000B1F19"/>
    <w:rsid w:val="000B5171"/>
    <w:rsid w:val="000B74CE"/>
    <w:rsid w:val="000C151B"/>
    <w:rsid w:val="000C2465"/>
    <w:rsid w:val="000C504E"/>
    <w:rsid w:val="000C53B9"/>
    <w:rsid w:val="000D1C00"/>
    <w:rsid w:val="000E6330"/>
    <w:rsid w:val="000F74CC"/>
    <w:rsid w:val="00120C0D"/>
    <w:rsid w:val="00123A57"/>
    <w:rsid w:val="001266E5"/>
    <w:rsid w:val="00127184"/>
    <w:rsid w:val="00144467"/>
    <w:rsid w:val="0016006D"/>
    <w:rsid w:val="00167105"/>
    <w:rsid w:val="001933FC"/>
    <w:rsid w:val="001951FB"/>
    <w:rsid w:val="001A0192"/>
    <w:rsid w:val="001A1E76"/>
    <w:rsid w:val="001C75BF"/>
    <w:rsid w:val="001D349C"/>
    <w:rsid w:val="001D4D23"/>
    <w:rsid w:val="001D7D1E"/>
    <w:rsid w:val="001D7DA5"/>
    <w:rsid w:val="001E2AEB"/>
    <w:rsid w:val="001E4A07"/>
    <w:rsid w:val="001F350D"/>
    <w:rsid w:val="0020081E"/>
    <w:rsid w:val="00206E80"/>
    <w:rsid w:val="00211F69"/>
    <w:rsid w:val="0021217E"/>
    <w:rsid w:val="002223FC"/>
    <w:rsid w:val="00222904"/>
    <w:rsid w:val="00222B24"/>
    <w:rsid w:val="00240486"/>
    <w:rsid w:val="002432B5"/>
    <w:rsid w:val="002915FF"/>
    <w:rsid w:val="002946D9"/>
    <w:rsid w:val="002B6C61"/>
    <w:rsid w:val="002D2821"/>
    <w:rsid w:val="002E255F"/>
    <w:rsid w:val="002F4A79"/>
    <w:rsid w:val="003040E0"/>
    <w:rsid w:val="00324292"/>
    <w:rsid w:val="00326141"/>
    <w:rsid w:val="00330316"/>
    <w:rsid w:val="00331431"/>
    <w:rsid w:val="003539E4"/>
    <w:rsid w:val="00357E10"/>
    <w:rsid w:val="00364C29"/>
    <w:rsid w:val="00370EC8"/>
    <w:rsid w:val="0037766B"/>
    <w:rsid w:val="00377F4F"/>
    <w:rsid w:val="00380D24"/>
    <w:rsid w:val="003817A5"/>
    <w:rsid w:val="0038794D"/>
    <w:rsid w:val="00397AC9"/>
    <w:rsid w:val="003A15E9"/>
    <w:rsid w:val="003A791E"/>
    <w:rsid w:val="003B7C96"/>
    <w:rsid w:val="003C241C"/>
    <w:rsid w:val="003D3232"/>
    <w:rsid w:val="003D7079"/>
    <w:rsid w:val="003E012D"/>
    <w:rsid w:val="003F0E95"/>
    <w:rsid w:val="003F1497"/>
    <w:rsid w:val="003F49FF"/>
    <w:rsid w:val="00401D30"/>
    <w:rsid w:val="0041581F"/>
    <w:rsid w:val="00415C5C"/>
    <w:rsid w:val="004205E5"/>
    <w:rsid w:val="0042484A"/>
    <w:rsid w:val="00425800"/>
    <w:rsid w:val="00425DAF"/>
    <w:rsid w:val="00427B68"/>
    <w:rsid w:val="004318BF"/>
    <w:rsid w:val="004340C2"/>
    <w:rsid w:val="00443AAF"/>
    <w:rsid w:val="0044763E"/>
    <w:rsid w:val="004504C9"/>
    <w:rsid w:val="004505CF"/>
    <w:rsid w:val="004669B4"/>
    <w:rsid w:val="0046725B"/>
    <w:rsid w:val="004715F7"/>
    <w:rsid w:val="00471F5A"/>
    <w:rsid w:val="00475043"/>
    <w:rsid w:val="004A046F"/>
    <w:rsid w:val="004A346F"/>
    <w:rsid w:val="004B6ADD"/>
    <w:rsid w:val="004D03B7"/>
    <w:rsid w:val="004D3B65"/>
    <w:rsid w:val="00501D0F"/>
    <w:rsid w:val="00506BC0"/>
    <w:rsid w:val="0051540B"/>
    <w:rsid w:val="0053256F"/>
    <w:rsid w:val="005332CC"/>
    <w:rsid w:val="005429B5"/>
    <w:rsid w:val="00557B4B"/>
    <w:rsid w:val="00562123"/>
    <w:rsid w:val="005664C6"/>
    <w:rsid w:val="005A6A67"/>
    <w:rsid w:val="005B6005"/>
    <w:rsid w:val="005B7792"/>
    <w:rsid w:val="005C5DE8"/>
    <w:rsid w:val="00605718"/>
    <w:rsid w:val="00606DEF"/>
    <w:rsid w:val="006205C4"/>
    <w:rsid w:val="00640712"/>
    <w:rsid w:val="00644710"/>
    <w:rsid w:val="00645D18"/>
    <w:rsid w:val="00646BFC"/>
    <w:rsid w:val="00653AA5"/>
    <w:rsid w:val="0065560B"/>
    <w:rsid w:val="00666C02"/>
    <w:rsid w:val="00673B6B"/>
    <w:rsid w:val="0068381A"/>
    <w:rsid w:val="00686D0C"/>
    <w:rsid w:val="00691777"/>
    <w:rsid w:val="00692393"/>
    <w:rsid w:val="006A74F9"/>
    <w:rsid w:val="006C6DB8"/>
    <w:rsid w:val="006D7D99"/>
    <w:rsid w:val="006E1066"/>
    <w:rsid w:val="006E63FE"/>
    <w:rsid w:val="006F7353"/>
    <w:rsid w:val="006F797D"/>
    <w:rsid w:val="0071323C"/>
    <w:rsid w:val="00717C63"/>
    <w:rsid w:val="00722347"/>
    <w:rsid w:val="00724867"/>
    <w:rsid w:val="00744F06"/>
    <w:rsid w:val="00745CCF"/>
    <w:rsid w:val="007471D3"/>
    <w:rsid w:val="00750361"/>
    <w:rsid w:val="00754FA1"/>
    <w:rsid w:val="00762229"/>
    <w:rsid w:val="00762525"/>
    <w:rsid w:val="007648D8"/>
    <w:rsid w:val="00776E78"/>
    <w:rsid w:val="00792DC7"/>
    <w:rsid w:val="00797AB1"/>
    <w:rsid w:val="007B49D9"/>
    <w:rsid w:val="007C021F"/>
    <w:rsid w:val="007D0ABE"/>
    <w:rsid w:val="007D2D3B"/>
    <w:rsid w:val="007D3EBF"/>
    <w:rsid w:val="007F1339"/>
    <w:rsid w:val="008038A4"/>
    <w:rsid w:val="00804595"/>
    <w:rsid w:val="008145DC"/>
    <w:rsid w:val="00814FF4"/>
    <w:rsid w:val="00815D1E"/>
    <w:rsid w:val="0082500C"/>
    <w:rsid w:val="00843AAF"/>
    <w:rsid w:val="008474ED"/>
    <w:rsid w:val="00862B31"/>
    <w:rsid w:val="008669FB"/>
    <w:rsid w:val="00886B14"/>
    <w:rsid w:val="008A3D4D"/>
    <w:rsid w:val="008B6A2E"/>
    <w:rsid w:val="008C1897"/>
    <w:rsid w:val="008D62D4"/>
    <w:rsid w:val="008D69AF"/>
    <w:rsid w:val="008F2594"/>
    <w:rsid w:val="00911F22"/>
    <w:rsid w:val="009161FF"/>
    <w:rsid w:val="00916548"/>
    <w:rsid w:val="00951142"/>
    <w:rsid w:val="0097458D"/>
    <w:rsid w:val="00977312"/>
    <w:rsid w:val="00993114"/>
    <w:rsid w:val="00993C64"/>
    <w:rsid w:val="009A7262"/>
    <w:rsid w:val="009B54F4"/>
    <w:rsid w:val="009B551E"/>
    <w:rsid w:val="009C1F04"/>
    <w:rsid w:val="009D6A8B"/>
    <w:rsid w:val="009F09EA"/>
    <w:rsid w:val="009F5C65"/>
    <w:rsid w:val="009F70E6"/>
    <w:rsid w:val="00A15FF4"/>
    <w:rsid w:val="00A1712D"/>
    <w:rsid w:val="00A24869"/>
    <w:rsid w:val="00A5062B"/>
    <w:rsid w:val="00A563F4"/>
    <w:rsid w:val="00A56FF8"/>
    <w:rsid w:val="00A62565"/>
    <w:rsid w:val="00A63B49"/>
    <w:rsid w:val="00A65FB0"/>
    <w:rsid w:val="00A70C73"/>
    <w:rsid w:val="00A8104C"/>
    <w:rsid w:val="00A852BC"/>
    <w:rsid w:val="00AA03F5"/>
    <w:rsid w:val="00AA1BD0"/>
    <w:rsid w:val="00AB5AEE"/>
    <w:rsid w:val="00AC0491"/>
    <w:rsid w:val="00AD3F77"/>
    <w:rsid w:val="00AD4C85"/>
    <w:rsid w:val="00AD7138"/>
    <w:rsid w:val="00AD7B01"/>
    <w:rsid w:val="00AF78DE"/>
    <w:rsid w:val="00B05206"/>
    <w:rsid w:val="00B05E0F"/>
    <w:rsid w:val="00B06860"/>
    <w:rsid w:val="00B123DC"/>
    <w:rsid w:val="00B22E26"/>
    <w:rsid w:val="00B37458"/>
    <w:rsid w:val="00B377C4"/>
    <w:rsid w:val="00B46F24"/>
    <w:rsid w:val="00B47634"/>
    <w:rsid w:val="00B60928"/>
    <w:rsid w:val="00B622F2"/>
    <w:rsid w:val="00B71516"/>
    <w:rsid w:val="00B718C5"/>
    <w:rsid w:val="00B72696"/>
    <w:rsid w:val="00B75C9A"/>
    <w:rsid w:val="00B93109"/>
    <w:rsid w:val="00B94D10"/>
    <w:rsid w:val="00BA586B"/>
    <w:rsid w:val="00BC74C5"/>
    <w:rsid w:val="00BD0D11"/>
    <w:rsid w:val="00BD4ED0"/>
    <w:rsid w:val="00BE2474"/>
    <w:rsid w:val="00BF28B4"/>
    <w:rsid w:val="00BF39D7"/>
    <w:rsid w:val="00C03FCF"/>
    <w:rsid w:val="00C16DD7"/>
    <w:rsid w:val="00C2375A"/>
    <w:rsid w:val="00C34E4B"/>
    <w:rsid w:val="00C818EC"/>
    <w:rsid w:val="00C86F84"/>
    <w:rsid w:val="00CA36C4"/>
    <w:rsid w:val="00CC7AAB"/>
    <w:rsid w:val="00CD33FA"/>
    <w:rsid w:val="00CD54D3"/>
    <w:rsid w:val="00CE4114"/>
    <w:rsid w:val="00CE4479"/>
    <w:rsid w:val="00D15FD7"/>
    <w:rsid w:val="00D20D10"/>
    <w:rsid w:val="00D328A0"/>
    <w:rsid w:val="00D42308"/>
    <w:rsid w:val="00D5407A"/>
    <w:rsid w:val="00D86142"/>
    <w:rsid w:val="00DA071E"/>
    <w:rsid w:val="00DA6AE2"/>
    <w:rsid w:val="00DA7729"/>
    <w:rsid w:val="00DC2FAA"/>
    <w:rsid w:val="00DD1BC3"/>
    <w:rsid w:val="00DE07DE"/>
    <w:rsid w:val="00DE228F"/>
    <w:rsid w:val="00E03F44"/>
    <w:rsid w:val="00E14912"/>
    <w:rsid w:val="00E1513D"/>
    <w:rsid w:val="00E17581"/>
    <w:rsid w:val="00E20009"/>
    <w:rsid w:val="00E257FA"/>
    <w:rsid w:val="00E26A84"/>
    <w:rsid w:val="00E445B7"/>
    <w:rsid w:val="00E52E54"/>
    <w:rsid w:val="00E53385"/>
    <w:rsid w:val="00E71E31"/>
    <w:rsid w:val="00E81963"/>
    <w:rsid w:val="00E82717"/>
    <w:rsid w:val="00E82DCF"/>
    <w:rsid w:val="00E8311E"/>
    <w:rsid w:val="00E972A4"/>
    <w:rsid w:val="00EA591D"/>
    <w:rsid w:val="00EA6902"/>
    <w:rsid w:val="00EA77C5"/>
    <w:rsid w:val="00EC23EC"/>
    <w:rsid w:val="00ED2E2A"/>
    <w:rsid w:val="00ED4753"/>
    <w:rsid w:val="00ED55C8"/>
    <w:rsid w:val="00EE3F08"/>
    <w:rsid w:val="00F05B9C"/>
    <w:rsid w:val="00F1193E"/>
    <w:rsid w:val="00F1450C"/>
    <w:rsid w:val="00F14FB5"/>
    <w:rsid w:val="00F36967"/>
    <w:rsid w:val="00F42807"/>
    <w:rsid w:val="00F4384B"/>
    <w:rsid w:val="00F54E21"/>
    <w:rsid w:val="00F57FA0"/>
    <w:rsid w:val="00F654F2"/>
    <w:rsid w:val="00F8065D"/>
    <w:rsid w:val="00F879E4"/>
    <w:rsid w:val="00F91974"/>
    <w:rsid w:val="00F91C19"/>
    <w:rsid w:val="00FC3455"/>
    <w:rsid w:val="00FC39AC"/>
    <w:rsid w:val="00FC7435"/>
    <w:rsid w:val="00FD698E"/>
    <w:rsid w:val="00FD7345"/>
    <w:rsid w:val="00FF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05DFFE4"/>
  <w15:chartTrackingRefBased/>
  <w15:docId w15:val="{1B6D8AEB-93F4-4A1F-AB63-DBE183F79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316"/>
    <w:pPr>
      <w:spacing w:line="260" w:lineRule="atLeast"/>
      <w:jc w:val="both"/>
    </w:pPr>
    <w:rPr>
      <w:rFonts w:ascii="Minion Pro" w:hAnsi="Minion Pro"/>
      <w:noProof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7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7A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P11articletype">
    <w:name w:val="TSP_1.1_article_type"/>
    <w:next w:val="Normal"/>
    <w:qFormat/>
    <w:rsid w:val="00427B68"/>
    <w:pPr>
      <w:adjustRightInd w:val="0"/>
      <w:snapToGrid w:val="0"/>
      <w:spacing w:before="240" w:line="240" w:lineRule="atLeast"/>
    </w:pPr>
    <w:rPr>
      <w:rFonts w:ascii="Minion Pro" w:eastAsia="Times New Roman" w:hAnsi="Minion Pro"/>
      <w:b/>
      <w:caps/>
      <w:snapToGrid w:val="0"/>
      <w:color w:val="000000"/>
      <w:sz w:val="18"/>
      <w:szCs w:val="22"/>
      <w:u w:val="single"/>
      <w:lang w:eastAsia="de-DE" w:bidi="en-US"/>
    </w:rPr>
  </w:style>
  <w:style w:type="paragraph" w:customStyle="1" w:styleId="TSP110doinum">
    <w:name w:val="TSP_1.10_doinum"/>
    <w:basedOn w:val="Normal"/>
    <w:qFormat/>
    <w:rsid w:val="00427B68"/>
    <w:pPr>
      <w:spacing w:after="240" w:line="60" w:lineRule="atLeast"/>
      <w:jc w:val="left"/>
    </w:pPr>
    <w:rPr>
      <w:rFonts w:eastAsiaTheme="minorEastAsia"/>
      <w:noProof w:val="0"/>
      <w:kern w:val="2"/>
      <w:sz w:val="14"/>
      <w14:ligatures w14:val="standardContextual"/>
    </w:rPr>
  </w:style>
  <w:style w:type="paragraph" w:customStyle="1" w:styleId="TSP12title">
    <w:name w:val="TSP_1.2_title"/>
    <w:next w:val="Normal"/>
    <w:qFormat/>
    <w:rsid w:val="00427B68"/>
    <w:pPr>
      <w:adjustRightInd w:val="0"/>
      <w:snapToGrid w:val="0"/>
      <w:spacing w:before="240" w:after="240" w:line="240" w:lineRule="atLeast"/>
    </w:pPr>
    <w:rPr>
      <w:rFonts w:ascii="Minion Pro" w:eastAsia="Times New Roman" w:hAnsi="Minion Pro"/>
      <w:b/>
      <w:snapToGrid w:val="0"/>
      <w:color w:val="000000"/>
      <w:sz w:val="28"/>
      <w:lang w:eastAsia="de-DE" w:bidi="en-US"/>
    </w:rPr>
  </w:style>
  <w:style w:type="paragraph" w:customStyle="1" w:styleId="TSP13authornames">
    <w:name w:val="TSP_1.3_authornames"/>
    <w:next w:val="Normal"/>
    <w:qFormat/>
    <w:rsid w:val="00427B68"/>
    <w:pPr>
      <w:adjustRightInd w:val="0"/>
      <w:snapToGrid w:val="0"/>
      <w:spacing w:before="240" w:after="240" w:line="240" w:lineRule="atLeast"/>
    </w:pPr>
    <w:rPr>
      <w:rFonts w:ascii="Minion Pro" w:eastAsia="Times New Roman" w:hAnsi="Minion Pro"/>
      <w:b/>
      <w:color w:val="000000"/>
      <w:sz w:val="22"/>
      <w:szCs w:val="22"/>
      <w:lang w:eastAsia="de-DE" w:bidi="en-US"/>
    </w:rPr>
  </w:style>
  <w:style w:type="paragraph" w:customStyle="1" w:styleId="TSP14history">
    <w:name w:val="TSP_1.4_history"/>
    <w:basedOn w:val="Normal"/>
    <w:next w:val="Normal"/>
    <w:autoRedefine/>
    <w:qFormat/>
    <w:rsid w:val="00427B68"/>
    <w:pPr>
      <w:adjustRightInd w:val="0"/>
      <w:snapToGrid w:val="0"/>
      <w:spacing w:before="60" w:after="240" w:line="240" w:lineRule="atLeast"/>
      <w:jc w:val="left"/>
    </w:pPr>
    <w:rPr>
      <w:rFonts w:eastAsia="Times New Roman"/>
      <w:noProof w:val="0"/>
      <w:sz w:val="18"/>
      <w:lang w:eastAsia="de-DE" w:bidi="en-US"/>
    </w:rPr>
  </w:style>
  <w:style w:type="paragraph" w:customStyle="1" w:styleId="TSP15academiceditor">
    <w:name w:val="TSP_1.5_academic_editor"/>
    <w:qFormat/>
    <w:rsid w:val="00427B68"/>
    <w:pPr>
      <w:adjustRightInd w:val="0"/>
      <w:snapToGrid w:val="0"/>
      <w:spacing w:before="120" w:after="120" w:line="240" w:lineRule="atLeast"/>
    </w:pPr>
    <w:rPr>
      <w:rFonts w:ascii="Minion Pro" w:eastAsia="Times New Roman" w:hAnsi="Minion Pro"/>
      <w:color w:val="000000"/>
      <w:sz w:val="18"/>
      <w:szCs w:val="22"/>
      <w:lang w:eastAsia="de-DE" w:bidi="en-US"/>
    </w:rPr>
  </w:style>
  <w:style w:type="paragraph" w:customStyle="1" w:styleId="TSP16affiliation">
    <w:name w:val="TSP_1.6_affiliation"/>
    <w:qFormat/>
    <w:rsid w:val="00427B68"/>
    <w:pPr>
      <w:adjustRightInd w:val="0"/>
      <w:snapToGrid w:val="0"/>
      <w:spacing w:line="240" w:lineRule="atLeast"/>
    </w:pPr>
    <w:rPr>
      <w:rFonts w:ascii="Minion Pro" w:eastAsia="Times New Roman" w:hAnsi="Minion Pro"/>
      <w:color w:val="000000"/>
      <w:sz w:val="18"/>
      <w:szCs w:val="18"/>
      <w:lang w:eastAsia="de-DE" w:bidi="en-US"/>
    </w:rPr>
  </w:style>
  <w:style w:type="paragraph" w:customStyle="1" w:styleId="TSP17abstract">
    <w:name w:val="TSP_1.7_abstract"/>
    <w:next w:val="Normal"/>
    <w:qFormat/>
    <w:rsid w:val="00427B68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color w:val="000000"/>
      <w:szCs w:val="22"/>
      <w:lang w:eastAsia="de-DE" w:bidi="en-US"/>
    </w:rPr>
  </w:style>
  <w:style w:type="paragraph" w:styleId="Footer">
    <w:name w:val="footer"/>
    <w:basedOn w:val="Normal"/>
    <w:link w:val="FooterChar"/>
    <w:uiPriority w:val="99"/>
    <w:qFormat/>
    <w:rsid w:val="00C34E4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Cs w:val="18"/>
    </w:rPr>
  </w:style>
  <w:style w:type="character" w:customStyle="1" w:styleId="FooterChar">
    <w:name w:val="Footer Char"/>
    <w:link w:val="Footer"/>
    <w:uiPriority w:val="99"/>
    <w:qFormat/>
    <w:rsid w:val="00C34E4B"/>
    <w:rPr>
      <w:rFonts w:ascii="Minion Pro" w:hAnsi="Minion Pro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397A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397AC9"/>
    <w:rPr>
      <w:rFonts w:ascii="Minion Pro" w:hAnsi="Minion Pro"/>
      <w:noProof/>
      <w:color w:val="000000"/>
      <w:szCs w:val="18"/>
    </w:rPr>
  </w:style>
  <w:style w:type="paragraph" w:customStyle="1" w:styleId="TSP18keywords">
    <w:name w:val="TSP_1.8_keywords"/>
    <w:next w:val="Normal"/>
    <w:qFormat/>
    <w:rsid w:val="00427B68"/>
    <w:pPr>
      <w:adjustRightInd w:val="0"/>
      <w:snapToGrid w:val="0"/>
      <w:spacing w:before="240" w:line="240" w:lineRule="atLeast"/>
      <w:jc w:val="both"/>
    </w:pPr>
    <w:rPr>
      <w:rFonts w:ascii="Minion Pro" w:eastAsia="Times New Roman" w:hAnsi="Minion Pro"/>
      <w:snapToGrid w:val="0"/>
      <w:color w:val="000000"/>
      <w:szCs w:val="22"/>
      <w:lang w:eastAsia="de-DE" w:bidi="en-US"/>
    </w:rPr>
  </w:style>
  <w:style w:type="paragraph" w:customStyle="1" w:styleId="TSP19classification">
    <w:name w:val="TSP_1.9_classification"/>
    <w:qFormat/>
    <w:rsid w:val="00427B68"/>
    <w:pPr>
      <w:spacing w:before="240" w:line="240" w:lineRule="atLeast"/>
      <w:jc w:val="both"/>
    </w:pPr>
    <w:rPr>
      <w:rFonts w:ascii="Minion Pro" w:eastAsia="Times New Roman" w:hAnsi="Minion Pro"/>
      <w:b/>
      <w:color w:val="000000"/>
      <w:szCs w:val="22"/>
      <w:lang w:eastAsia="de-DE" w:bidi="en-US"/>
    </w:rPr>
  </w:style>
  <w:style w:type="paragraph" w:customStyle="1" w:styleId="TSP19line">
    <w:name w:val="TSP_1.9_line"/>
    <w:qFormat/>
    <w:rsid w:val="00427B68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Cs w:val="24"/>
      <w:lang w:eastAsia="de-DE" w:bidi="en-US"/>
    </w:rPr>
  </w:style>
  <w:style w:type="paragraph" w:customStyle="1" w:styleId="TSP21heading1">
    <w:name w:val="TSP_2.1_heading1"/>
    <w:qFormat/>
    <w:rsid w:val="00427B68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/>
      <w:b/>
      <w:snapToGrid w:val="0"/>
      <w:color w:val="000000"/>
      <w:sz w:val="22"/>
      <w:szCs w:val="22"/>
      <w:lang w:eastAsia="de-DE" w:bidi="en-US"/>
    </w:rPr>
  </w:style>
  <w:style w:type="paragraph" w:customStyle="1" w:styleId="TSP22heading2">
    <w:name w:val="TSP_2.2_heading2"/>
    <w:qFormat/>
    <w:rsid w:val="00427B68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/>
      <w:b/>
      <w:i/>
      <w:noProof/>
      <w:snapToGrid w:val="0"/>
      <w:color w:val="000000"/>
      <w:sz w:val="22"/>
      <w:szCs w:val="22"/>
      <w:lang w:eastAsia="de-DE" w:bidi="en-US"/>
    </w:rPr>
  </w:style>
  <w:style w:type="paragraph" w:customStyle="1" w:styleId="TSP23heading3">
    <w:name w:val="TSP_2.3_heading3"/>
    <w:qFormat/>
    <w:rsid w:val="00427B68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/>
      <w:i/>
      <w:snapToGrid w:val="0"/>
      <w:color w:val="000000"/>
      <w:sz w:val="22"/>
      <w:szCs w:val="22"/>
      <w:lang w:eastAsia="de-DE" w:bidi="en-US"/>
    </w:rPr>
  </w:style>
  <w:style w:type="paragraph" w:customStyle="1" w:styleId="TSP31text">
    <w:name w:val="TSP_3.1_text"/>
    <w:qFormat/>
    <w:rsid w:val="00427B68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2textnoindent">
    <w:name w:val="TSP_3.2_text_no_indent"/>
    <w:basedOn w:val="TSP31text"/>
    <w:qFormat/>
    <w:rsid w:val="00427B68"/>
    <w:pPr>
      <w:ind w:firstLine="0"/>
    </w:pPr>
  </w:style>
  <w:style w:type="paragraph" w:customStyle="1" w:styleId="TSP33textspaceafter">
    <w:name w:val="TSP_3.3_text_space_after"/>
    <w:qFormat/>
    <w:rsid w:val="00427B68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4textspacebefore">
    <w:name w:val="TSP_3.4_text_space_before"/>
    <w:qFormat/>
    <w:rsid w:val="00427B68"/>
    <w:pPr>
      <w:adjustRightInd w:val="0"/>
      <w:snapToGrid w:val="0"/>
      <w:spacing w:before="24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5textbeforelist">
    <w:name w:val="TSP_3.5_text_before_list"/>
    <w:qFormat/>
    <w:rsid w:val="00427B68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6textafterlist">
    <w:name w:val="TSP_3.6_text_after_list"/>
    <w:qFormat/>
    <w:rsid w:val="00427B68"/>
    <w:pPr>
      <w:adjustRightInd w:val="0"/>
      <w:snapToGrid w:val="0"/>
      <w:spacing w:before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7itemize">
    <w:name w:val="TSP_3.7_itemize"/>
    <w:qFormat/>
    <w:rsid w:val="00427B68"/>
    <w:pPr>
      <w:numPr>
        <w:numId w:val="45"/>
      </w:num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22"/>
      <w:szCs w:val="22"/>
      <w:lang w:eastAsia="de-DE" w:bidi="en-US"/>
    </w:rPr>
  </w:style>
  <w:style w:type="paragraph" w:customStyle="1" w:styleId="TSP38bullet">
    <w:name w:val="TSP_3.8_bullet"/>
    <w:qFormat/>
    <w:rsid w:val="00427B68"/>
    <w:pPr>
      <w:numPr>
        <w:numId w:val="46"/>
      </w:num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22"/>
      <w:szCs w:val="22"/>
      <w:lang w:eastAsia="de-DE" w:bidi="en-US"/>
    </w:rPr>
  </w:style>
  <w:style w:type="paragraph" w:customStyle="1" w:styleId="TSP39equation">
    <w:name w:val="TSP_3.9_equation"/>
    <w:qFormat/>
    <w:rsid w:val="00427B68"/>
    <w:pPr>
      <w:adjustRightInd w:val="0"/>
      <w:snapToGrid w:val="0"/>
      <w:spacing w:before="120" w:after="120" w:line="240" w:lineRule="atLeast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aequationnumber">
    <w:name w:val="TSP_3.a_equation_number"/>
    <w:qFormat/>
    <w:rsid w:val="00427B68"/>
    <w:pPr>
      <w:spacing w:before="120" w:after="120" w:line="240" w:lineRule="atLeast"/>
      <w:jc w:val="right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411onetablecaption">
    <w:name w:val="TSP_4.1.1_one_table_caption"/>
    <w:qFormat/>
    <w:rsid w:val="00427B68"/>
    <w:pPr>
      <w:adjustRightInd w:val="0"/>
      <w:snapToGrid w:val="0"/>
      <w:spacing w:before="240" w:after="120" w:line="240" w:lineRule="atLeast"/>
      <w:jc w:val="center"/>
    </w:pPr>
    <w:rPr>
      <w:rFonts w:ascii="Minion Pro" w:hAnsi="Minion Pro" w:cs="Cordia New"/>
      <w:noProof/>
      <w:color w:val="000000"/>
      <w:szCs w:val="22"/>
      <w:lang w:bidi="en-US"/>
    </w:rPr>
  </w:style>
  <w:style w:type="paragraph" w:customStyle="1" w:styleId="TSP41tablecaption">
    <w:name w:val="TSP_4.1_table_caption"/>
    <w:qFormat/>
    <w:rsid w:val="00427B68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Cs w:val="22"/>
      <w:lang w:eastAsia="de-DE" w:bidi="en-US"/>
    </w:rPr>
  </w:style>
  <w:style w:type="paragraph" w:customStyle="1" w:styleId="TSP42tablebody">
    <w:name w:val="TSP_4.2_table_body"/>
    <w:qFormat/>
    <w:rsid w:val="00427B68"/>
    <w:pPr>
      <w:adjustRightInd w:val="0"/>
      <w:snapToGrid w:val="0"/>
      <w:spacing w:line="240" w:lineRule="atLeast"/>
      <w:jc w:val="center"/>
    </w:pPr>
    <w:rPr>
      <w:rFonts w:ascii="Minion Pro" w:eastAsia="Times New Roman" w:hAnsi="Minion Pro"/>
      <w:snapToGrid w:val="0"/>
      <w:color w:val="000000"/>
      <w:lang w:eastAsia="de-DE" w:bidi="en-US"/>
    </w:rPr>
  </w:style>
  <w:style w:type="paragraph" w:customStyle="1" w:styleId="TSP43tablefooter">
    <w:name w:val="TSP_4.3_table_footer"/>
    <w:next w:val="TSP31text"/>
    <w:qFormat/>
    <w:rsid w:val="00427B68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Cs w:val="22"/>
      <w:lang w:eastAsia="de-DE" w:bidi="en-US"/>
    </w:rPr>
  </w:style>
  <w:style w:type="paragraph" w:customStyle="1" w:styleId="TSP511onefigurecaption">
    <w:name w:val="TSP_5.1.1_one_figure_caption"/>
    <w:qFormat/>
    <w:rsid w:val="00427B68"/>
    <w:pPr>
      <w:adjustRightInd w:val="0"/>
      <w:snapToGrid w:val="0"/>
      <w:spacing w:before="120" w:after="240" w:line="240" w:lineRule="atLeast"/>
      <w:jc w:val="center"/>
    </w:pPr>
    <w:rPr>
      <w:rFonts w:ascii="Minion Pro" w:hAnsi="Minion Pro"/>
      <w:noProof/>
      <w:color w:val="000000"/>
      <w:lang w:bidi="en-US"/>
    </w:rPr>
  </w:style>
  <w:style w:type="paragraph" w:customStyle="1" w:styleId="TSP51figurecaption">
    <w:name w:val="TSP_5.1_figure_caption"/>
    <w:qFormat/>
    <w:rsid w:val="00427B68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/>
      <w:color w:val="000000"/>
      <w:lang w:eastAsia="de-DE" w:bidi="en-US"/>
    </w:rPr>
  </w:style>
  <w:style w:type="paragraph" w:customStyle="1" w:styleId="TSP52figure">
    <w:name w:val="TSP_5.2_figure"/>
    <w:qFormat/>
    <w:rsid w:val="00427B68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/>
      <w:snapToGrid w:val="0"/>
      <w:color w:val="000000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397AC9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397AC9"/>
    <w:rPr>
      <w:rFonts w:ascii="Minion Pro" w:hAnsi="Minion Pro" w:cs="Tahoma"/>
      <w:noProof/>
      <w:color w:val="000000"/>
      <w:szCs w:val="18"/>
    </w:rPr>
  </w:style>
  <w:style w:type="character" w:styleId="LineNumber">
    <w:name w:val="line number"/>
    <w:uiPriority w:val="99"/>
    <w:rsid w:val="00397AC9"/>
    <w:rPr>
      <w:rFonts w:ascii="Minion Pro" w:hAnsi="Minion Pro"/>
      <w:sz w:val="16"/>
    </w:rPr>
  </w:style>
  <w:style w:type="paragraph" w:customStyle="1" w:styleId="TSP61Citation">
    <w:name w:val="TSP_6.1_Citation"/>
    <w:qFormat/>
    <w:rsid w:val="00427B68"/>
    <w:pPr>
      <w:adjustRightInd w:val="0"/>
      <w:snapToGrid w:val="0"/>
      <w:spacing w:line="240" w:lineRule="atLeast"/>
    </w:pPr>
    <w:rPr>
      <w:rFonts w:ascii="Minion Pro" w:hAnsi="Minion Pro" w:cs="Cordia New"/>
      <w:sz w:val="22"/>
      <w:szCs w:val="22"/>
    </w:rPr>
  </w:style>
  <w:style w:type="character" w:styleId="Hyperlink">
    <w:name w:val="Hyperlink"/>
    <w:uiPriority w:val="99"/>
    <w:rsid w:val="00397AC9"/>
    <w:rPr>
      <w:color w:val="2F5496" w:themeColor="accent1" w:themeShade="BF"/>
      <w:u w:val="single"/>
    </w:rPr>
  </w:style>
  <w:style w:type="character" w:styleId="UnresolvedMention">
    <w:name w:val="Unresolved Mention"/>
    <w:uiPriority w:val="99"/>
    <w:semiHidden/>
    <w:unhideWhenUsed/>
    <w:rsid w:val="00A65FB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397AC9"/>
    <w:pPr>
      <w:spacing w:line="260" w:lineRule="atLeast"/>
      <w:jc w:val="both"/>
    </w:pPr>
    <w:rPr>
      <w:rFonts w:ascii="Minion Pro" w:hAnsi="Minion Pro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506B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TSP62BackMatter">
    <w:name w:val="TSP_6.2_BackMatter"/>
    <w:qFormat/>
    <w:rsid w:val="00427B68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/>
      <w:snapToGrid w:val="0"/>
      <w:color w:val="000000"/>
      <w:lang w:eastAsia="en-US" w:bidi="en-US"/>
    </w:rPr>
  </w:style>
  <w:style w:type="paragraph" w:customStyle="1" w:styleId="TSP63Notes">
    <w:name w:val="TSP_6.3_Notes"/>
    <w:qFormat/>
    <w:rsid w:val="00427B68"/>
    <w:pPr>
      <w:adjustRightInd w:val="0"/>
      <w:snapToGrid w:val="0"/>
      <w:spacing w:before="60" w:after="60" w:line="228" w:lineRule="auto"/>
      <w:jc w:val="both"/>
    </w:pPr>
    <w:rPr>
      <w:rFonts w:ascii="Minion Pro" w:hAnsi="Minion Pro"/>
      <w:snapToGrid w:val="0"/>
      <w:color w:val="000000"/>
      <w:sz w:val="18"/>
      <w:lang w:eastAsia="en-US" w:bidi="en-US"/>
    </w:rPr>
  </w:style>
  <w:style w:type="paragraph" w:customStyle="1" w:styleId="TSP71FootNotes">
    <w:name w:val="TSP_7.1_FootNotes"/>
    <w:qFormat/>
    <w:rsid w:val="00427B68"/>
    <w:pPr>
      <w:numPr>
        <w:numId w:val="49"/>
      </w:numPr>
      <w:adjustRightInd w:val="0"/>
      <w:snapToGrid w:val="0"/>
      <w:spacing w:before="60" w:after="60" w:line="228" w:lineRule="auto"/>
      <w:jc w:val="both"/>
    </w:pPr>
    <w:rPr>
      <w:rFonts w:ascii="Minion Pro" w:eastAsiaTheme="minorEastAsia" w:hAnsi="Minion Pro"/>
      <w:noProof/>
      <w:color w:val="000000"/>
      <w:sz w:val="18"/>
    </w:rPr>
  </w:style>
  <w:style w:type="paragraph" w:customStyle="1" w:styleId="TSP71References">
    <w:name w:val="TSP_7.1_References"/>
    <w:qFormat/>
    <w:rsid w:val="00427B68"/>
    <w:pPr>
      <w:numPr>
        <w:numId w:val="48"/>
      </w:numPr>
      <w:adjustRightInd w:val="0"/>
      <w:snapToGrid w:val="0"/>
      <w:spacing w:line="228" w:lineRule="auto"/>
      <w:jc w:val="both"/>
    </w:pPr>
    <w:rPr>
      <w:rFonts w:ascii="Minion Pro" w:eastAsia="等线" w:hAnsi="Minion Pro"/>
      <w:color w:val="000000"/>
      <w:lang w:eastAsia="de-DE" w:bidi="en-US"/>
    </w:rPr>
  </w:style>
  <w:style w:type="paragraph" w:customStyle="1" w:styleId="TSP72Copyright">
    <w:name w:val="TSP_7.2_Copyright"/>
    <w:qFormat/>
    <w:rsid w:val="00427B68"/>
    <w:pPr>
      <w:adjustRightInd w:val="0"/>
      <w:snapToGrid w:val="0"/>
      <w:spacing w:line="192" w:lineRule="auto"/>
      <w:jc w:val="both"/>
    </w:pPr>
    <w:rPr>
      <w:rFonts w:ascii="Minion Pro" w:eastAsia="Times New Roman" w:hAnsi="Minion Pro"/>
      <w:noProof/>
      <w:snapToGrid w:val="0"/>
      <w:color w:val="000000"/>
      <w:sz w:val="18"/>
      <w:lang w:val="en-GB" w:eastAsia="en-GB"/>
    </w:rPr>
  </w:style>
  <w:style w:type="paragraph" w:customStyle="1" w:styleId="TSP73CopyrightImage">
    <w:name w:val="TSP_7.3_CopyrightImage"/>
    <w:qFormat/>
    <w:rsid w:val="00427B68"/>
    <w:pPr>
      <w:adjustRightInd w:val="0"/>
      <w:snapToGrid w:val="0"/>
      <w:spacing w:before="20" w:line="228" w:lineRule="auto"/>
    </w:pPr>
    <w:rPr>
      <w:rFonts w:ascii="Minion Pro" w:eastAsia="Times New Roman" w:hAnsi="Minion Pro"/>
      <w:color w:val="000000"/>
      <w:sz w:val="18"/>
      <w:lang w:eastAsia="de-CH"/>
    </w:rPr>
  </w:style>
  <w:style w:type="paragraph" w:customStyle="1" w:styleId="TSP81theorem">
    <w:name w:val="TSP_8.1_theorem"/>
    <w:qFormat/>
    <w:rsid w:val="00427B68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i/>
      <w:snapToGrid w:val="0"/>
      <w:color w:val="000000"/>
      <w:sz w:val="22"/>
      <w:szCs w:val="22"/>
      <w:lang w:eastAsia="de-DE" w:bidi="en-US"/>
    </w:rPr>
  </w:style>
  <w:style w:type="paragraph" w:customStyle="1" w:styleId="TSP82proof">
    <w:name w:val="TSP_8.2_proof"/>
    <w:qFormat/>
    <w:rsid w:val="00427B68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equationFram">
    <w:name w:val="TSP_equationFram"/>
    <w:qFormat/>
    <w:rsid w:val="00427B68"/>
    <w:pPr>
      <w:adjustRightInd w:val="0"/>
      <w:snapToGrid w:val="0"/>
      <w:spacing w:before="120" w:after="120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footer">
    <w:name w:val="TSP_footer"/>
    <w:qFormat/>
    <w:rsid w:val="00427B68"/>
    <w:p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16"/>
      <w:lang w:eastAsia="de-DE"/>
    </w:rPr>
  </w:style>
  <w:style w:type="paragraph" w:customStyle="1" w:styleId="TSPfooterfirstpage">
    <w:name w:val="TSP_footer_firstpage"/>
    <w:qFormat/>
    <w:rsid w:val="00427B68"/>
    <w:pPr>
      <w:tabs>
        <w:tab w:val="right" w:pos="8845"/>
      </w:tabs>
      <w:suppressAutoHyphens/>
      <w:snapToGrid w:val="0"/>
      <w:spacing w:line="228" w:lineRule="auto"/>
      <w:jc w:val="both"/>
    </w:pPr>
    <w:rPr>
      <w:rFonts w:ascii="Minion Pro" w:eastAsia="Times New Roman" w:hAnsi="Minion Pro"/>
      <w:color w:val="000000"/>
      <w:sz w:val="16"/>
      <w:lang w:eastAsia="de-DE"/>
    </w:rPr>
  </w:style>
  <w:style w:type="paragraph" w:customStyle="1" w:styleId="TSPheader">
    <w:name w:val="TSP_header"/>
    <w:qFormat/>
    <w:rsid w:val="00427B68"/>
    <w:pPr>
      <w:adjustRightInd w:val="0"/>
      <w:snapToGrid w:val="0"/>
      <w:spacing w:line="228" w:lineRule="auto"/>
      <w:jc w:val="both"/>
    </w:pPr>
    <w:rPr>
      <w:rFonts w:ascii="Minion Pro" w:eastAsia="Times New Roman" w:hAnsi="Minion Pro"/>
      <w:iCs/>
      <w:color w:val="000000"/>
      <w:sz w:val="16"/>
      <w:lang w:eastAsia="de-DE"/>
    </w:rPr>
  </w:style>
  <w:style w:type="paragraph" w:customStyle="1" w:styleId="TSPheadercitation">
    <w:name w:val="TSP_header_citation"/>
    <w:qFormat/>
    <w:rsid w:val="00427B68"/>
    <w:pPr>
      <w:spacing w:line="228" w:lineRule="auto"/>
    </w:pPr>
    <w:rPr>
      <w:rFonts w:ascii="Minion Pro" w:eastAsia="Times New Roman" w:hAnsi="Minion Pro"/>
      <w:snapToGrid w:val="0"/>
      <w:color w:val="000000"/>
      <w:sz w:val="16"/>
      <w:lang w:eastAsia="de-DE" w:bidi="en-US"/>
    </w:rPr>
  </w:style>
  <w:style w:type="paragraph" w:customStyle="1" w:styleId="TSPheaderjournallogo">
    <w:name w:val="TSP_header_journal_logo"/>
    <w:qFormat/>
    <w:rsid w:val="00427B68"/>
    <w:pPr>
      <w:adjustRightInd w:val="0"/>
      <w:snapToGrid w:val="0"/>
      <w:spacing w:line="240" w:lineRule="atLeast"/>
    </w:pPr>
    <w:rPr>
      <w:rFonts w:ascii="Minion Pro" w:eastAsia="Times New Roman" w:hAnsi="Minion Pro"/>
      <w:color w:val="000000"/>
      <w:sz w:val="22"/>
      <w:szCs w:val="22"/>
      <w:lang w:eastAsia="de-CH"/>
    </w:rPr>
  </w:style>
  <w:style w:type="paragraph" w:customStyle="1" w:styleId="TSPheadertsplogo">
    <w:name w:val="TSP_header_tsp_logo"/>
    <w:qFormat/>
    <w:rsid w:val="00427B68"/>
    <w:pPr>
      <w:adjustRightInd w:val="0"/>
      <w:snapToGrid w:val="0"/>
      <w:spacing w:line="240" w:lineRule="atLeast"/>
      <w:jc w:val="right"/>
    </w:pPr>
    <w:rPr>
      <w:rFonts w:ascii="Minion Pro" w:eastAsia="Times New Roman" w:hAnsi="Minion Pro"/>
      <w:color w:val="000000"/>
      <w:sz w:val="22"/>
      <w:szCs w:val="22"/>
      <w:lang w:eastAsia="de-CH"/>
    </w:rPr>
  </w:style>
  <w:style w:type="paragraph" w:customStyle="1" w:styleId="TSPtext">
    <w:name w:val="TSP_text"/>
    <w:qFormat/>
    <w:rsid w:val="00427B68"/>
    <w:pPr>
      <w:snapToGrid w:val="0"/>
      <w:spacing w:line="240" w:lineRule="atLeast"/>
      <w:ind w:firstLine="425"/>
      <w:jc w:val="both"/>
    </w:pPr>
    <w:rPr>
      <w:rFonts w:ascii="Minion Pro" w:eastAsia="Times New Roman" w:hAnsi="Minion Pro"/>
      <w:noProof/>
      <w:snapToGrid w:val="0"/>
      <w:color w:val="000000"/>
      <w:sz w:val="22"/>
      <w:szCs w:val="22"/>
      <w:lang w:eastAsia="de-DE" w:bidi="en-US"/>
    </w:rPr>
  </w:style>
  <w:style w:type="paragraph" w:customStyle="1" w:styleId="TSPtitle">
    <w:name w:val="TSP_title"/>
    <w:qFormat/>
    <w:rsid w:val="00427B68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b/>
      <w:snapToGrid w:val="0"/>
      <w:color w:val="000000"/>
      <w:sz w:val="28"/>
      <w:lang w:eastAsia="de-DE" w:bidi="en-US"/>
    </w:rPr>
  </w:style>
  <w:style w:type="character" w:customStyle="1" w:styleId="apple-converted-space">
    <w:name w:val="apple-converted-space"/>
    <w:rsid w:val="00EA6902"/>
  </w:style>
  <w:style w:type="paragraph" w:styleId="Bibliography">
    <w:name w:val="Bibliography"/>
    <w:basedOn w:val="Normal"/>
    <w:next w:val="Normal"/>
    <w:uiPriority w:val="37"/>
    <w:semiHidden/>
    <w:unhideWhenUsed/>
    <w:rsid w:val="00EA6902"/>
  </w:style>
  <w:style w:type="paragraph" w:styleId="BodyText">
    <w:name w:val="Body Text"/>
    <w:link w:val="BodyTextChar"/>
    <w:rsid w:val="00397AC9"/>
    <w:pPr>
      <w:spacing w:after="120" w:line="340" w:lineRule="atLeast"/>
      <w:jc w:val="both"/>
    </w:pPr>
    <w:rPr>
      <w:rFonts w:ascii="Minion Pro" w:hAnsi="Minion Pro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397AC9"/>
    <w:rPr>
      <w:rFonts w:ascii="Minion Pro" w:hAnsi="Minion Pro"/>
      <w:color w:val="000000"/>
      <w:sz w:val="24"/>
      <w:lang w:eastAsia="de-DE"/>
    </w:rPr>
  </w:style>
  <w:style w:type="character" w:styleId="CommentReference">
    <w:name w:val="annotation reference"/>
    <w:rsid w:val="00EA6902"/>
    <w:rPr>
      <w:sz w:val="21"/>
      <w:szCs w:val="21"/>
    </w:rPr>
  </w:style>
  <w:style w:type="paragraph" w:styleId="CommentText">
    <w:name w:val="annotation text"/>
    <w:basedOn w:val="Normal"/>
    <w:link w:val="CommentTextChar"/>
    <w:rsid w:val="00397AC9"/>
  </w:style>
  <w:style w:type="character" w:customStyle="1" w:styleId="CommentTextChar">
    <w:name w:val="Comment Text Char"/>
    <w:link w:val="CommentText"/>
    <w:rsid w:val="00397AC9"/>
    <w:rPr>
      <w:rFonts w:ascii="Minion Pro" w:hAnsi="Minion Pro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397AC9"/>
    <w:rPr>
      <w:b/>
      <w:bCs/>
    </w:rPr>
  </w:style>
  <w:style w:type="character" w:customStyle="1" w:styleId="CommentSubjectChar">
    <w:name w:val="Comment Subject Char"/>
    <w:link w:val="CommentSubject"/>
    <w:rsid w:val="00397AC9"/>
    <w:rPr>
      <w:rFonts w:ascii="Minion Pro" w:hAnsi="Minion Pro"/>
      <w:b/>
      <w:bCs/>
      <w:noProof/>
      <w:color w:val="000000"/>
    </w:rPr>
  </w:style>
  <w:style w:type="character" w:styleId="EndnoteReference">
    <w:name w:val="endnote reference"/>
    <w:rsid w:val="00EA6902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EA6902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EA6902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EA6902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EA6902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EA6902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EA6902"/>
    <w:rPr>
      <w:szCs w:val="24"/>
    </w:rPr>
  </w:style>
  <w:style w:type="paragraph" w:customStyle="1" w:styleId="MsoFootnoteText0">
    <w:name w:val="MsoFootnoteText"/>
    <w:basedOn w:val="NormalWeb"/>
    <w:qFormat/>
    <w:rsid w:val="00397AC9"/>
  </w:style>
  <w:style w:type="character" w:styleId="PageNumber">
    <w:name w:val="page number"/>
    <w:rsid w:val="00397AC9"/>
    <w:rPr>
      <w:rFonts w:ascii="Minion Pro" w:hAnsi="Minion Pro"/>
    </w:rPr>
  </w:style>
  <w:style w:type="character" w:styleId="PlaceholderText">
    <w:name w:val="Placeholder Text"/>
    <w:uiPriority w:val="99"/>
    <w:semiHidden/>
    <w:rsid w:val="00EA6902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397AC9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7AC9"/>
    <w:rPr>
      <w:rFonts w:asciiTheme="majorHAnsi" w:eastAsiaTheme="majorEastAsia" w:hAnsiTheme="majorHAnsi" w:cstheme="majorBidi"/>
      <w:noProof/>
      <w:color w:val="2F5496" w:themeColor="accent1" w:themeShade="BF"/>
      <w:sz w:val="26"/>
      <w:szCs w:val="26"/>
    </w:rPr>
  </w:style>
  <w:style w:type="paragraph" w:styleId="Caption">
    <w:name w:val="caption"/>
    <w:basedOn w:val="Normal"/>
    <w:next w:val="Normal"/>
    <w:qFormat/>
    <w:rsid w:val="00C34E4B"/>
    <w:pPr>
      <w:keepNext/>
      <w:spacing w:before="120" w:after="120"/>
      <w:jc w:val="center"/>
    </w:pPr>
    <w:rPr>
      <w:rFonts w:ascii="Palatino Linotype" w:eastAsiaTheme="minorEastAsia" w:hAnsi="Palatino Linotype"/>
      <w:b/>
      <w:noProof w:val="0"/>
      <w:kern w:val="2"/>
      <w14:ligatures w14:val="standardContextual"/>
    </w:rPr>
  </w:style>
  <w:style w:type="paragraph" w:customStyle="1" w:styleId="keyword">
    <w:name w:val="keyword"/>
    <w:basedOn w:val="Normal"/>
    <w:qFormat/>
    <w:rsid w:val="00C34E4B"/>
    <w:pPr>
      <w:spacing w:before="280"/>
    </w:pPr>
    <w:rPr>
      <w:rFonts w:ascii="Palatino Linotype" w:eastAsiaTheme="minorEastAsia" w:hAnsi="Palatino Linotype"/>
      <w:noProof w:val="0"/>
      <w:kern w:val="2"/>
      <w14:ligatures w14:val="standardContextual"/>
    </w:rPr>
  </w:style>
  <w:style w:type="paragraph" w:styleId="ListParagraph">
    <w:name w:val="List Paragraph"/>
    <w:basedOn w:val="Normal"/>
    <w:uiPriority w:val="34"/>
    <w:qFormat/>
    <w:rsid w:val="00C34E4B"/>
    <w:pPr>
      <w:ind w:firstLineChars="200" w:firstLine="420"/>
    </w:pPr>
    <w:rPr>
      <w:rFonts w:ascii="Palatino Linotype" w:eastAsiaTheme="minorEastAsia" w:hAnsi="Palatino Linotype"/>
      <w:noProof w:val="0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6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Word%20templates\TSP_Phyton_template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1" i="0" u="none" strike="noStrike" kern="1200" baseline="0">
                <a:solidFill>
                  <a:schemeClr val="tx1"/>
                </a:solidFill>
                <a:latin typeface="Palatino Linotype" panose="0204050205050503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US" sz="1600"/>
              <a:t>Subsystem Feature Counts </a:t>
            </a:r>
          </a:p>
        </c:rich>
      </c:tx>
      <c:layout>
        <c:manualLayout>
          <c:xMode val="edge"/>
          <c:yMode val="edge"/>
          <c:x val="3.4540491616194503E-4"/>
          <c:y val="2.1623154738590784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1" i="0" u="none" strike="noStrike" kern="1200" baseline="0">
              <a:solidFill>
                <a:schemeClr val="tx1"/>
              </a:solidFill>
              <a:latin typeface="Palatino Linotype" panose="02040502050505030304" pitchFamily="18" charset="0"/>
              <a:ea typeface="+mn-ea"/>
              <a:cs typeface="Times New Roman" panose="02020603050405020304" pitchFamily="18" charset="0"/>
            </a:defRPr>
          </a:pPr>
          <a:endParaRPr lang="es-MX"/>
        </a:p>
      </c:txPr>
    </c:title>
    <c:autoTitleDeleted val="0"/>
    <c:plotArea>
      <c:layout>
        <c:manualLayout>
          <c:layoutTarget val="inner"/>
          <c:xMode val="edge"/>
          <c:yMode val="edge"/>
          <c:x val="3.9251107738676967E-2"/>
          <c:y val="0.10680489938757655"/>
          <c:w val="0.52021590641230386"/>
          <c:h val="0.85922327209098859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Subsystem Feature Counts </c:v>
                </c:pt>
              </c:strCache>
            </c:strRef>
          </c:tx>
          <c:dPt>
            <c:idx val="0"/>
            <c:bubble3D val="0"/>
            <c:spPr>
              <a:solidFill>
                <a:schemeClr val="accent1">
                  <a:shade val="80000"/>
                  <a:satMod val="150000"/>
                </a:schemeClr>
              </a:solidFill>
              <a:ln>
                <a:noFill/>
              </a:ln>
              <a:effectLst>
                <a:outerShdw blurRad="44450" dist="13970" dir="5400000" algn="ctr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woPt" dir="tl"/>
              </a:scene3d>
              <a:sp3d prstMaterial="flat">
                <a:bevelT w="12700" h="25400" prst="coolSlant"/>
              </a:sp3d>
            </c:spPr>
            <c:extLst>
              <c:ext xmlns:c16="http://schemas.microsoft.com/office/drawing/2014/chart" uri="{C3380CC4-5D6E-409C-BE32-E72D297353CC}">
                <c16:uniqueId val="{00000001-E84D-4FDA-A3C6-3E8EB207BB4C}"/>
              </c:ext>
            </c:extLst>
          </c:dPt>
          <c:dPt>
            <c:idx val="1"/>
            <c:bubble3D val="0"/>
            <c:spPr>
              <a:solidFill>
                <a:schemeClr val="accent2">
                  <a:shade val="80000"/>
                  <a:satMod val="150000"/>
                </a:schemeClr>
              </a:solidFill>
              <a:ln>
                <a:noFill/>
              </a:ln>
              <a:effectLst>
                <a:outerShdw blurRad="44450" dist="13970" dir="5400000" algn="ctr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woPt" dir="tl"/>
              </a:scene3d>
              <a:sp3d prstMaterial="flat">
                <a:bevelT w="12700" h="25400" prst="coolSlant"/>
              </a:sp3d>
            </c:spPr>
            <c:extLst>
              <c:ext xmlns:c16="http://schemas.microsoft.com/office/drawing/2014/chart" uri="{C3380CC4-5D6E-409C-BE32-E72D297353CC}">
                <c16:uniqueId val="{00000003-E84D-4FDA-A3C6-3E8EB207BB4C}"/>
              </c:ext>
            </c:extLst>
          </c:dPt>
          <c:dPt>
            <c:idx val="2"/>
            <c:bubble3D val="0"/>
            <c:spPr>
              <a:solidFill>
                <a:schemeClr val="accent3">
                  <a:shade val="80000"/>
                  <a:satMod val="150000"/>
                </a:schemeClr>
              </a:solidFill>
              <a:ln>
                <a:noFill/>
              </a:ln>
              <a:effectLst>
                <a:outerShdw blurRad="44450" dist="13970" dir="5400000" algn="ctr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woPt" dir="tl"/>
              </a:scene3d>
              <a:sp3d prstMaterial="flat">
                <a:bevelT w="12700" h="25400" prst="coolSlant"/>
              </a:sp3d>
            </c:spPr>
            <c:extLst>
              <c:ext xmlns:c16="http://schemas.microsoft.com/office/drawing/2014/chart" uri="{C3380CC4-5D6E-409C-BE32-E72D297353CC}">
                <c16:uniqueId val="{00000005-E84D-4FDA-A3C6-3E8EB207BB4C}"/>
              </c:ext>
            </c:extLst>
          </c:dPt>
          <c:dPt>
            <c:idx val="3"/>
            <c:bubble3D val="0"/>
            <c:spPr>
              <a:solidFill>
                <a:schemeClr val="accent4">
                  <a:shade val="80000"/>
                  <a:satMod val="150000"/>
                </a:schemeClr>
              </a:solidFill>
              <a:ln>
                <a:noFill/>
              </a:ln>
              <a:effectLst>
                <a:outerShdw blurRad="44450" dist="13970" dir="5400000" algn="ctr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woPt" dir="tl"/>
              </a:scene3d>
              <a:sp3d prstMaterial="flat">
                <a:bevelT w="12700" h="25400" prst="coolSlant"/>
              </a:sp3d>
            </c:spPr>
            <c:extLst>
              <c:ext xmlns:c16="http://schemas.microsoft.com/office/drawing/2014/chart" uri="{C3380CC4-5D6E-409C-BE32-E72D297353CC}">
                <c16:uniqueId val="{00000007-E84D-4FDA-A3C6-3E8EB207BB4C}"/>
              </c:ext>
            </c:extLst>
          </c:dPt>
          <c:dPt>
            <c:idx val="4"/>
            <c:bubble3D val="0"/>
            <c:spPr>
              <a:solidFill>
                <a:schemeClr val="accent5">
                  <a:shade val="80000"/>
                  <a:satMod val="150000"/>
                </a:schemeClr>
              </a:solidFill>
              <a:ln>
                <a:noFill/>
              </a:ln>
              <a:effectLst>
                <a:outerShdw blurRad="44450" dist="13970" dir="5400000" algn="ctr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woPt" dir="tl"/>
              </a:scene3d>
              <a:sp3d prstMaterial="flat">
                <a:bevelT w="12700" h="25400" prst="coolSlant"/>
              </a:sp3d>
            </c:spPr>
            <c:extLst>
              <c:ext xmlns:c16="http://schemas.microsoft.com/office/drawing/2014/chart" uri="{C3380CC4-5D6E-409C-BE32-E72D297353CC}">
                <c16:uniqueId val="{00000009-E84D-4FDA-A3C6-3E8EB207BB4C}"/>
              </c:ext>
            </c:extLst>
          </c:dPt>
          <c:dPt>
            <c:idx val="5"/>
            <c:bubble3D val="0"/>
            <c:spPr>
              <a:solidFill>
                <a:schemeClr val="accent6">
                  <a:shade val="80000"/>
                  <a:satMod val="150000"/>
                </a:schemeClr>
              </a:solidFill>
              <a:ln>
                <a:noFill/>
              </a:ln>
              <a:effectLst>
                <a:outerShdw blurRad="44450" dist="13970" dir="5400000" algn="ctr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woPt" dir="tl"/>
              </a:scene3d>
              <a:sp3d prstMaterial="flat">
                <a:bevelT w="12700" h="25400" prst="coolSlant"/>
              </a:sp3d>
            </c:spPr>
            <c:extLst>
              <c:ext xmlns:c16="http://schemas.microsoft.com/office/drawing/2014/chart" uri="{C3380CC4-5D6E-409C-BE32-E72D297353CC}">
                <c16:uniqueId val="{0000000B-E84D-4FDA-A3C6-3E8EB207BB4C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  <a:shade val="80000"/>
                  <a:satMod val="150000"/>
                </a:schemeClr>
              </a:solidFill>
              <a:ln>
                <a:noFill/>
              </a:ln>
              <a:effectLst>
                <a:outerShdw blurRad="44450" dist="13970" dir="5400000" algn="ctr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woPt" dir="tl"/>
              </a:scene3d>
              <a:sp3d prstMaterial="flat">
                <a:bevelT w="12700" h="25400" prst="coolSlant"/>
              </a:sp3d>
            </c:spPr>
            <c:extLst>
              <c:ext xmlns:c16="http://schemas.microsoft.com/office/drawing/2014/chart" uri="{C3380CC4-5D6E-409C-BE32-E72D297353CC}">
                <c16:uniqueId val="{0000000D-E84D-4FDA-A3C6-3E8EB207BB4C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  <a:shade val="80000"/>
                  <a:satMod val="150000"/>
                </a:schemeClr>
              </a:solidFill>
              <a:ln>
                <a:noFill/>
              </a:ln>
              <a:effectLst>
                <a:outerShdw blurRad="44450" dist="13970" dir="5400000" algn="ctr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woPt" dir="tl"/>
              </a:scene3d>
              <a:sp3d prstMaterial="flat">
                <a:bevelT w="12700" h="25400" prst="coolSlant"/>
              </a:sp3d>
            </c:spPr>
            <c:extLst>
              <c:ext xmlns:c16="http://schemas.microsoft.com/office/drawing/2014/chart" uri="{C3380CC4-5D6E-409C-BE32-E72D297353CC}">
                <c16:uniqueId val="{0000000F-E84D-4FDA-A3C6-3E8EB207BB4C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  <a:shade val="80000"/>
                  <a:satMod val="150000"/>
                </a:schemeClr>
              </a:solidFill>
              <a:ln>
                <a:noFill/>
              </a:ln>
              <a:effectLst>
                <a:outerShdw blurRad="44450" dist="13970" dir="5400000" algn="ctr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woPt" dir="tl"/>
              </a:scene3d>
              <a:sp3d prstMaterial="flat">
                <a:bevelT w="12700" h="25400" prst="coolSlant"/>
              </a:sp3d>
            </c:spPr>
            <c:extLst>
              <c:ext xmlns:c16="http://schemas.microsoft.com/office/drawing/2014/chart" uri="{C3380CC4-5D6E-409C-BE32-E72D297353CC}">
                <c16:uniqueId val="{00000011-E84D-4FDA-A3C6-3E8EB207BB4C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  <a:shade val="80000"/>
                  <a:satMod val="150000"/>
                </a:schemeClr>
              </a:solidFill>
              <a:ln>
                <a:noFill/>
              </a:ln>
              <a:effectLst>
                <a:outerShdw blurRad="44450" dist="13970" dir="5400000" algn="ctr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woPt" dir="tl"/>
              </a:scene3d>
              <a:sp3d prstMaterial="flat">
                <a:bevelT w="12700" h="25400" prst="coolSlant"/>
              </a:sp3d>
            </c:spPr>
            <c:extLst>
              <c:ext xmlns:c16="http://schemas.microsoft.com/office/drawing/2014/chart" uri="{C3380CC4-5D6E-409C-BE32-E72D297353CC}">
                <c16:uniqueId val="{00000013-E84D-4FDA-A3C6-3E8EB207BB4C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  <a:shade val="80000"/>
                  <a:satMod val="150000"/>
                </a:schemeClr>
              </a:solidFill>
              <a:ln>
                <a:noFill/>
              </a:ln>
              <a:effectLst>
                <a:outerShdw blurRad="44450" dist="13970" dir="5400000" algn="ctr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woPt" dir="tl"/>
              </a:scene3d>
              <a:sp3d prstMaterial="flat">
                <a:bevelT w="12700" h="25400" prst="coolSlant"/>
              </a:sp3d>
            </c:spPr>
            <c:extLst>
              <c:ext xmlns:c16="http://schemas.microsoft.com/office/drawing/2014/chart" uri="{C3380CC4-5D6E-409C-BE32-E72D297353CC}">
                <c16:uniqueId val="{00000015-E84D-4FDA-A3C6-3E8EB207BB4C}"/>
              </c:ext>
            </c:extLst>
          </c:dPt>
          <c:dPt>
            <c:idx val="11"/>
            <c:bubble3D val="0"/>
            <c:spPr>
              <a:solidFill>
                <a:schemeClr val="accent6">
                  <a:lumMod val="60000"/>
                  <a:shade val="80000"/>
                  <a:satMod val="150000"/>
                </a:schemeClr>
              </a:solidFill>
              <a:ln>
                <a:noFill/>
              </a:ln>
              <a:effectLst>
                <a:outerShdw blurRad="44450" dist="13970" dir="5400000" algn="ctr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woPt" dir="tl"/>
              </a:scene3d>
              <a:sp3d prstMaterial="flat">
                <a:bevelT w="12700" h="25400" prst="coolSlant"/>
              </a:sp3d>
            </c:spPr>
            <c:extLst>
              <c:ext xmlns:c16="http://schemas.microsoft.com/office/drawing/2014/chart" uri="{C3380CC4-5D6E-409C-BE32-E72D297353CC}">
                <c16:uniqueId val="{00000017-E84D-4FDA-A3C6-3E8EB207BB4C}"/>
              </c:ext>
            </c:extLst>
          </c:dPt>
          <c:dPt>
            <c:idx val="12"/>
            <c:bubble3D val="0"/>
            <c:spPr>
              <a:solidFill>
                <a:schemeClr val="accent1">
                  <a:lumMod val="80000"/>
                  <a:lumOff val="20000"/>
                  <a:shade val="80000"/>
                  <a:satMod val="150000"/>
                </a:schemeClr>
              </a:solidFill>
              <a:ln>
                <a:noFill/>
              </a:ln>
              <a:effectLst>
                <a:outerShdw blurRad="44450" dist="13970" dir="5400000" algn="ctr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woPt" dir="tl"/>
              </a:scene3d>
              <a:sp3d prstMaterial="flat">
                <a:bevelT w="12700" h="25400" prst="coolSlant"/>
              </a:sp3d>
            </c:spPr>
            <c:extLst>
              <c:ext xmlns:c16="http://schemas.microsoft.com/office/drawing/2014/chart" uri="{C3380CC4-5D6E-409C-BE32-E72D297353CC}">
                <c16:uniqueId val="{00000019-E84D-4FDA-A3C6-3E8EB207BB4C}"/>
              </c:ext>
            </c:extLst>
          </c:dPt>
          <c:dPt>
            <c:idx val="13"/>
            <c:bubble3D val="0"/>
            <c:spPr>
              <a:solidFill>
                <a:schemeClr val="accent2">
                  <a:lumMod val="80000"/>
                  <a:lumOff val="20000"/>
                  <a:shade val="80000"/>
                  <a:satMod val="150000"/>
                </a:schemeClr>
              </a:solidFill>
              <a:ln>
                <a:noFill/>
              </a:ln>
              <a:effectLst>
                <a:outerShdw blurRad="44450" dist="13970" dir="5400000" algn="ctr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woPt" dir="tl"/>
              </a:scene3d>
              <a:sp3d prstMaterial="flat">
                <a:bevelT w="12700" h="25400" prst="coolSlant"/>
              </a:sp3d>
            </c:spPr>
            <c:extLst>
              <c:ext xmlns:c16="http://schemas.microsoft.com/office/drawing/2014/chart" uri="{C3380CC4-5D6E-409C-BE32-E72D297353CC}">
                <c16:uniqueId val="{0000001B-E84D-4FDA-A3C6-3E8EB207BB4C}"/>
              </c:ext>
            </c:extLst>
          </c:dPt>
          <c:dPt>
            <c:idx val="14"/>
            <c:bubble3D val="0"/>
            <c:spPr>
              <a:solidFill>
                <a:schemeClr val="accent3">
                  <a:lumMod val="80000"/>
                  <a:lumOff val="20000"/>
                  <a:shade val="80000"/>
                  <a:satMod val="150000"/>
                </a:schemeClr>
              </a:solidFill>
              <a:ln>
                <a:noFill/>
              </a:ln>
              <a:effectLst>
                <a:outerShdw blurRad="44450" dist="13970" dir="5400000" algn="ctr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woPt" dir="tl"/>
              </a:scene3d>
              <a:sp3d prstMaterial="flat">
                <a:bevelT w="12700" h="25400" prst="coolSlant"/>
              </a:sp3d>
            </c:spPr>
            <c:extLst>
              <c:ext xmlns:c16="http://schemas.microsoft.com/office/drawing/2014/chart" uri="{C3380CC4-5D6E-409C-BE32-E72D297353CC}">
                <c16:uniqueId val="{0000001D-E84D-4FDA-A3C6-3E8EB207BB4C}"/>
              </c:ext>
            </c:extLst>
          </c:dPt>
          <c:dPt>
            <c:idx val="15"/>
            <c:bubble3D val="0"/>
            <c:spPr>
              <a:solidFill>
                <a:schemeClr val="accent4">
                  <a:lumMod val="80000"/>
                  <a:lumOff val="20000"/>
                  <a:shade val="80000"/>
                  <a:satMod val="150000"/>
                </a:schemeClr>
              </a:solidFill>
              <a:ln>
                <a:noFill/>
              </a:ln>
              <a:effectLst>
                <a:outerShdw blurRad="44450" dist="13970" dir="5400000" algn="ctr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woPt" dir="tl"/>
              </a:scene3d>
              <a:sp3d prstMaterial="flat">
                <a:bevelT w="12700" h="25400" prst="coolSlant"/>
              </a:sp3d>
            </c:spPr>
            <c:extLst>
              <c:ext xmlns:c16="http://schemas.microsoft.com/office/drawing/2014/chart" uri="{C3380CC4-5D6E-409C-BE32-E72D297353CC}">
                <c16:uniqueId val="{0000001F-E84D-4FDA-A3C6-3E8EB207BB4C}"/>
              </c:ext>
            </c:extLst>
          </c:dPt>
          <c:dPt>
            <c:idx val="16"/>
            <c:bubble3D val="0"/>
            <c:spPr>
              <a:solidFill>
                <a:schemeClr val="accent5">
                  <a:lumMod val="80000"/>
                  <a:lumOff val="20000"/>
                  <a:shade val="80000"/>
                  <a:satMod val="150000"/>
                </a:schemeClr>
              </a:solidFill>
              <a:ln>
                <a:noFill/>
              </a:ln>
              <a:effectLst>
                <a:outerShdw blurRad="44450" dist="13970" dir="5400000" algn="ctr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woPt" dir="tl"/>
              </a:scene3d>
              <a:sp3d prstMaterial="flat">
                <a:bevelT w="12700" h="25400" prst="coolSlant"/>
              </a:sp3d>
            </c:spPr>
            <c:extLst>
              <c:ext xmlns:c16="http://schemas.microsoft.com/office/drawing/2014/chart" uri="{C3380CC4-5D6E-409C-BE32-E72D297353CC}">
                <c16:uniqueId val="{00000021-E84D-4FDA-A3C6-3E8EB207BB4C}"/>
              </c:ext>
            </c:extLst>
          </c:dPt>
          <c:dPt>
            <c:idx val="17"/>
            <c:bubble3D val="0"/>
            <c:spPr>
              <a:solidFill>
                <a:schemeClr val="accent6">
                  <a:lumMod val="80000"/>
                  <a:lumOff val="20000"/>
                  <a:shade val="80000"/>
                  <a:satMod val="150000"/>
                </a:schemeClr>
              </a:solidFill>
              <a:ln>
                <a:noFill/>
              </a:ln>
              <a:effectLst>
                <a:outerShdw blurRad="44450" dist="13970" dir="5400000" algn="ctr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woPt" dir="tl"/>
              </a:scene3d>
              <a:sp3d prstMaterial="flat">
                <a:bevelT w="12700" h="25400" prst="coolSlant"/>
              </a:sp3d>
            </c:spPr>
            <c:extLst>
              <c:ext xmlns:c16="http://schemas.microsoft.com/office/drawing/2014/chart" uri="{C3380CC4-5D6E-409C-BE32-E72D297353CC}">
                <c16:uniqueId val="{00000023-E84D-4FDA-A3C6-3E8EB207BB4C}"/>
              </c:ext>
            </c:extLst>
          </c:dPt>
          <c:dPt>
            <c:idx val="18"/>
            <c:bubble3D val="0"/>
            <c:spPr>
              <a:solidFill>
                <a:schemeClr val="accent1">
                  <a:lumMod val="80000"/>
                  <a:shade val="80000"/>
                  <a:satMod val="150000"/>
                </a:schemeClr>
              </a:solidFill>
              <a:ln>
                <a:noFill/>
              </a:ln>
              <a:effectLst>
                <a:outerShdw blurRad="44450" dist="13970" dir="5400000" algn="ctr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woPt" dir="tl"/>
              </a:scene3d>
              <a:sp3d prstMaterial="flat">
                <a:bevelT w="12700" h="25400" prst="coolSlant"/>
              </a:sp3d>
            </c:spPr>
            <c:extLst>
              <c:ext xmlns:c16="http://schemas.microsoft.com/office/drawing/2014/chart" uri="{C3380CC4-5D6E-409C-BE32-E72D297353CC}">
                <c16:uniqueId val="{00000025-E84D-4FDA-A3C6-3E8EB207BB4C}"/>
              </c:ext>
            </c:extLst>
          </c:dPt>
          <c:dPt>
            <c:idx val="19"/>
            <c:bubble3D val="0"/>
            <c:spPr>
              <a:solidFill>
                <a:schemeClr val="accent2">
                  <a:lumMod val="80000"/>
                  <a:shade val="80000"/>
                  <a:satMod val="150000"/>
                </a:schemeClr>
              </a:solidFill>
              <a:ln>
                <a:noFill/>
              </a:ln>
              <a:effectLst>
                <a:outerShdw blurRad="44450" dist="13970" dir="5400000" algn="ctr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woPt" dir="tl"/>
              </a:scene3d>
              <a:sp3d prstMaterial="flat">
                <a:bevelT w="12700" h="25400" prst="coolSlant"/>
              </a:sp3d>
            </c:spPr>
            <c:extLst>
              <c:ext xmlns:c16="http://schemas.microsoft.com/office/drawing/2014/chart" uri="{C3380CC4-5D6E-409C-BE32-E72D297353CC}">
                <c16:uniqueId val="{00000027-E84D-4FDA-A3C6-3E8EB207BB4C}"/>
              </c:ext>
            </c:extLst>
          </c:dPt>
          <c:dPt>
            <c:idx val="20"/>
            <c:bubble3D val="0"/>
            <c:spPr>
              <a:solidFill>
                <a:schemeClr val="accent3">
                  <a:lumMod val="80000"/>
                  <a:shade val="80000"/>
                  <a:satMod val="150000"/>
                </a:schemeClr>
              </a:solidFill>
              <a:ln>
                <a:noFill/>
              </a:ln>
              <a:effectLst>
                <a:outerShdw blurRad="44450" dist="13970" dir="5400000" algn="ctr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woPt" dir="tl"/>
              </a:scene3d>
              <a:sp3d prstMaterial="flat">
                <a:bevelT w="12700" h="25400" prst="coolSlant"/>
              </a:sp3d>
            </c:spPr>
            <c:extLst>
              <c:ext xmlns:c16="http://schemas.microsoft.com/office/drawing/2014/chart" uri="{C3380CC4-5D6E-409C-BE32-E72D297353CC}">
                <c16:uniqueId val="{00000029-E84D-4FDA-A3C6-3E8EB207BB4C}"/>
              </c:ext>
            </c:extLst>
          </c:dPt>
          <c:dPt>
            <c:idx val="21"/>
            <c:bubble3D val="0"/>
            <c:spPr>
              <a:solidFill>
                <a:schemeClr val="accent4">
                  <a:lumMod val="80000"/>
                  <a:shade val="80000"/>
                  <a:satMod val="150000"/>
                </a:schemeClr>
              </a:solidFill>
              <a:ln>
                <a:noFill/>
              </a:ln>
              <a:effectLst>
                <a:outerShdw blurRad="44450" dist="13970" dir="5400000" algn="ctr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woPt" dir="tl"/>
              </a:scene3d>
              <a:sp3d prstMaterial="flat">
                <a:bevelT w="12700" h="25400" prst="coolSlant"/>
              </a:sp3d>
            </c:spPr>
            <c:extLst>
              <c:ext xmlns:c16="http://schemas.microsoft.com/office/drawing/2014/chart" uri="{C3380CC4-5D6E-409C-BE32-E72D297353CC}">
                <c16:uniqueId val="{0000002B-E84D-4FDA-A3C6-3E8EB207BB4C}"/>
              </c:ext>
            </c:extLst>
          </c:dPt>
          <c:dPt>
            <c:idx val="22"/>
            <c:bubble3D val="0"/>
            <c:spPr>
              <a:solidFill>
                <a:schemeClr val="accent5">
                  <a:lumMod val="80000"/>
                  <a:shade val="80000"/>
                  <a:satMod val="150000"/>
                </a:schemeClr>
              </a:solidFill>
              <a:ln>
                <a:noFill/>
              </a:ln>
              <a:effectLst>
                <a:outerShdw blurRad="44450" dist="13970" dir="5400000" algn="ctr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woPt" dir="tl"/>
              </a:scene3d>
              <a:sp3d prstMaterial="flat">
                <a:bevelT w="12700" h="25400" prst="coolSlant"/>
              </a:sp3d>
            </c:spPr>
            <c:extLst>
              <c:ext xmlns:c16="http://schemas.microsoft.com/office/drawing/2014/chart" uri="{C3380CC4-5D6E-409C-BE32-E72D297353CC}">
                <c16:uniqueId val="{0000002D-E84D-4FDA-A3C6-3E8EB207BB4C}"/>
              </c:ext>
            </c:extLst>
          </c:dPt>
          <c:dPt>
            <c:idx val="23"/>
            <c:bubble3D val="0"/>
            <c:spPr>
              <a:solidFill>
                <a:schemeClr val="accent6">
                  <a:lumMod val="80000"/>
                  <a:shade val="80000"/>
                  <a:satMod val="150000"/>
                </a:schemeClr>
              </a:solidFill>
              <a:ln>
                <a:noFill/>
              </a:ln>
              <a:effectLst>
                <a:outerShdw blurRad="44450" dist="13970" dir="5400000" algn="ctr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woPt" dir="tl"/>
              </a:scene3d>
              <a:sp3d prstMaterial="flat">
                <a:bevelT w="12700" h="25400" prst="coolSlant"/>
              </a:sp3d>
            </c:spPr>
            <c:extLst>
              <c:ext xmlns:c16="http://schemas.microsoft.com/office/drawing/2014/chart" uri="{C3380CC4-5D6E-409C-BE32-E72D297353CC}">
                <c16:uniqueId val="{0000002F-E84D-4FDA-A3C6-3E8EB207BB4C}"/>
              </c:ext>
            </c:extLst>
          </c:dPt>
          <c:dPt>
            <c:idx val="24"/>
            <c:bubble3D val="0"/>
            <c:spPr>
              <a:solidFill>
                <a:schemeClr val="accent1">
                  <a:lumMod val="60000"/>
                  <a:lumOff val="40000"/>
                  <a:shade val="80000"/>
                  <a:satMod val="150000"/>
                </a:schemeClr>
              </a:solidFill>
              <a:ln>
                <a:noFill/>
              </a:ln>
              <a:effectLst>
                <a:outerShdw blurRad="44450" dist="13970" dir="5400000" algn="ctr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woPt" dir="tl"/>
              </a:scene3d>
              <a:sp3d prstMaterial="flat">
                <a:bevelT w="12700" h="25400" prst="coolSlant"/>
              </a:sp3d>
            </c:spPr>
            <c:extLst>
              <c:ext xmlns:c16="http://schemas.microsoft.com/office/drawing/2014/chart" uri="{C3380CC4-5D6E-409C-BE32-E72D297353CC}">
                <c16:uniqueId val="{00000031-E84D-4FDA-A3C6-3E8EB207BB4C}"/>
              </c:ext>
            </c:extLst>
          </c:dPt>
          <c:dPt>
            <c:idx val="25"/>
            <c:bubble3D val="0"/>
            <c:spPr>
              <a:solidFill>
                <a:schemeClr val="accent2">
                  <a:lumMod val="60000"/>
                  <a:lumOff val="40000"/>
                  <a:shade val="80000"/>
                  <a:satMod val="150000"/>
                </a:schemeClr>
              </a:solidFill>
              <a:ln>
                <a:noFill/>
              </a:ln>
              <a:effectLst>
                <a:outerShdw blurRad="44450" dist="13970" dir="5400000" algn="ctr" rotWithShape="0">
                  <a:srgbClr val="000000">
                    <a:alpha val="4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woPt" dir="tl"/>
              </a:scene3d>
              <a:sp3d prstMaterial="flat">
                <a:bevelT w="12700" h="25400" prst="coolSlant"/>
              </a:sp3d>
            </c:spPr>
            <c:extLst>
              <c:ext xmlns:c16="http://schemas.microsoft.com/office/drawing/2014/chart" uri="{C3380CC4-5D6E-409C-BE32-E72D297353CC}">
                <c16:uniqueId val="{00000033-E84D-4FDA-A3C6-3E8EB207BB4C}"/>
              </c:ext>
            </c:extLst>
          </c:dPt>
          <c:cat>
            <c:strRef>
              <c:f>Hoja1!$A$2:$A$27</c:f>
              <c:strCache>
                <c:ptCount val="26"/>
                <c:pt idx="0">
                  <c:v>Nitrogen Metabolism</c:v>
                </c:pt>
                <c:pt idx="1">
                  <c:v>Stress Response</c:v>
                </c:pt>
                <c:pt idx="2">
                  <c:v>Fatty Acids, Lipids and Isoprenoids</c:v>
                </c:pt>
                <c:pt idx="3">
                  <c:v>Miscellaneous</c:v>
                </c:pt>
                <c:pt idx="4">
                  <c:v>Sulfur Metabolism</c:v>
                </c:pt>
                <c:pt idx="5">
                  <c:v>Respiration</c:v>
                </c:pt>
                <c:pt idx="6">
                  <c:v>Cell Division and Cell Cycle</c:v>
                </c:pt>
                <c:pt idx="7">
                  <c:v>Cell Wall and Capsule</c:v>
                </c:pt>
                <c:pt idx="8">
                  <c:v>Membrane Transport</c:v>
                </c:pt>
                <c:pt idx="9">
                  <c:v>Phage, Prophages, Transponsable elements, Plasmids</c:v>
                </c:pt>
                <c:pt idx="10">
                  <c:v>Iron acquisition and metabolism</c:v>
                </c:pt>
                <c:pt idx="11">
                  <c:v>Dormancy and Sporulation</c:v>
                </c:pt>
                <c:pt idx="12">
                  <c:v>Potassium metabolism</c:v>
                </c:pt>
                <c:pt idx="13">
                  <c:v>RNA metabolism</c:v>
                </c:pt>
                <c:pt idx="14">
                  <c:v>Amino Acids and Derivatives</c:v>
                </c:pt>
                <c:pt idx="15">
                  <c:v>DNA metabolism</c:v>
                </c:pt>
                <c:pt idx="16">
                  <c:v>Phosphorus Metabolism</c:v>
                </c:pt>
                <c:pt idx="17">
                  <c:v>Regulation and Cell signaling</c:v>
                </c:pt>
                <c:pt idx="18">
                  <c:v>Virulence, Disease and Defense</c:v>
                </c:pt>
                <c:pt idx="19">
                  <c:v>Motility and Chemotaxis</c:v>
                </c:pt>
                <c:pt idx="20">
                  <c:v>Secondary Metabolism</c:v>
                </c:pt>
                <c:pt idx="21">
                  <c:v>Carbohydrates</c:v>
                </c:pt>
                <c:pt idx="22">
                  <c:v>Metabolism of Aromatic Compounds</c:v>
                </c:pt>
                <c:pt idx="23">
                  <c:v>Protein Metabolism</c:v>
                </c:pt>
                <c:pt idx="24">
                  <c:v>Cofactor, Vitamins, Prosthetic Groups, Pigments</c:v>
                </c:pt>
                <c:pt idx="25">
                  <c:v>Nucleosides and Nucleotides</c:v>
                </c:pt>
              </c:strCache>
            </c:strRef>
          </c:cat>
          <c:val>
            <c:numRef>
              <c:f>Hoja1!$B$2:$B$27</c:f>
              <c:numCache>
                <c:formatCode>General</c:formatCode>
                <c:ptCount val="26"/>
                <c:pt idx="0">
                  <c:v>20</c:v>
                </c:pt>
                <c:pt idx="1">
                  <c:v>30</c:v>
                </c:pt>
                <c:pt idx="2">
                  <c:v>61</c:v>
                </c:pt>
                <c:pt idx="3">
                  <c:v>12</c:v>
                </c:pt>
                <c:pt idx="4">
                  <c:v>17</c:v>
                </c:pt>
                <c:pt idx="5">
                  <c:v>37</c:v>
                </c:pt>
                <c:pt idx="6">
                  <c:v>6</c:v>
                </c:pt>
                <c:pt idx="7">
                  <c:v>95</c:v>
                </c:pt>
                <c:pt idx="8">
                  <c:v>33</c:v>
                </c:pt>
                <c:pt idx="9">
                  <c:v>10</c:v>
                </c:pt>
                <c:pt idx="10">
                  <c:v>21</c:v>
                </c:pt>
                <c:pt idx="11">
                  <c:v>40</c:v>
                </c:pt>
                <c:pt idx="12">
                  <c:v>8</c:v>
                </c:pt>
                <c:pt idx="13">
                  <c:v>75</c:v>
                </c:pt>
                <c:pt idx="14">
                  <c:v>288</c:v>
                </c:pt>
                <c:pt idx="15">
                  <c:v>76</c:v>
                </c:pt>
                <c:pt idx="16">
                  <c:v>50</c:v>
                </c:pt>
                <c:pt idx="17">
                  <c:v>23</c:v>
                </c:pt>
                <c:pt idx="18">
                  <c:v>79</c:v>
                </c:pt>
                <c:pt idx="19">
                  <c:v>56</c:v>
                </c:pt>
                <c:pt idx="20">
                  <c:v>9</c:v>
                </c:pt>
                <c:pt idx="21">
                  <c:v>301</c:v>
                </c:pt>
                <c:pt idx="22">
                  <c:v>5</c:v>
                </c:pt>
                <c:pt idx="23">
                  <c:v>223</c:v>
                </c:pt>
                <c:pt idx="24">
                  <c:v>143</c:v>
                </c:pt>
                <c:pt idx="25">
                  <c:v>139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34-E84D-4FDA-A3C6-3E8EB207BB4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4510835806293134"/>
          <c:y val="4.1015260336193744E-2"/>
          <c:w val="0.44690973426113406"/>
          <c:h val="0.945033066766426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Palatino Linotype" panose="02040502050505030304" pitchFamily="18" charset="0"/>
              <a:ea typeface="+mn-ea"/>
              <a:cs typeface="Times New Roman" panose="02020603050405020304" pitchFamily="18" charset="0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es-MX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4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2128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 2007-2010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Marco">
    <a:majorFont>
      <a:latin typeface="Corbel" panose="020B0503020204020204"/>
      <a:ea typeface=""/>
      <a:cs typeface=""/>
      <a:font script="Jpan" typeface="ＭＳ ゴシック"/>
      <a:font script="Hang" typeface="HY중고딕"/>
      <a:font script="Hans" typeface="幼圆"/>
      <a:font script="Hant" typeface="微軟正黑體"/>
      <a:font script="Arab" typeface="Tahoma"/>
      <a:font script="Hebr" typeface="Gisha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ahoma"/>
      <a:font script="Uigh" typeface="Microsoft Uighur"/>
      <a:font script="Geor" typeface="Sylfaen"/>
    </a:majorFont>
    <a:minorFont>
      <a:latin typeface="Corbel" panose="020B0503020204020204"/>
      <a:ea typeface=""/>
      <a:cs typeface=""/>
      <a:font script="Jpan" typeface="ＭＳ ゴシック"/>
      <a:font script="Hang" typeface="HY중고딕"/>
      <a:font script="Hans" typeface="幼圆"/>
      <a:font script="Hant" typeface="微軟正黑體"/>
      <a:font script="Arab" typeface="Tahoma"/>
      <a:font script="Hebr" typeface="Gisha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Verdana"/>
      <a:font script="Uigh" typeface="Microsoft Uighur"/>
      <a:font script="Geor" typeface="Sylfaen"/>
    </a:minorFont>
  </a:fontScheme>
  <a:fmtScheme name="Marco">
    <a:fillStyleLst>
      <a:solidFill>
        <a:schemeClr val="phClr"/>
      </a:solidFill>
      <a:solidFill>
        <a:schemeClr val="phClr">
          <a:tint val="65000"/>
        </a:schemeClr>
      </a:solidFill>
      <a:solidFill>
        <a:schemeClr val="phClr">
          <a:shade val="80000"/>
          <a:satMod val="150000"/>
        </a:schemeClr>
      </a:solidFill>
    </a:fillStyleLst>
    <a:lnStyleLst>
      <a:ln w="9525" cap="flat" cmpd="sng" algn="ctr">
        <a:solidFill>
          <a:schemeClr val="phClr"/>
        </a:solidFill>
        <a:prstDash val="solid"/>
      </a:ln>
      <a:ln w="10795" cap="flat" cmpd="sng" algn="ctr">
        <a:solidFill>
          <a:schemeClr val="phClr"/>
        </a:solidFill>
        <a:prstDash val="solid"/>
      </a:ln>
      <a:ln w="17145" cap="flat" cmpd="sng" algn="ctr">
        <a:solidFill>
          <a:schemeClr val="phClr">
            <a:shade val="95000"/>
            <a:alpha val="50000"/>
            <a:satMod val="150000"/>
          </a:schemeClr>
        </a:solidFill>
        <a:prstDash val="solid"/>
      </a:ln>
    </a:lnStyleLst>
    <a:effectStyleLst>
      <a:effectStyle>
        <a:effectLst/>
      </a:effectStyle>
      <a:effectStyle>
        <a:effectLst/>
      </a:effectStyle>
      <a:effectStyle>
        <a:effectLst>
          <a:outerShdw blurRad="44450" dist="13970" dir="5400000" algn="ctr" rotWithShape="0">
            <a:srgbClr val="000000">
              <a:alpha val="45000"/>
            </a:srgbClr>
          </a:outerShdw>
        </a:effectLst>
        <a:scene3d>
          <a:camera prst="orthographicFront">
            <a:rot lat="0" lon="0" rev="0"/>
          </a:camera>
          <a:lightRig rig="twoPt" dir="tl"/>
        </a:scene3d>
        <a:sp3d prstMaterial="flat">
          <a:bevelT w="12700" h="25400" prst="coolSlant"/>
        </a:sp3d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hade val="98000"/>
              <a:satMod val="120000"/>
              <a:lumMod val="102000"/>
            </a:schemeClr>
          </a:gs>
          <a:gs pos="48000">
            <a:schemeClr val="phClr">
              <a:tint val="98000"/>
              <a:shade val="90000"/>
              <a:satMod val="110000"/>
              <a:lumMod val="103000"/>
            </a:schemeClr>
          </a:gs>
          <a:gs pos="100000">
            <a:schemeClr val="phClr">
              <a:tint val="98000"/>
              <a:shade val="80000"/>
              <a:satMod val="10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TSP_Phyton_template.dot</Template>
  <TotalTime>13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Tech Science Press</dc:creator>
  <cp:keywords/>
  <dc:description/>
  <cp:lastModifiedBy>Tech Science Press</cp:lastModifiedBy>
  <cp:revision>4</cp:revision>
  <dcterms:created xsi:type="dcterms:W3CDTF">2025-08-15T01:44:00Z</dcterms:created>
  <dcterms:modified xsi:type="dcterms:W3CDTF">2025-08-15T02:04:00Z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