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C6327" w14:textId="24969923" w:rsidR="00C90743" w:rsidRPr="00CC5345" w:rsidRDefault="00CC5345" w:rsidP="00490CF4">
      <w:pPr>
        <w:jc w:val="center"/>
        <w:rPr>
          <w:rFonts w:ascii="Times New Roman" w:hAnsi="Times New Roman" w:cs="Times New Roman"/>
          <w:sz w:val="44"/>
          <w:szCs w:val="44"/>
        </w:rPr>
      </w:pPr>
      <w:r w:rsidRPr="00CC5345">
        <w:rPr>
          <w:rFonts w:ascii="Times New Roman" w:hAnsi="Times New Roman" w:cs="Times New Roman" w:hint="eastAsia"/>
          <w:sz w:val="44"/>
          <w:szCs w:val="44"/>
        </w:rPr>
        <w:t>Supplementary Materials</w:t>
      </w:r>
    </w:p>
    <w:p w14:paraId="4E942017" w14:textId="77777777" w:rsidR="00714214" w:rsidRPr="00714214" w:rsidRDefault="00714214" w:rsidP="00490CF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F638F6D" w14:textId="77777777" w:rsidR="009E72DC" w:rsidRPr="00390670" w:rsidRDefault="009E72DC" w:rsidP="001F0839">
      <w:pPr>
        <w:ind w:firstLineChars="200" w:firstLine="420"/>
        <w:jc w:val="center"/>
        <w:rPr>
          <w:rFonts w:ascii="Times New Roman" w:eastAsia="宋体" w:hAnsi="Times New Roman" w:cs="Times New Roman"/>
          <w:color w:val="000000"/>
        </w:rPr>
      </w:pPr>
      <w:bookmarkStart w:id="0" w:name="_GoBack"/>
      <w:bookmarkEnd w:id="0"/>
      <w:r w:rsidRPr="00390670">
        <w:rPr>
          <w:rFonts w:ascii="Times New Roman" w:eastAsia="宋体" w:hAnsi="Times New Roman" w:cs="Times New Roman"/>
          <w:color w:val="000000"/>
        </w:rPr>
        <w:t>Table S1: Soil Element Content of Yellow-Brown Earth</w:t>
      </w:r>
    </w:p>
    <w:tbl>
      <w:tblPr>
        <w:tblW w:w="8461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1"/>
        <w:gridCol w:w="3220"/>
      </w:tblGrid>
      <w:tr w:rsidR="009E72DC" w:rsidRPr="00390670" w14:paraId="1AC8EC5D" w14:textId="77777777" w:rsidTr="009E72DC">
        <w:trPr>
          <w:trHeight w:val="113"/>
          <w:tblHeader/>
          <w:jc w:val="center"/>
        </w:trPr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9824D25" w14:textId="268D6CA3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  <w:t>Element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D66AB7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  <w:t>Content Range</w:t>
            </w:r>
          </w:p>
        </w:tc>
      </w:tr>
      <w:tr w:rsidR="009E72DC" w:rsidRPr="00390670" w14:paraId="5E91E6BB" w14:textId="77777777" w:rsidTr="009E72DC">
        <w:trPr>
          <w:trHeight w:val="113"/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29206542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Total Nitrogen (N)</w:t>
            </w:r>
          </w:p>
        </w:tc>
        <w:tc>
          <w:tcPr>
            <w:tcW w:w="0" w:type="auto"/>
            <w:tcBorders>
              <w:top w:val="single" w:sz="6" w:space="0" w:color="000000" w:themeColor="text1"/>
              <w:left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D954AA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0.05% - 0.25%</w:t>
            </w:r>
          </w:p>
        </w:tc>
      </w:tr>
      <w:tr w:rsidR="009E72DC" w:rsidRPr="00390670" w14:paraId="18C8428D" w14:textId="77777777" w:rsidTr="009E72DC">
        <w:trPr>
          <w:trHeight w:val="113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1E4D8022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Available Phosphorus (P)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3956EB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5 - 30 mg/kg</w:t>
            </w:r>
          </w:p>
        </w:tc>
      </w:tr>
      <w:tr w:rsidR="009E72DC" w:rsidRPr="00390670" w14:paraId="741A0562" w14:textId="77777777" w:rsidTr="009E72DC">
        <w:trPr>
          <w:trHeight w:val="113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5ADD225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Exchangeable Potassium (K)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63B4C1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80 - 200 mg/kg</w:t>
            </w:r>
          </w:p>
        </w:tc>
      </w:tr>
      <w:tr w:rsidR="009E72DC" w:rsidRPr="00390670" w14:paraId="461F8A28" w14:textId="77777777" w:rsidTr="009E72DC">
        <w:trPr>
          <w:trHeight w:val="113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254D866D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Calcium (Ca)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2AC6F6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0.5% - 3.0%</w:t>
            </w:r>
          </w:p>
        </w:tc>
      </w:tr>
      <w:tr w:rsidR="009E72DC" w:rsidRPr="00390670" w14:paraId="6DEEC46F" w14:textId="77777777" w:rsidTr="009E72DC">
        <w:trPr>
          <w:trHeight w:val="113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304029D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Magnesium (Mg)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E511F6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0.2% - 1.0%</w:t>
            </w:r>
          </w:p>
        </w:tc>
      </w:tr>
      <w:tr w:rsidR="009E72DC" w:rsidRPr="00390670" w14:paraId="3B71027B" w14:textId="77777777" w:rsidTr="009E72DC">
        <w:trPr>
          <w:trHeight w:val="113"/>
          <w:jc w:val="center"/>
        </w:trPr>
        <w:tc>
          <w:tcPr>
            <w:tcW w:w="0" w:type="auto"/>
            <w:tcBorders>
              <w:bottom w:val="single" w:sz="12" w:space="0" w:color="000000" w:themeColor="text1"/>
            </w:tcBorders>
            <w:shd w:val="clear" w:color="auto" w:fill="FDFDFE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BF2CDC2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Style w:val="af3"/>
                <w:rFonts w:ascii="Times New Roman" w:hAnsi="Times New Roman" w:cs="Times New Roman"/>
                <w:b w:val="0"/>
                <w:bCs w:val="0"/>
                <w:color w:val="404040"/>
                <w:szCs w:val="21"/>
              </w:rPr>
              <w:t>Organic Matter</w:t>
            </w:r>
          </w:p>
        </w:tc>
        <w:tc>
          <w:tcPr>
            <w:tcW w:w="0" w:type="auto"/>
            <w:tcBorders>
              <w:bottom w:val="single" w:sz="12" w:space="0" w:color="000000" w:themeColor="text1"/>
            </w:tcBorders>
            <w:shd w:val="clear" w:color="auto" w:fill="FDFD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CCC79FF" w14:textId="77777777" w:rsidR="009E72DC" w:rsidRPr="00390670" w:rsidRDefault="009E72DC" w:rsidP="009E72D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Cs w:val="21"/>
              </w:rPr>
            </w:pPr>
            <w:r w:rsidRPr="00390670">
              <w:rPr>
                <w:rFonts w:ascii="Times New Roman" w:hAnsi="Times New Roman" w:cs="Times New Roman"/>
                <w:color w:val="404040"/>
                <w:szCs w:val="21"/>
              </w:rPr>
              <w:t>1% - 6%</w:t>
            </w:r>
          </w:p>
        </w:tc>
      </w:tr>
    </w:tbl>
    <w:p w14:paraId="564AED7B" w14:textId="500ECCEC" w:rsidR="00714214" w:rsidRPr="00390670" w:rsidRDefault="00714214">
      <w:pPr>
        <w:rPr>
          <w:rFonts w:ascii="Times New Roman" w:hAnsi="Times New Roman" w:cs="Times New Roman"/>
        </w:rPr>
      </w:pPr>
    </w:p>
    <w:p w14:paraId="3E6642EB" w14:textId="3B573292" w:rsidR="00D35756" w:rsidRPr="00390670" w:rsidRDefault="00300BD5" w:rsidP="00D35756">
      <w:pPr>
        <w:ind w:firstLineChars="200" w:firstLine="420"/>
        <w:jc w:val="center"/>
        <w:rPr>
          <w:rFonts w:ascii="Times New Roman" w:eastAsia="宋体" w:hAnsi="Times New Roman" w:cs="Times New Roman"/>
          <w:color w:val="000000"/>
        </w:rPr>
      </w:pPr>
      <w:r w:rsidRPr="00390670">
        <w:rPr>
          <w:rFonts w:ascii="Times New Roman" w:eastAsia="宋体" w:hAnsi="Times New Roman" w:cs="Times New Roman"/>
          <w:color w:val="000000"/>
        </w:rPr>
        <w:t xml:space="preserve">Table </w:t>
      </w:r>
      <w:r w:rsidR="00344ED9" w:rsidRPr="00390670">
        <w:rPr>
          <w:rFonts w:ascii="Times New Roman" w:eastAsia="宋体" w:hAnsi="Times New Roman" w:cs="Times New Roman"/>
          <w:color w:val="000000"/>
        </w:rPr>
        <w:t>S</w:t>
      </w:r>
      <w:r w:rsidR="00FE535C" w:rsidRPr="00390670">
        <w:rPr>
          <w:rFonts w:ascii="Times New Roman" w:eastAsia="宋体" w:hAnsi="Times New Roman" w:cs="Times New Roman"/>
          <w:color w:val="000000"/>
        </w:rPr>
        <w:t>2</w:t>
      </w:r>
      <w:r w:rsidRPr="00390670">
        <w:rPr>
          <w:rFonts w:ascii="Times New Roman" w:eastAsia="宋体" w:hAnsi="Times New Roman" w:cs="Times New Roman"/>
          <w:color w:val="000000"/>
        </w:rPr>
        <w:t>: Chemical Indicators and Coordination of Flue-cured Tobacco Leaves After Curing in Different Regions</w:t>
      </w:r>
    </w:p>
    <w:tbl>
      <w:tblPr>
        <w:tblStyle w:val="af2"/>
        <w:tblW w:w="1622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06"/>
        <w:gridCol w:w="1319"/>
        <w:gridCol w:w="1641"/>
        <w:gridCol w:w="1277"/>
        <w:gridCol w:w="1226"/>
        <w:gridCol w:w="1191"/>
        <w:gridCol w:w="1059"/>
        <w:gridCol w:w="1394"/>
        <w:gridCol w:w="1418"/>
        <w:gridCol w:w="1684"/>
        <w:gridCol w:w="1497"/>
      </w:tblGrid>
      <w:tr w:rsidR="001C110B" w:rsidRPr="00390670" w14:paraId="79880AA9" w14:textId="77777777" w:rsidTr="001C110B">
        <w:trPr>
          <w:trHeight w:val="714"/>
          <w:jc w:val="center"/>
        </w:trPr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74221938" w14:textId="00283462" w:rsidR="00D35756" w:rsidRPr="00390670" w:rsidRDefault="00B22AB4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Tobacco-growing County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5B2E701B" w14:textId="4E17F454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Nicotine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1F8F91E7" w14:textId="1972EF25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 xml:space="preserve">Total </w:t>
            </w: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Sugar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1DD1971" w14:textId="694D1762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 xml:space="preserve">Reducing </w:t>
            </w: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Sugar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A25EBAC" w14:textId="3932E67E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 xml:space="preserve">Total </w:t>
            </w: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Nitrogen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BCF2DB5" w14:textId="4D870C9A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Potassium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119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61934EB" w14:textId="50FB4F67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Chlorine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010161B" w14:textId="54220BFE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gramStart"/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Starch</w:t>
            </w:r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(</w:t>
            </w:r>
            <w:proofErr w:type="gramEnd"/>
            <w:r w:rsidR="00390670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42CD1AA" w14:textId="153C1F40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Sugar to Nicotine Ratio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744805" w14:textId="3303953E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Nitrogen to Nicotine Ratio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5FB9274" w14:textId="6A20310D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Reducing Sugar to Total Sugar Ratio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2E2D2F" w14:textId="06A56115" w:rsidR="00D35756" w:rsidRPr="00390670" w:rsidRDefault="009540FB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Potassium to Chlorine Ratio</w:t>
            </w:r>
          </w:p>
        </w:tc>
      </w:tr>
      <w:tr w:rsidR="001C110B" w:rsidRPr="00390670" w14:paraId="00656FC9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single" w:sz="6" w:space="0" w:color="auto"/>
              <w:bottom w:val="nil"/>
            </w:tcBorders>
            <w:noWrap/>
            <w:vAlign w:val="center"/>
            <w:hideMark/>
          </w:tcPr>
          <w:p w14:paraId="730DE423" w14:textId="4F278CEE" w:rsidR="00D35756" w:rsidRPr="00390670" w:rsidRDefault="00F70108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Changshun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FE89" w14:textId="34E7322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2.87±0.04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B64B" w14:textId="050AECC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26.69±0.52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4411" w14:textId="4FE2BE9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19.05±0.24</w:t>
            </w:r>
            <w:r w:rsidR="00CB7FCB">
              <w:rPr>
                <w:rFonts w:ascii="Times New Roman" w:eastAsia="宋体" w:hAnsi="Times New Roman" w:cs="Times New Roman"/>
                <w:sz w:val="18"/>
                <w:szCs w:val="20"/>
              </w:rPr>
              <w:t xml:space="preserve"> 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70A844CC" w14:textId="29544BF5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1.96±0.03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264336F" w14:textId="64B5F76D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2.56±0.09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915DD66" w14:textId="5CD894F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0.11±0.01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d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751D" w14:textId="56A231CC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4.08±0.05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C28A8F6" w14:textId="005B25D4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9.31±0.27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EE6AD86" w14:textId="122F3CF1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0.68±0.01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29BC472" w14:textId="3B9377DA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0.71±0.02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CCC304B" w14:textId="7B8BCD8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22.6±0.73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</w:tr>
      <w:tr w:rsidR="001C110B" w:rsidRPr="00390670" w14:paraId="4566E93A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E7E30E2" w14:textId="2C57B557" w:rsidR="00D35756" w:rsidRPr="00390670" w:rsidRDefault="00F70108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Weining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3727" w14:textId="591F778E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2.76±0.1</w:t>
            </w:r>
            <w:r w:rsidR="00C8418D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0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AE5C" w14:textId="7463AD2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26.68±3.03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B512" w14:textId="6983EAAA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20.34±3.53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64F79" w14:textId="72B3522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1.96±0.05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3D04A" w14:textId="0BD8281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0.38±0.01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A8020" w14:textId="7F5A474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0.44±0.03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0BEA" w14:textId="753EE36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3.54±0.62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FE401" w14:textId="313B4BE7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9.68±1.04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AC598" w14:textId="7F993274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0.71±0.04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19C7" w14:textId="12E3EC67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0.76±0.06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8E507" w14:textId="601B7B44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0.89±0.06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f</w:t>
            </w:r>
          </w:p>
        </w:tc>
      </w:tr>
      <w:tr w:rsidR="001C110B" w:rsidRPr="00390670" w14:paraId="31E245C9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80E2BF1" w14:textId="4215DBFC" w:rsidR="00D35756" w:rsidRPr="00390670" w:rsidRDefault="00F70108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Anlong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762B" w14:textId="5E6EBB97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2.9</w:t>
            </w:r>
            <w:r w:rsidR="00C8418D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0</w:t>
            </w: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±0.11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439D" w14:textId="45628ECA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24.93±2.66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9868" w14:textId="0CE41E3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19.14±0.61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3945D" w14:textId="54E7B45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2.03±0.13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F91AC" w14:textId="4997CF2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1.10±0.01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43DD1" w14:textId="0020CBF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0.33±0.02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3598" w14:textId="1BE148BB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4.34±0.39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8EAAC" w14:textId="1836A22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8.64±1.18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FBC66" w14:textId="309DFBF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</w:t>
            </w:r>
            <w:r w:rsidR="00C8418D">
              <w:rPr>
                <w:rFonts w:ascii="Times New Roman" w:eastAsia="等线" w:hAnsi="Times New Roman" w:cs="Times New Roman" w:hint="eastAsia"/>
                <w:sz w:val="18"/>
                <w:szCs w:val="20"/>
              </w:rPr>
              <w:t>0</w:t>
            </w: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±0.04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B6ED2" w14:textId="7F4AC11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0.78±0.11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738FD" w14:textId="431F833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3.39±0.25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e</w:t>
            </w:r>
          </w:p>
        </w:tc>
      </w:tr>
      <w:tr w:rsidR="001C110B" w:rsidRPr="00390670" w14:paraId="7278F81F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09BFDDF" w14:textId="4E384912" w:rsidR="00D35756" w:rsidRPr="00390670" w:rsidRDefault="00A37269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Pingba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234A" w14:textId="4A8019C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2.73±0.31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881B" w14:textId="61987AB5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29.25±2.84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2C75" w14:textId="087A7F35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21.9</w:t>
            </w:r>
            <w:r w:rsidR="00C8418D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0</w:t>
            </w: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±3.04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94444" w14:textId="68A137A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1.9</w:t>
            </w:r>
            <w:r w:rsidR="00C8418D">
              <w:rPr>
                <w:rFonts w:ascii="Times New Roman" w:eastAsia="宋体" w:hAnsi="Times New Roman" w:cs="Times New Roman" w:hint="eastAsia"/>
                <w:sz w:val="18"/>
                <w:szCs w:val="20"/>
              </w:rPr>
              <w:t>0</w:t>
            </w: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±0.21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CD4A5" w14:textId="6E84A62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1.08±0.03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6A604" w14:textId="2EE9D6A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0.23±0.03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CCC1" w14:textId="7205B3C7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4.1±0.46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822" w14:textId="16C354D7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10.97±2.27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DF909" w14:textId="35977FB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0.69±0</w:t>
            </w:r>
            <w:r w:rsidR="00C8418D">
              <w:rPr>
                <w:rFonts w:ascii="Times New Roman" w:eastAsia="等线" w:hAnsi="Times New Roman" w:cs="Times New Roman" w:hint="eastAsia"/>
                <w:sz w:val="18"/>
                <w:szCs w:val="20"/>
              </w:rPr>
              <w:t>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8917" w14:textId="1FF6456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0.75±0.03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0162" w14:textId="0E6C82A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4.76±0.71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cd</w:t>
            </w:r>
          </w:p>
        </w:tc>
      </w:tr>
      <w:tr w:rsidR="001C110B" w:rsidRPr="00390670" w14:paraId="3F2D5894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5D3B047" w14:textId="284A8737" w:rsidR="00D35756" w:rsidRPr="00390670" w:rsidRDefault="00A37269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Jinsha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66BD" w14:textId="40274DC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3.49±0.76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3D6C" w14:textId="7761D4E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24.74±2.13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2D20" w14:textId="49BEB404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18.15±0.42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51D1C" w14:textId="46BAF415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2.22±0.33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A9803" w14:textId="3E1276E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1.22±0.01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c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66096" w14:textId="6511CCE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0.22±0.01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4EDA" w14:textId="1E7063E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3.75±0.16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204C5" w14:textId="68AE2953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7.51±1.94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DD1E9" w14:textId="6BA7496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0.64±0.05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A910B" w14:textId="7979929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0.74±0.07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B0BB7" w14:textId="2BA470BC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5.66±0.22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</w:tr>
      <w:tr w:rsidR="001C110B" w:rsidRPr="00390670" w14:paraId="1D766B74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9ABEB39" w14:textId="0F1E8503" w:rsidR="00D35756" w:rsidRPr="00390670" w:rsidRDefault="00A37269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Yinjiang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D228" w14:textId="33204B8E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3.06±0.15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2A50" w14:textId="7321E27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29.75±2.37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1A7A" w14:textId="46D01B8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20.88±3.3</w:t>
            </w:r>
            <w:r w:rsidR="001C110B"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0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284E0" w14:textId="42E2D0E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1.98±0.13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054F4" w14:textId="16E5F5B2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1.41±0.01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7C45F" w14:textId="32FAAD1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0.33±0.02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3F09" w14:textId="2A3D85AD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4.67±0.66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023E6" w14:textId="10351CB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9.71±0.31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DEA0C" w14:textId="6D0C1DEF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0.65±0.07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8B0BE" w14:textId="6BCFF93D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0.7±0.06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12F74" w14:textId="1C09B39A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4.33±0.29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de</w:t>
            </w:r>
          </w:p>
        </w:tc>
      </w:tr>
      <w:tr w:rsidR="001C110B" w:rsidRPr="00390670" w14:paraId="785F568B" w14:textId="77777777" w:rsidTr="001C110B">
        <w:trPr>
          <w:trHeight w:val="396"/>
          <w:jc w:val="center"/>
        </w:trPr>
        <w:tc>
          <w:tcPr>
            <w:tcW w:w="1417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30513C9" w14:textId="1E0A7671" w:rsidR="00D35756" w:rsidRPr="00390670" w:rsidRDefault="00A37269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Bozhou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4ED45" w14:textId="03B79929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2.63±0.33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F5573" w14:textId="5066055B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30.48±6.73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DC70A" w14:textId="2F1249B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21.86±4.98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E98F31" w14:textId="2DC918AB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1.83±0.36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4272C5C" w14:textId="4131BE2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1.40±0.01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DDD8C14" w14:textId="3E61F384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0.22±0.01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3C01F" w14:textId="36CF2A0E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20"/>
              </w:rPr>
              <w:t>5.56±1.92</w:t>
            </w:r>
            <w:r w:rsidR="00C8418D" w:rsidRPr="00C8418D">
              <w:rPr>
                <w:rFonts w:ascii="Times New Roman" w:eastAsia="宋体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FE2B79" w14:textId="057AA0E6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12.14±4.42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BD67C00" w14:textId="3A0F8148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0.69±0.06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E5FEAF0" w14:textId="6D49BB90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0.72±0.01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0C4C8FC" w14:textId="6C42A04D" w:rsidR="00D35756" w:rsidRPr="00390670" w:rsidRDefault="00D35756" w:rsidP="00D35756">
            <w:pPr>
              <w:jc w:val="center"/>
              <w:rPr>
                <w:rFonts w:ascii="Times New Roman" w:eastAsia="宋体" w:hAnsi="Times New Roman" w:cs="Times New Roman"/>
                <w:sz w:val="18"/>
                <w:szCs w:val="20"/>
              </w:rPr>
            </w:pPr>
            <w:r w:rsidRPr="00390670">
              <w:rPr>
                <w:rFonts w:ascii="Times New Roman" w:eastAsia="等线" w:hAnsi="Times New Roman" w:cs="Times New Roman"/>
                <w:sz w:val="18"/>
                <w:szCs w:val="20"/>
              </w:rPr>
              <w:t>6.46±0.33</w:t>
            </w:r>
            <w:r w:rsidR="00C8418D" w:rsidRPr="00C8418D">
              <w:rPr>
                <w:rFonts w:ascii="Times New Roman" w:eastAsia="等线" w:hAnsi="Times New Roman" w:cs="Times New Roman"/>
                <w:sz w:val="18"/>
                <w:szCs w:val="20"/>
                <w:vertAlign w:val="superscript"/>
              </w:rPr>
              <w:t>bc</w:t>
            </w:r>
          </w:p>
        </w:tc>
      </w:tr>
    </w:tbl>
    <w:p w14:paraId="3344A152" w14:textId="5D51B45F" w:rsidR="0042710C" w:rsidRPr="00390670" w:rsidRDefault="0042710C" w:rsidP="0042710C">
      <w:pPr>
        <w:rPr>
          <w:rFonts w:ascii="Times New Roman" w:hAnsi="Times New Roman" w:cs="Times New Roman"/>
        </w:rPr>
      </w:pPr>
      <w:r w:rsidRPr="00390670">
        <w:rPr>
          <w:rFonts w:ascii="Times New Roman" w:hAnsi="Times New Roman" w:cs="Times New Roman"/>
        </w:rPr>
        <w:t>Note:</w:t>
      </w:r>
      <w:bookmarkStart w:id="1" w:name="_Hlk202695636"/>
      <w:r w:rsidR="00335EB1" w:rsidRPr="00335EB1">
        <w:rPr>
          <w:rFonts w:hint="eastAsia"/>
        </w:rPr>
        <w:t xml:space="preserve"> </w:t>
      </w:r>
      <w:r w:rsidR="00335EB1" w:rsidRPr="00335EB1">
        <w:rPr>
          <w:rFonts w:ascii="Times New Roman" w:hAnsi="Times New Roman" w:cs="Times New Roman" w:hint="eastAsia"/>
        </w:rPr>
        <w:t xml:space="preserve">Values are presented as means </w:t>
      </w:r>
      <w:r w:rsidR="00335EB1" w:rsidRPr="00335EB1">
        <w:rPr>
          <w:rFonts w:ascii="Times New Roman" w:hAnsi="Times New Roman" w:cs="Times New Roman" w:hint="eastAsia"/>
        </w:rPr>
        <w:t>±</w:t>
      </w:r>
      <w:r w:rsidR="00335EB1" w:rsidRPr="00335EB1">
        <w:rPr>
          <w:rFonts w:ascii="Times New Roman" w:hAnsi="Times New Roman" w:cs="Times New Roman" w:hint="eastAsia"/>
        </w:rPr>
        <w:t xml:space="preserve"> standard errors (SE). Different lowercase superscript letters (e.g., a</w:t>
      </w:r>
      <w:r w:rsidR="00335EB1" w:rsidRPr="00335EB1">
        <w:rPr>
          <w:rFonts w:ascii="Times New Roman" w:hAnsi="Times New Roman" w:cs="Times New Roman" w:hint="eastAsia"/>
        </w:rPr>
        <w:t>–</w:t>
      </w:r>
      <w:r w:rsidR="00335EB1" w:rsidRPr="00335EB1">
        <w:rPr>
          <w:rFonts w:ascii="Times New Roman" w:hAnsi="Times New Roman" w:cs="Times New Roman" w:hint="eastAsia"/>
        </w:rPr>
        <w:t>f) within the same column indicate significant differences in specific chemical composition factors among tobacco-growing counties according to Duncan</w:t>
      </w:r>
      <w:r w:rsidR="00335EB1" w:rsidRPr="00335EB1">
        <w:rPr>
          <w:rFonts w:ascii="Times New Roman" w:hAnsi="Times New Roman" w:cs="Times New Roman" w:hint="eastAsia"/>
        </w:rPr>
        <w:t>’</w:t>
      </w:r>
      <w:r w:rsidR="00335EB1" w:rsidRPr="00335EB1">
        <w:rPr>
          <w:rFonts w:ascii="Times New Roman" w:hAnsi="Times New Roman" w:cs="Times New Roman" w:hint="eastAsia"/>
        </w:rPr>
        <w:t>s multiple range test (</w:t>
      </w:r>
      <w:r w:rsidR="00335EB1" w:rsidRPr="00AD4B23">
        <w:rPr>
          <w:rFonts w:ascii="Times New Roman" w:hAnsi="Times New Roman" w:cs="Times New Roman" w:hint="eastAsia"/>
          <w:i/>
          <w:iCs/>
        </w:rPr>
        <w:t xml:space="preserve">p </w:t>
      </w:r>
      <w:r w:rsidR="00335EB1" w:rsidRPr="00335EB1">
        <w:rPr>
          <w:rFonts w:ascii="Times New Roman" w:hAnsi="Times New Roman" w:cs="Times New Roman" w:hint="eastAsia"/>
        </w:rPr>
        <w:t>&lt; 0.05).</w:t>
      </w:r>
    </w:p>
    <w:bookmarkEnd w:id="1"/>
    <w:p w14:paraId="180759D7" w14:textId="43311528" w:rsidR="00390670" w:rsidRPr="00AF3551" w:rsidRDefault="00AF3551" w:rsidP="00AF3551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6860ED" w14:textId="1B3BD931" w:rsidR="00300BD5" w:rsidRPr="00390670" w:rsidRDefault="00300BD5" w:rsidP="00300BD5">
      <w:pPr>
        <w:jc w:val="center"/>
        <w:rPr>
          <w:rFonts w:ascii="Times New Roman" w:eastAsia="宋体" w:hAnsi="Times New Roman" w:cs="Times New Roman"/>
          <w:color w:val="000000"/>
        </w:rPr>
      </w:pPr>
      <w:r w:rsidRPr="00390670">
        <w:rPr>
          <w:rFonts w:ascii="Times New Roman" w:eastAsia="宋体" w:hAnsi="Times New Roman" w:cs="Times New Roman"/>
          <w:color w:val="000000"/>
        </w:rPr>
        <w:lastRenderedPageBreak/>
        <w:t xml:space="preserve">Table </w:t>
      </w:r>
      <w:r w:rsidR="00344ED9" w:rsidRPr="00390670">
        <w:rPr>
          <w:rFonts w:ascii="Times New Roman" w:eastAsia="宋体" w:hAnsi="Times New Roman" w:cs="Times New Roman"/>
          <w:color w:val="000000"/>
        </w:rPr>
        <w:t>S</w:t>
      </w:r>
      <w:r w:rsidR="00FE535C" w:rsidRPr="00390670">
        <w:rPr>
          <w:rFonts w:ascii="Times New Roman" w:eastAsia="宋体" w:hAnsi="Times New Roman" w:cs="Times New Roman"/>
          <w:color w:val="000000"/>
        </w:rPr>
        <w:t>3</w:t>
      </w:r>
      <w:r w:rsidRPr="00390670">
        <w:rPr>
          <w:rFonts w:ascii="Times New Roman" w:eastAsia="宋体" w:hAnsi="Times New Roman" w:cs="Times New Roman"/>
          <w:color w:val="000000"/>
        </w:rPr>
        <w:t>: Meteorological Factors Conditions in Different Regions</w:t>
      </w:r>
    </w:p>
    <w:tbl>
      <w:tblPr>
        <w:tblStyle w:val="af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4"/>
        <w:gridCol w:w="1646"/>
        <w:gridCol w:w="1765"/>
        <w:gridCol w:w="1765"/>
        <w:gridCol w:w="1765"/>
        <w:gridCol w:w="1765"/>
        <w:gridCol w:w="1766"/>
      </w:tblGrid>
      <w:tr w:rsidR="00D35756" w:rsidRPr="00390670" w14:paraId="5D40D778" w14:textId="77777777" w:rsidTr="00EF0D24">
        <w:trPr>
          <w:trHeight w:val="343"/>
        </w:trPr>
        <w:tc>
          <w:tcPr>
            <w:tcW w:w="2194" w:type="dxa"/>
            <w:vMerge w:val="restart"/>
            <w:tcBorders>
              <w:top w:val="single" w:sz="12" w:space="0" w:color="auto"/>
            </w:tcBorders>
            <w:vAlign w:val="center"/>
          </w:tcPr>
          <w:p w14:paraId="317D1269" w14:textId="133E6CE7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Meteorological Factors</w:t>
            </w:r>
          </w:p>
        </w:tc>
        <w:tc>
          <w:tcPr>
            <w:tcW w:w="1646" w:type="dxa"/>
            <w:vMerge w:val="restart"/>
            <w:tcBorders>
              <w:top w:val="single" w:sz="12" w:space="0" w:color="auto"/>
            </w:tcBorders>
            <w:vAlign w:val="center"/>
          </w:tcPr>
          <w:p w14:paraId="263822E8" w14:textId="0932EC6E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Tobacco-growing County</w:t>
            </w:r>
          </w:p>
        </w:tc>
        <w:tc>
          <w:tcPr>
            <w:tcW w:w="8826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9FF32D" w14:textId="5B05F244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months</w:t>
            </w:r>
          </w:p>
        </w:tc>
      </w:tr>
      <w:tr w:rsidR="00D35756" w:rsidRPr="00390670" w14:paraId="6A772C6F" w14:textId="77777777" w:rsidTr="0042710C">
        <w:trPr>
          <w:trHeight w:val="343"/>
        </w:trPr>
        <w:tc>
          <w:tcPr>
            <w:tcW w:w="2194" w:type="dxa"/>
            <w:vMerge/>
            <w:tcBorders>
              <w:bottom w:val="single" w:sz="6" w:space="0" w:color="auto"/>
            </w:tcBorders>
            <w:vAlign w:val="center"/>
          </w:tcPr>
          <w:p w14:paraId="1B96F36F" w14:textId="77777777" w:rsidR="00D35756" w:rsidRPr="00390670" w:rsidRDefault="00D35756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46" w:type="dxa"/>
            <w:vMerge/>
            <w:tcBorders>
              <w:bottom w:val="single" w:sz="6" w:space="0" w:color="auto"/>
            </w:tcBorders>
            <w:vAlign w:val="center"/>
          </w:tcPr>
          <w:p w14:paraId="09059ED4" w14:textId="77777777" w:rsidR="00D35756" w:rsidRPr="00390670" w:rsidRDefault="00D35756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7AAD2A7" w14:textId="4A9B6815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April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F602DE1" w14:textId="7D991EF6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May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7CCE915" w14:textId="3F815B9A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June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B168407" w14:textId="7996B942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July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9D3B944" w14:textId="5082A65A" w:rsidR="00D35756" w:rsidRPr="00390670" w:rsidRDefault="00B22AB4" w:rsidP="00D3575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90670">
              <w:rPr>
                <w:rFonts w:ascii="Times New Roman" w:eastAsia="宋体" w:hAnsi="Times New Roman" w:cs="Times New Roman"/>
                <w:szCs w:val="21"/>
              </w:rPr>
              <w:t>August</w:t>
            </w:r>
          </w:p>
        </w:tc>
      </w:tr>
      <w:tr w:rsidR="00B22AB4" w:rsidRPr="00390670" w14:paraId="393DA236" w14:textId="77777777" w:rsidTr="0042710C">
        <w:trPr>
          <w:trHeight w:val="343"/>
        </w:trPr>
        <w:tc>
          <w:tcPr>
            <w:tcW w:w="2194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78F08A25" w14:textId="3C5D799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18"/>
              </w:rPr>
              <w:t>Precipitation (mm)</w:t>
            </w:r>
          </w:p>
        </w:tc>
        <w:tc>
          <w:tcPr>
            <w:tcW w:w="1646" w:type="dxa"/>
            <w:tcBorders>
              <w:top w:val="single" w:sz="6" w:space="0" w:color="auto"/>
              <w:bottom w:val="nil"/>
            </w:tcBorders>
            <w:vAlign w:val="center"/>
          </w:tcPr>
          <w:p w14:paraId="3EF095E4" w14:textId="5D72746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Changshun</w:t>
            </w:r>
            <w:proofErr w:type="spellEnd"/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32DC3" w14:textId="6D7215B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91.4±1.83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dE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F54D4" w14:textId="70A8CAF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277.1±6.08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60B54" w14:textId="22DC766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344±10.31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D65D7" w14:textId="5DDC54B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156.7±0.28</w:t>
            </w:r>
            <w:r w:rsidR="00D33DDD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cD</w:t>
            </w:r>
            <w:proofErr w:type="spellEnd"/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8B828" w14:textId="100EDA0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180.4±0.76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</w:tr>
      <w:tr w:rsidR="00B22AB4" w:rsidRPr="00390670" w14:paraId="3E5E9A46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0C84B6A1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5A5EFD21" w14:textId="2039076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Weining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1AF23" w14:textId="1230E1C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29±1.1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fE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88484" w14:textId="4F59125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76.8±2.58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09BA3" w14:textId="3B08E40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155.3±4.63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9467" w14:textId="20EB686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178.1±3.03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D2B9B" w14:textId="57CF2F7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134.5±8.82</w:t>
            </w:r>
            <w:r w:rsidR="00D33DDD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cC</w:t>
            </w:r>
            <w:proofErr w:type="spellEnd"/>
          </w:p>
        </w:tc>
      </w:tr>
      <w:tr w:rsidR="00B22AB4" w:rsidRPr="00390670" w14:paraId="587D7A71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4E51356A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1C7AF003" w14:textId="6FEA041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Anlong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66806" w14:textId="08D9AE1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39.7±0.93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18C38" w14:textId="39BACC7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164.8±6.67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CF23F" w14:textId="3E24DAB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218.2±13.93</w:t>
            </w:r>
            <w:r w:rsidR="008D0B22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cB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633AD" w14:textId="2D6346B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220±4.9</w:t>
            </w:r>
            <w:r w:rsidR="00D33DDD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9570F" w14:textId="5424174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369.6±23.58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</w:tr>
      <w:tr w:rsidR="00B22AB4" w:rsidRPr="00390670" w14:paraId="4E79DC90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60CF3065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078074DA" w14:textId="5821812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Pingba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F80B9" w14:textId="6F84D93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118.4±4.79</w:t>
            </w:r>
            <w:r w:rsidR="00E13CE4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cD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A1584" w14:textId="12F8D94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280.8±4.11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860C4" w14:textId="2D9469D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350±5.64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503C3" w14:textId="6447CB6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84.1±0.4</w:t>
            </w:r>
            <w:r w:rsidR="00D33DDD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eE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E3165" w14:textId="7889565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202.2±8.9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</w:tr>
      <w:tr w:rsidR="00B22AB4" w:rsidRPr="00390670" w14:paraId="3F2143C1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40F573B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4B9240E2" w14:textId="49E7C74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Jinsha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FFEC2" w14:textId="4FD6DEA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98±0.78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D3E73" w14:textId="21A4CE0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110.7±3.21</w:t>
            </w:r>
            <w:r w:rsidR="008D0B22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cB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1CA25" w14:textId="335DF67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214.4±11.63</w:t>
            </w:r>
            <w:r w:rsidR="008D0B22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cA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4DDC1" w14:textId="250547B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80.9±3.45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C4007" w14:textId="651E065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84.6±2.53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dCD</w:t>
            </w:r>
          </w:p>
        </w:tc>
      </w:tr>
      <w:tr w:rsidR="00B22AB4" w:rsidRPr="00390670" w14:paraId="66FEBBB6" w14:textId="77777777" w:rsidTr="00DE2DA5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7A311C93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49222EF5" w14:textId="7844F0C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Yinjiang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05B13" w14:textId="7E08011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230.1±5.82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2BB39" w14:textId="7269281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103.5±6.59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552F2" w14:textId="2F10E71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108±2.59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BF491" w14:textId="4AAFAC4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94.6±1.26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232AC" w14:textId="6B797A3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53.9±3.21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eD</w:t>
            </w:r>
          </w:p>
        </w:tc>
      </w:tr>
      <w:tr w:rsidR="00B22AB4" w:rsidRPr="00390670" w14:paraId="0416000D" w14:textId="77777777" w:rsidTr="00DE2DA5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55741D0B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single" w:sz="6" w:space="0" w:color="auto"/>
            </w:tcBorders>
            <w:vAlign w:val="center"/>
          </w:tcPr>
          <w:p w14:paraId="628B065C" w14:textId="63BB9E1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Bozhou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0A7FEFAF" w14:textId="6EE7939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134±6.59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91AD481" w14:textId="72939AF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121±3.7</w:t>
            </w:r>
            <w:r w:rsidR="008D0B22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cD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45574117" w14:textId="3A6A512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243±7.5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F68DC3B" w14:textId="6476B4C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228.7±6.9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34D5AB36" w14:textId="64EBE95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57.3±1.26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eE</w:t>
            </w:r>
          </w:p>
        </w:tc>
      </w:tr>
      <w:tr w:rsidR="00B22AB4" w:rsidRPr="00390670" w14:paraId="1848AA53" w14:textId="77777777" w:rsidTr="0042710C">
        <w:trPr>
          <w:trHeight w:val="343"/>
        </w:trPr>
        <w:tc>
          <w:tcPr>
            <w:tcW w:w="2194" w:type="dxa"/>
            <w:vMerge w:val="restart"/>
            <w:tcBorders>
              <w:top w:val="nil"/>
              <w:bottom w:val="nil"/>
            </w:tcBorders>
            <w:vAlign w:val="center"/>
          </w:tcPr>
          <w:p w14:paraId="5B0CA67F" w14:textId="4019F4A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18"/>
              </w:rPr>
              <w:t>Average Temperature (℃)</w:t>
            </w:r>
          </w:p>
        </w:tc>
        <w:tc>
          <w:tcPr>
            <w:tcW w:w="1646" w:type="dxa"/>
            <w:tcBorders>
              <w:top w:val="single" w:sz="6" w:space="0" w:color="auto"/>
              <w:bottom w:val="nil"/>
            </w:tcBorders>
            <w:vAlign w:val="center"/>
          </w:tcPr>
          <w:p w14:paraId="0F5C43AF" w14:textId="687DEF1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Changshun</w:t>
            </w:r>
            <w:proofErr w:type="spellEnd"/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D597A" w14:textId="3A1DE47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17±0.12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E9368" w14:textId="028CCA0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20.5±0.08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abB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9E0CF" w14:textId="1CB5B6F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21.3±0.36</w:t>
            </w:r>
            <w:r w:rsidR="0079566B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cB</w:t>
            </w:r>
            <w:proofErr w:type="spellEnd"/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251EB" w14:textId="088BB9F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23.7±0.09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D93B7" w14:textId="2751CBEC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23.1±0.46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abA</w:t>
            </w:r>
          </w:p>
        </w:tc>
      </w:tr>
      <w:tr w:rsidR="00B22AB4" w:rsidRPr="00390670" w14:paraId="66FB0D14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6BAF9A3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3E07A0A1" w14:textId="1F147CB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Weining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A2617" w14:textId="29FA3E0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13±0.46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425E3" w14:textId="5BADD0A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15.9±0.9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E2DAA" w14:textId="4BAF249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16.5±0.16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dBC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A8F13" w14:textId="6AC28EB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19.1±0.49</w:t>
            </w:r>
            <w:r w:rsidR="0079566B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FAE35" w14:textId="52C6D85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17.8±0.53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dB</w:t>
            </w:r>
          </w:p>
        </w:tc>
      </w:tr>
      <w:tr w:rsidR="00B22AB4" w:rsidRPr="00390670" w14:paraId="7E3A542B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4831B2B3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35A14F3A" w14:textId="7BDFDB0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Anlong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92184" w14:textId="79EF063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17.2±0.79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77655" w14:textId="02C9736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20.7±0.16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36942" w14:textId="4CD55D0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20.7±0.86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9BC4D" w14:textId="2BF2482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22.7±0.17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9C013" w14:textId="438D1A4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21.5±0.9</w:t>
            </w:r>
            <w:r w:rsidR="0079566B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cAB</w:t>
            </w:r>
            <w:proofErr w:type="spellEnd"/>
          </w:p>
        </w:tc>
      </w:tr>
      <w:tr w:rsidR="00B22AB4" w:rsidRPr="00390670" w14:paraId="29C680B7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1EBBE976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29F826D1" w14:textId="1954754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Pingba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5D653" w14:textId="454A139D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16.7±1.18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C030D" w14:textId="67A8057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19.8±0.31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DB57C" w14:textId="31E13ADD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20.9±0.78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80C85" w14:textId="143F882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24.1±0.63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5262D" w14:textId="7B88359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22.6±0.41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bAB</w:t>
            </w:r>
          </w:p>
        </w:tc>
      </w:tr>
      <w:tr w:rsidR="00B22AB4" w:rsidRPr="00390670" w14:paraId="6C3EF9F7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F44A367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473D85BA" w14:textId="03A277A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Jinsha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00C36" w14:textId="387C70B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18.1±1.03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12CB7" w14:textId="09B6689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21.4±0.7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D2BB2" w14:textId="79FC551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22.7±0.54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abBC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1FC84" w14:textId="49ED3C7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26.9±0.45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13E48" w14:textId="6F4019C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25±1.44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abB</w:t>
            </w:r>
          </w:p>
        </w:tc>
      </w:tr>
      <w:tr w:rsidR="00B22AB4" w:rsidRPr="00390670" w14:paraId="4256917D" w14:textId="77777777" w:rsidTr="00DE2DA5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47086035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275FA540" w14:textId="1540884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Yinjiang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3537B" w14:textId="5917711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18.2±0.67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6573E" w14:textId="68EC67B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17.9±0.34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DE340" w14:textId="53D7DD8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21.8±0.33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40682" w14:textId="4C925CA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23.1±1.23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bAB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A9798" w14:textId="4AA7462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24.6±0.42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abA</w:t>
            </w:r>
          </w:p>
        </w:tc>
      </w:tr>
      <w:tr w:rsidR="00B22AB4" w:rsidRPr="00390670" w14:paraId="491B2C09" w14:textId="77777777" w:rsidTr="00DE2DA5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0E183823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single" w:sz="6" w:space="0" w:color="auto"/>
            </w:tcBorders>
            <w:vAlign w:val="center"/>
          </w:tcPr>
          <w:p w14:paraId="522E5461" w14:textId="126C406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Bozhou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667F9E2" w14:textId="1949268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18±0.67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6DEA3B79" w14:textId="510B6094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18.9±0.78</w:t>
            </w:r>
            <w:r w:rsidR="000570CA"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cdB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4DF89222" w14:textId="375B8BD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23.1±0.9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540B01E2" w14:textId="78E1EC4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24.6±0.76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45542BA5" w14:textId="5C217ACC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25.6±0.48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</w:tr>
      <w:tr w:rsidR="00B22AB4" w:rsidRPr="00390670" w14:paraId="29DDAA67" w14:textId="77777777" w:rsidTr="0042710C">
        <w:trPr>
          <w:trHeight w:val="343"/>
        </w:trPr>
        <w:tc>
          <w:tcPr>
            <w:tcW w:w="2194" w:type="dxa"/>
            <w:vMerge w:val="restart"/>
            <w:tcBorders>
              <w:top w:val="nil"/>
              <w:bottom w:val="nil"/>
            </w:tcBorders>
            <w:vAlign w:val="center"/>
          </w:tcPr>
          <w:p w14:paraId="32753FF8" w14:textId="3021F44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sz w:val="18"/>
                <w:szCs w:val="18"/>
              </w:rPr>
              <w:t>Sunshine Duration (h)</w:t>
            </w:r>
          </w:p>
        </w:tc>
        <w:tc>
          <w:tcPr>
            <w:tcW w:w="1646" w:type="dxa"/>
            <w:tcBorders>
              <w:top w:val="single" w:sz="6" w:space="0" w:color="auto"/>
              <w:bottom w:val="nil"/>
            </w:tcBorders>
            <w:vAlign w:val="center"/>
          </w:tcPr>
          <w:p w14:paraId="5723D9BF" w14:textId="441575C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Changshun</w:t>
            </w:r>
            <w:proofErr w:type="spellEnd"/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54743" w14:textId="6595F8D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127.9±1.97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cC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B84C4" w14:textId="683D70E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122.5±0.52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dD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15294" w14:textId="3E34885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66.8±2.96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dE</w:t>
            </w:r>
          </w:p>
        </w:tc>
        <w:tc>
          <w:tcPr>
            <w:tcW w:w="1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9EFE0" w14:textId="1990618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153.4±2.91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cB</w:t>
            </w:r>
          </w:p>
        </w:tc>
        <w:tc>
          <w:tcPr>
            <w:tcW w:w="17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444BC" w14:textId="58F89B65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165.9±2.91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</w:tr>
      <w:tr w:rsidR="00B22AB4" w:rsidRPr="00390670" w14:paraId="471CC9EA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7DEFD8C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00B1AC52" w14:textId="13411D9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Weining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C6BB4" w14:textId="19C4251D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156.9±4.31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CAEC9" w14:textId="0E18D8E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172.2±3.27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A2484" w14:textId="155BFD0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87.3±1.61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7D172" w14:textId="393BB52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130.7±1.68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AAEB3" w14:textId="6D42E99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136±8.26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cC</w:t>
            </w:r>
          </w:p>
        </w:tc>
      </w:tr>
      <w:tr w:rsidR="00B22AB4" w:rsidRPr="00390670" w14:paraId="16F7D75E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67AFB63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270AD597" w14:textId="0FCC288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Anlong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C66A" w14:textId="1D165B3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190.4±5.39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8B210" w14:textId="750B6D7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216.5±2.22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3FCAF" w14:textId="64F07E3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113.7±4.92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19C7E" w14:textId="31DD835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204±9.91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D5C38" w14:textId="2AF93BB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171.4±5.08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bB</w:t>
            </w:r>
          </w:p>
        </w:tc>
      </w:tr>
      <w:tr w:rsidR="00B22AB4" w:rsidRPr="00390670" w14:paraId="19F27FF7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3D0DF0EA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5AE00A96" w14:textId="5FC6622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Pingba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30491" w14:textId="2535351E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154.9±3.68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313FA" w14:textId="7F13C27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154.4±2.67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24DD7" w14:textId="25B10EA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102.5±2.62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0F9DB" w14:textId="5840F0B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219.1±7.45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E5513" w14:textId="7D01ED9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193.6±2.72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aB</w:t>
            </w:r>
          </w:p>
        </w:tc>
      </w:tr>
      <w:tr w:rsidR="00B22AB4" w:rsidRPr="00390670" w14:paraId="2B83044B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0723D3D7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04829FEC" w14:textId="7BC2F88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Jinsha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DD8C8" w14:textId="0D9A108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122.1±2.91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24567" w14:textId="7B9FBE2A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120.4±5.13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D449B" w14:textId="2A60AF3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77.7±0.95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cD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DAD07" w14:textId="7F6FD841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207±1.24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39A4B" w14:textId="5CEB69A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184.6±6.25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bB</w:t>
            </w:r>
          </w:p>
        </w:tc>
      </w:tr>
      <w:tr w:rsidR="00B22AB4" w:rsidRPr="00390670" w14:paraId="73176BFA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nil"/>
            </w:tcBorders>
            <w:vAlign w:val="center"/>
          </w:tcPr>
          <w:p w14:paraId="5C486AF1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  <w:vAlign w:val="center"/>
          </w:tcPr>
          <w:p w14:paraId="613B7425" w14:textId="0A31486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Yinjiang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38C0E" w14:textId="6F1688B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68.1±2.41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eD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0BC0A" w14:textId="5C02CDB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41.7±1.64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eE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ACC5D" w14:textId="5CC73958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87.6±2.19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EC1A8" w14:textId="33C8741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131.6±2.35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dB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83AE0" w14:textId="5EA4ABAB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178±1.15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</w:tr>
      <w:tr w:rsidR="00B22AB4" w:rsidRPr="00390670" w14:paraId="58EDF908" w14:textId="77777777" w:rsidTr="0042710C">
        <w:trPr>
          <w:trHeight w:val="343"/>
        </w:trPr>
        <w:tc>
          <w:tcPr>
            <w:tcW w:w="219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64965665" w14:textId="77777777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  <w:vAlign w:val="center"/>
          </w:tcPr>
          <w:p w14:paraId="767D5534" w14:textId="36ACFCA6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proofErr w:type="spellStart"/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20"/>
              </w:rPr>
              <w:t>Bozhou</w:t>
            </w:r>
            <w:proofErr w:type="spellEnd"/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413A970A" w14:textId="7B563959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101.9±1.82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dC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7FC12AE1" w14:textId="7FC7F090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37.8±0.88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eE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3096E82F" w14:textId="11233173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84.1±2.25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bD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28562306" w14:textId="6E11E3DF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122.5±3.39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dB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0B8A6FC1" w14:textId="55B7C942" w:rsidR="00B22AB4" w:rsidRPr="00390670" w:rsidRDefault="00B22AB4" w:rsidP="00B22A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9067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182±5.01</w:t>
            </w:r>
            <w:r w:rsidR="00C8418D" w:rsidRPr="00C8418D">
              <w:rPr>
                <w:rFonts w:ascii="Times New Roman" w:eastAsia="宋体" w:hAnsi="Times New Roman" w:cs="Times New Roman"/>
                <w:color w:val="000000"/>
                <w:sz w:val="18"/>
                <w:szCs w:val="18"/>
                <w:vertAlign w:val="superscript"/>
              </w:rPr>
              <w:t>bA</w:t>
            </w:r>
          </w:p>
        </w:tc>
      </w:tr>
    </w:tbl>
    <w:p w14:paraId="7C9B9F85" w14:textId="5F2AF236" w:rsidR="00057117" w:rsidRDefault="0042710C">
      <w:pPr>
        <w:rPr>
          <w:rFonts w:ascii="Times New Roman" w:hAnsi="Times New Roman" w:cs="Times New Roman"/>
        </w:rPr>
      </w:pPr>
      <w:r w:rsidRPr="00390670">
        <w:rPr>
          <w:rFonts w:ascii="Times New Roman" w:hAnsi="Times New Roman" w:cs="Times New Roman"/>
        </w:rPr>
        <w:t xml:space="preserve">Note: </w:t>
      </w:r>
      <w:r w:rsidR="00335EB1" w:rsidRPr="00335EB1">
        <w:rPr>
          <w:rFonts w:ascii="Times New Roman" w:hAnsi="Times New Roman" w:cs="Times New Roman" w:hint="eastAsia"/>
        </w:rPr>
        <w:t xml:space="preserve">Values are presented as means </w:t>
      </w:r>
      <w:r w:rsidR="00335EB1" w:rsidRPr="00335EB1">
        <w:rPr>
          <w:rFonts w:ascii="Times New Roman" w:hAnsi="Times New Roman" w:cs="Times New Roman" w:hint="eastAsia"/>
        </w:rPr>
        <w:t>±</w:t>
      </w:r>
      <w:r w:rsidR="00335EB1" w:rsidRPr="00335EB1">
        <w:rPr>
          <w:rFonts w:ascii="Times New Roman" w:hAnsi="Times New Roman" w:cs="Times New Roman" w:hint="eastAsia"/>
        </w:rPr>
        <w:t xml:space="preserve"> standard errors (SE). Different lowercase superscript letters (e.g., a</w:t>
      </w:r>
      <w:r w:rsidR="00335EB1" w:rsidRPr="00335EB1">
        <w:rPr>
          <w:rFonts w:ascii="Times New Roman" w:hAnsi="Times New Roman" w:cs="Times New Roman" w:hint="eastAsia"/>
        </w:rPr>
        <w:t>–</w:t>
      </w:r>
      <w:r w:rsidR="00335EB1" w:rsidRPr="00335EB1">
        <w:rPr>
          <w:rFonts w:ascii="Times New Roman" w:hAnsi="Times New Roman" w:cs="Times New Roman" w:hint="eastAsia"/>
        </w:rPr>
        <w:t xml:space="preserve">f) within each column indicate significant differences in </w:t>
      </w:r>
      <w:r w:rsidR="00335EB1">
        <w:rPr>
          <w:rFonts w:ascii="Times New Roman" w:hAnsi="Times New Roman" w:cs="Times New Roman" w:hint="eastAsia"/>
        </w:rPr>
        <w:t>m</w:t>
      </w:r>
      <w:r w:rsidR="00335EB1" w:rsidRPr="00335EB1">
        <w:rPr>
          <w:rFonts w:ascii="Times New Roman" w:hAnsi="Times New Roman" w:cs="Times New Roman" w:hint="eastAsia"/>
        </w:rPr>
        <w:t xml:space="preserve">eteorological </w:t>
      </w:r>
      <w:r w:rsidR="00335EB1">
        <w:rPr>
          <w:rFonts w:ascii="Times New Roman" w:hAnsi="Times New Roman" w:cs="Times New Roman" w:hint="eastAsia"/>
        </w:rPr>
        <w:t>f</w:t>
      </w:r>
      <w:r w:rsidR="00335EB1" w:rsidRPr="00335EB1">
        <w:rPr>
          <w:rFonts w:ascii="Times New Roman" w:hAnsi="Times New Roman" w:cs="Times New Roman" w:hint="eastAsia"/>
        </w:rPr>
        <w:t>actors among tobacco-growing counties for a fixed month according to Duncan</w:t>
      </w:r>
      <w:r w:rsidR="00335EB1" w:rsidRPr="00335EB1">
        <w:rPr>
          <w:rFonts w:ascii="Times New Roman" w:hAnsi="Times New Roman" w:cs="Times New Roman" w:hint="eastAsia"/>
        </w:rPr>
        <w:t>’</w:t>
      </w:r>
      <w:r w:rsidR="00335EB1" w:rsidRPr="00335EB1">
        <w:rPr>
          <w:rFonts w:ascii="Times New Roman" w:hAnsi="Times New Roman" w:cs="Times New Roman" w:hint="eastAsia"/>
        </w:rPr>
        <w:t>s multiple range test (</w:t>
      </w:r>
      <w:r w:rsidR="00335EB1" w:rsidRPr="00AD4B23">
        <w:rPr>
          <w:rFonts w:ascii="Times New Roman" w:hAnsi="Times New Roman" w:cs="Times New Roman" w:hint="eastAsia"/>
          <w:i/>
          <w:iCs/>
        </w:rPr>
        <w:t>p</w:t>
      </w:r>
      <w:r w:rsidR="00335EB1" w:rsidRPr="00335EB1">
        <w:rPr>
          <w:rFonts w:ascii="Times New Roman" w:hAnsi="Times New Roman" w:cs="Times New Roman" w:hint="eastAsia"/>
        </w:rPr>
        <w:t xml:space="preserve"> &lt; 0.05). Different uppercase superscript letters (e.g., A</w:t>
      </w:r>
      <w:r w:rsidR="00335EB1" w:rsidRPr="00335EB1">
        <w:rPr>
          <w:rFonts w:ascii="Times New Roman" w:hAnsi="Times New Roman" w:cs="Times New Roman" w:hint="eastAsia"/>
        </w:rPr>
        <w:t>–</w:t>
      </w:r>
      <w:r w:rsidR="00335EB1" w:rsidRPr="00335EB1">
        <w:rPr>
          <w:rFonts w:ascii="Times New Roman" w:hAnsi="Times New Roman" w:cs="Times New Roman" w:hint="eastAsia"/>
        </w:rPr>
        <w:t xml:space="preserve">E) within each row indicate significant differences in </w:t>
      </w:r>
      <w:r w:rsidR="00335EB1">
        <w:rPr>
          <w:rFonts w:ascii="Times New Roman" w:hAnsi="Times New Roman" w:cs="Times New Roman" w:hint="eastAsia"/>
        </w:rPr>
        <w:t>m</w:t>
      </w:r>
      <w:r w:rsidR="00335EB1" w:rsidRPr="00335EB1">
        <w:rPr>
          <w:rFonts w:ascii="Times New Roman" w:hAnsi="Times New Roman" w:cs="Times New Roman" w:hint="eastAsia"/>
        </w:rPr>
        <w:t xml:space="preserve">eteorological </w:t>
      </w:r>
      <w:r w:rsidR="00335EB1">
        <w:rPr>
          <w:rFonts w:ascii="Times New Roman" w:hAnsi="Times New Roman" w:cs="Times New Roman" w:hint="eastAsia"/>
        </w:rPr>
        <w:t>f</w:t>
      </w:r>
      <w:r w:rsidR="00335EB1" w:rsidRPr="00335EB1">
        <w:rPr>
          <w:rFonts w:ascii="Times New Roman" w:hAnsi="Times New Roman" w:cs="Times New Roman" w:hint="eastAsia"/>
        </w:rPr>
        <w:t>actors among months for a fixed tobacco-growing county according to Duncan</w:t>
      </w:r>
      <w:r w:rsidR="00335EB1" w:rsidRPr="00335EB1">
        <w:rPr>
          <w:rFonts w:ascii="Times New Roman" w:hAnsi="Times New Roman" w:cs="Times New Roman" w:hint="eastAsia"/>
        </w:rPr>
        <w:t>’</w:t>
      </w:r>
      <w:r w:rsidR="00335EB1" w:rsidRPr="00335EB1">
        <w:rPr>
          <w:rFonts w:ascii="Times New Roman" w:hAnsi="Times New Roman" w:cs="Times New Roman" w:hint="eastAsia"/>
        </w:rPr>
        <w:t>s multiple range test (</w:t>
      </w:r>
      <w:r w:rsidR="00335EB1" w:rsidRPr="00AD4B23">
        <w:rPr>
          <w:rFonts w:ascii="Times New Roman" w:hAnsi="Times New Roman" w:cs="Times New Roman" w:hint="eastAsia"/>
          <w:i/>
          <w:iCs/>
        </w:rPr>
        <w:t>p</w:t>
      </w:r>
      <w:r w:rsidR="00335EB1" w:rsidRPr="00335EB1">
        <w:rPr>
          <w:rFonts w:ascii="Times New Roman" w:hAnsi="Times New Roman" w:cs="Times New Roman" w:hint="eastAsia"/>
        </w:rPr>
        <w:t xml:space="preserve"> &lt; 0.05).</w:t>
      </w:r>
    </w:p>
    <w:p w14:paraId="0C939EA2" w14:textId="77777777" w:rsidR="00340E18" w:rsidRPr="00390670" w:rsidRDefault="00340E18">
      <w:pPr>
        <w:rPr>
          <w:rFonts w:ascii="Times New Roman" w:hAnsi="Times New Roman" w:cs="Times New Roman"/>
        </w:rPr>
      </w:pPr>
    </w:p>
    <w:p w14:paraId="477D1DE5" w14:textId="7787D7F4" w:rsidR="00FE535C" w:rsidRPr="00390670" w:rsidRDefault="00FE535C" w:rsidP="00FE535C">
      <w:pPr>
        <w:jc w:val="center"/>
        <w:rPr>
          <w:rFonts w:ascii="Times New Roman" w:eastAsia="宋体" w:hAnsi="Times New Roman" w:cs="Times New Roman"/>
          <w:color w:val="000000"/>
        </w:rPr>
      </w:pPr>
      <w:r w:rsidRPr="00390670">
        <w:rPr>
          <w:rFonts w:ascii="Times New Roman" w:eastAsia="宋体" w:hAnsi="Times New Roman" w:cs="Times New Roman"/>
          <w:color w:val="000000"/>
        </w:rPr>
        <w:t xml:space="preserve">Table </w:t>
      </w:r>
      <w:r w:rsidR="007B6796">
        <w:rPr>
          <w:rFonts w:ascii="Times New Roman" w:eastAsia="宋体" w:hAnsi="Times New Roman" w:cs="Times New Roman" w:hint="eastAsia"/>
          <w:color w:val="000000"/>
        </w:rPr>
        <w:t>S</w:t>
      </w:r>
      <w:r w:rsidR="00344ED9" w:rsidRPr="00390670">
        <w:rPr>
          <w:rFonts w:ascii="Times New Roman" w:eastAsia="宋体" w:hAnsi="Times New Roman" w:cs="Times New Roman"/>
          <w:color w:val="000000"/>
        </w:rPr>
        <w:t>4</w:t>
      </w:r>
      <w:r w:rsidRPr="00390670">
        <w:rPr>
          <w:rFonts w:ascii="Times New Roman" w:eastAsia="宋体" w:hAnsi="Times New Roman" w:cs="Times New Roman"/>
          <w:color w:val="000000"/>
        </w:rPr>
        <w:t>: Cross-validated predictive performance of random forest models for tobacco chemical constituents</w:t>
      </w:r>
    </w:p>
    <w:tbl>
      <w:tblPr>
        <w:tblW w:w="130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1"/>
        <w:gridCol w:w="2506"/>
        <w:gridCol w:w="2225"/>
        <w:gridCol w:w="1880"/>
        <w:gridCol w:w="1880"/>
      </w:tblGrid>
      <w:tr w:rsidR="00AE76C9" w:rsidRPr="00390670" w14:paraId="70A0658F" w14:textId="6AEC3F76" w:rsidTr="00340E18">
        <w:trPr>
          <w:trHeight w:val="324"/>
          <w:tblHeader/>
        </w:trPr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BF9EA85" w14:textId="77777777" w:rsidR="00AE76C9" w:rsidRPr="00390670" w:rsidRDefault="00AE76C9" w:rsidP="00AE76C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  <w:t>Metric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A6C7E9" w14:textId="102BF572" w:rsidR="00AE76C9" w:rsidRPr="00390670" w:rsidRDefault="00AE76C9" w:rsidP="00AE76C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MSE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4FF616" w14:textId="50DD5A4B" w:rsidR="00AE76C9" w:rsidRPr="00390670" w:rsidRDefault="00AE76C9" w:rsidP="00AE76C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RMSE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vAlign w:val="center"/>
          </w:tcPr>
          <w:p w14:paraId="426D925D" w14:textId="59F035F4" w:rsidR="00AE76C9" w:rsidRPr="00390670" w:rsidRDefault="00AE76C9" w:rsidP="00AE76C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MAE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/>
            <w:vAlign w:val="center"/>
          </w:tcPr>
          <w:p w14:paraId="0094D1FB" w14:textId="10FC5C24" w:rsidR="00AE76C9" w:rsidRPr="00390670" w:rsidRDefault="00AE76C9" w:rsidP="00AE76C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R²</w:t>
            </w:r>
          </w:p>
        </w:tc>
      </w:tr>
      <w:tr w:rsidR="00FE535C" w:rsidRPr="00390670" w14:paraId="6C43954C" w14:textId="7D9006D7" w:rsidTr="00340E18">
        <w:trPr>
          <w:trHeight w:val="331"/>
        </w:trPr>
        <w:tc>
          <w:tcPr>
            <w:tcW w:w="0" w:type="auto"/>
            <w:tcBorders>
              <w:top w:val="single" w:sz="6" w:space="0" w:color="000000" w:themeColor="text1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465084C" w14:textId="063F2F19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Nicotine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42FC346F" w14:textId="4FB5CEB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0.2579 ± 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60746495" w14:textId="0A4E65FA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0.3902 ± 0.3426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EBBE8" w14:textId="424F9CE9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0.3169 ± 0.2556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B84BA" w14:textId="4C7B9F83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0.9875 ± 0.0397</w:t>
            </w:r>
          </w:p>
        </w:tc>
      </w:tr>
      <w:tr w:rsidR="00FE535C" w:rsidRPr="00390670" w14:paraId="55D81F3D" w14:textId="5C4D574C" w:rsidTr="00340E18">
        <w:trPr>
          <w:trHeight w:val="32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7C37765" w14:textId="1505A7A5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Total Sugar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20C86863" w14:textId="3DA349AC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21.7388 ± 16.4473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435959D5" w14:textId="3C4E173D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4.3336 ± 1.8132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8E975" w14:textId="1ADE4B24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3.6463 ± 1.2942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11E7E" w14:textId="5CF55E9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0.9098 ± 0.2853</w:t>
            </w:r>
          </w:p>
        </w:tc>
      </w:tr>
      <w:tr w:rsidR="00FE535C" w:rsidRPr="00390670" w14:paraId="07669C25" w14:textId="541D6ACB" w:rsidTr="00340E18">
        <w:trPr>
          <w:trHeight w:val="331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F333F59" w14:textId="4A4B242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Reducing Sugar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4C123184" w14:textId="4C3AE81A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18.00 ± 12.29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71027C47" w14:textId="0AE7031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3.83 ± 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51941" w14:textId="5B6E546F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3.39 ± 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6CED8" w14:textId="32AA0050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0.992 ± 0.026</w:t>
            </w:r>
          </w:p>
        </w:tc>
      </w:tr>
      <w:tr w:rsidR="00FE535C" w:rsidRPr="00390670" w14:paraId="0D734682" w14:textId="2DDFF9BE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0680DDBC" w14:textId="12BFBF61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Total Nitrogen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18C721CF" w14:textId="3EDADCAC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0.0935 ± 0.0930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2A68B1A1" w14:textId="6D5083A1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0.2689 ± 0.1534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53382" w14:textId="44D6ACD3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0.2284 ± 0.1192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5DAB8" w14:textId="7AB105DF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0.9357 ± 0.2032</w:t>
            </w:r>
          </w:p>
        </w:tc>
      </w:tr>
      <w:tr w:rsidR="00FE535C" w:rsidRPr="00390670" w14:paraId="1033F81C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5EF1EF1" w14:textId="611DA51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Potassium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0182EE2E" w14:textId="743B3970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0.0854 ± 0.1195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16F7FA09" w14:textId="1F178097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0.2398 ± 0.1759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FDBE6" w14:textId="63ACE0E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0.2056 ± 0.1748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3E77A" w14:textId="7A3D7CD2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0.8979 ± 0.3156</w:t>
            </w:r>
          </w:p>
        </w:tc>
      </w:tr>
      <w:tr w:rsidR="00FE535C" w:rsidRPr="00390670" w14:paraId="74257596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34C1F3E8" w14:textId="4953F7D7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Chlorine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0FB6EBCB" w14:textId="23EA823F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0.0026 ± 0.0023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77807C6C" w14:textId="76936B66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0.0458 ± 0.0235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2257C" w14:textId="108C10F5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0.0398 ± 0.0230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4CF66" w14:textId="687345DE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0.7993 ± 0.4213</w:t>
            </w:r>
          </w:p>
        </w:tc>
      </w:tr>
      <w:tr w:rsidR="00FE535C" w:rsidRPr="00390670" w14:paraId="6BF25A20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5C1CED4F" w14:textId="3557D6B0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Starch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5CC8C63D" w14:textId="294C3EB3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1.3344 ± 1.5749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1D6A0A7F" w14:textId="6D0E25D4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1.0160 ± 0.5794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1790A" w14:textId="52CE16D2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0.8427 ± 0.4064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D3261" w14:textId="474E6A34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0.9000 ± 0.3162</w:t>
            </w:r>
          </w:p>
        </w:tc>
      </w:tr>
      <w:tr w:rsidR="00FE535C" w:rsidRPr="00390670" w14:paraId="479BFABE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7BAB4852" w14:textId="26F066C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Sugar to Nicotine Ratio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750279A2" w14:textId="264D26A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8.0871 ± 8.9862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7B0121D3" w14:textId="78D0C5B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2.5184 ± 1.3924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BA418" w14:textId="7C3E9ACE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2.0258 ± 0.9082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32415" w14:textId="08C5C50E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0.9191 ± 0.2560</w:t>
            </w:r>
          </w:p>
        </w:tc>
      </w:tr>
      <w:tr w:rsidR="00FE535C" w:rsidRPr="00390670" w14:paraId="6E6671ED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49A4C5F1" w14:textId="29F13E51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Nitrogen to Nicotine Ratio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514A7C53" w14:textId="26255313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0.0034 ± 0.0028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31906AD3" w14:textId="00F0C11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0.0525 ± 0.0261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EDEFF" w14:textId="2F2C6A3F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0.0467 ± 0.0235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D94E9" w14:textId="55F4B307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0.9059 ± 0.2977</w:t>
            </w:r>
          </w:p>
        </w:tc>
      </w:tr>
      <w:tr w:rsidR="00FE535C" w:rsidRPr="00390670" w14:paraId="4DAE556F" w14:textId="77777777" w:rsidTr="00340E18">
        <w:trPr>
          <w:trHeight w:val="324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6B2D95A5" w14:textId="6BFB7CD7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Reducing Sugar to Total Sugar Ratio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4ED2C138" w14:textId="2784E51B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0.0075 ± 0.0075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064B58F0" w14:textId="3055F89A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0.0769 ± 0.0420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FAFA1" w14:textId="6D2F03D5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0.0664 ± 0.0363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16F0E" w14:textId="3FB3050E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0.9766 ± 0.0740</w:t>
            </w:r>
          </w:p>
        </w:tc>
      </w:tr>
      <w:tr w:rsidR="00FE535C" w:rsidRPr="00390670" w14:paraId="0A8C7658" w14:textId="77777777" w:rsidTr="00340E18">
        <w:trPr>
          <w:trHeight w:val="324"/>
        </w:trPr>
        <w:tc>
          <w:tcPr>
            <w:tcW w:w="0" w:type="auto"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14:paraId="22AA54E8" w14:textId="09BB280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  <w:t>Potassium to Chlorine Ratio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7B881E25" w14:textId="51D5BB88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0.0684 ± 0.0263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</w:tcPr>
          <w:p w14:paraId="2FF977CA" w14:textId="0F883B42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0.2567 ± 0.0562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vAlign w:val="bottom"/>
          </w:tcPr>
          <w:p w14:paraId="10754E16" w14:textId="78560733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0.1898 ± 0.0627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vAlign w:val="bottom"/>
          </w:tcPr>
          <w:p w14:paraId="7F416353" w14:textId="175F2086" w:rsidR="00FE535C" w:rsidRPr="00390670" w:rsidRDefault="00FE535C" w:rsidP="00FE535C">
            <w:pPr>
              <w:widowControl/>
              <w:jc w:val="center"/>
              <w:rPr>
                <w:rFonts w:ascii="Times New Roman" w:eastAsia="宋体" w:hAnsi="Times New Roman" w:cs="Times New Roman"/>
                <w:color w:val="404040"/>
                <w:kern w:val="0"/>
                <w:sz w:val="23"/>
                <w:szCs w:val="23"/>
              </w:rPr>
            </w:pPr>
            <w:r w:rsidRPr="00390670">
              <w:rPr>
                <w:rFonts w:ascii="Times New Roman" w:eastAsia="等线" w:hAnsi="Times New Roman" w:cs="Times New Roman"/>
                <w:color w:val="000000"/>
                <w:sz w:val="22"/>
              </w:rPr>
              <w:t>0.6337 ± 0.4566</w:t>
            </w:r>
          </w:p>
        </w:tc>
      </w:tr>
    </w:tbl>
    <w:p w14:paraId="510A1E38" w14:textId="77777777" w:rsidR="00340E18" w:rsidRPr="00340E18" w:rsidRDefault="00340E18" w:rsidP="00340E18">
      <w:pPr>
        <w:rPr>
          <w:rFonts w:ascii="Times New Roman" w:hAnsi="Times New Roman" w:cs="Times New Roman"/>
        </w:rPr>
      </w:pPr>
    </w:p>
    <w:sectPr w:rsidR="00340E18" w:rsidRPr="00340E18" w:rsidSect="00EF0D24">
      <w:pgSz w:w="16838" w:h="23811" w:code="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449D" w14:textId="77777777" w:rsidR="00E93D52" w:rsidRDefault="00E93D52" w:rsidP="00F857B2">
      <w:r>
        <w:separator/>
      </w:r>
    </w:p>
  </w:endnote>
  <w:endnote w:type="continuationSeparator" w:id="0">
    <w:p w14:paraId="615C6EF3" w14:textId="77777777" w:rsidR="00E93D52" w:rsidRDefault="00E93D52" w:rsidP="00F8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73475" w14:textId="77777777" w:rsidR="00E93D52" w:rsidRDefault="00E93D52" w:rsidP="00F857B2">
      <w:r>
        <w:separator/>
      </w:r>
    </w:p>
  </w:footnote>
  <w:footnote w:type="continuationSeparator" w:id="0">
    <w:p w14:paraId="2E197E20" w14:textId="77777777" w:rsidR="00E93D52" w:rsidRDefault="00E93D52" w:rsidP="00F85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E1"/>
    <w:rsid w:val="000570CA"/>
    <w:rsid w:val="00057117"/>
    <w:rsid w:val="000A14FE"/>
    <w:rsid w:val="001236B9"/>
    <w:rsid w:val="00136BBB"/>
    <w:rsid w:val="00145C1A"/>
    <w:rsid w:val="001876F8"/>
    <w:rsid w:val="001B45BD"/>
    <w:rsid w:val="001C110B"/>
    <w:rsid w:val="001C7849"/>
    <w:rsid w:val="001E2C4B"/>
    <w:rsid w:val="001E3787"/>
    <w:rsid w:val="001F0839"/>
    <w:rsid w:val="00217F68"/>
    <w:rsid w:val="00253E21"/>
    <w:rsid w:val="00266ABD"/>
    <w:rsid w:val="002A6DD5"/>
    <w:rsid w:val="002B0576"/>
    <w:rsid w:val="002F3AF3"/>
    <w:rsid w:val="00300BD5"/>
    <w:rsid w:val="00335EB1"/>
    <w:rsid w:val="00340E18"/>
    <w:rsid w:val="00344ED9"/>
    <w:rsid w:val="00390670"/>
    <w:rsid w:val="0040772C"/>
    <w:rsid w:val="0042710C"/>
    <w:rsid w:val="004550ED"/>
    <w:rsid w:val="004566F0"/>
    <w:rsid w:val="00474718"/>
    <w:rsid w:val="00485C41"/>
    <w:rsid w:val="00490CF4"/>
    <w:rsid w:val="005300DA"/>
    <w:rsid w:val="0055052D"/>
    <w:rsid w:val="0056123D"/>
    <w:rsid w:val="00590B2C"/>
    <w:rsid w:val="005D10D3"/>
    <w:rsid w:val="005D6A3F"/>
    <w:rsid w:val="0061438E"/>
    <w:rsid w:val="00676C1F"/>
    <w:rsid w:val="006A07E3"/>
    <w:rsid w:val="006A1F8D"/>
    <w:rsid w:val="006B028C"/>
    <w:rsid w:val="007051FE"/>
    <w:rsid w:val="00714214"/>
    <w:rsid w:val="00752E87"/>
    <w:rsid w:val="00775EEE"/>
    <w:rsid w:val="0079566B"/>
    <w:rsid w:val="007B6796"/>
    <w:rsid w:val="007E6F58"/>
    <w:rsid w:val="007E73B7"/>
    <w:rsid w:val="007F73C4"/>
    <w:rsid w:val="008D0B22"/>
    <w:rsid w:val="008F59F7"/>
    <w:rsid w:val="0094124E"/>
    <w:rsid w:val="009466A9"/>
    <w:rsid w:val="009540FB"/>
    <w:rsid w:val="0099726D"/>
    <w:rsid w:val="009B19E7"/>
    <w:rsid w:val="009E72DC"/>
    <w:rsid w:val="00A37269"/>
    <w:rsid w:val="00AB7302"/>
    <w:rsid w:val="00AD4B23"/>
    <w:rsid w:val="00AE3772"/>
    <w:rsid w:val="00AE76C9"/>
    <w:rsid w:val="00AF2137"/>
    <w:rsid w:val="00AF3551"/>
    <w:rsid w:val="00B1225D"/>
    <w:rsid w:val="00B22AB4"/>
    <w:rsid w:val="00BC3BC3"/>
    <w:rsid w:val="00BE6F47"/>
    <w:rsid w:val="00C340E1"/>
    <w:rsid w:val="00C8418D"/>
    <w:rsid w:val="00C90743"/>
    <w:rsid w:val="00CB7FCB"/>
    <w:rsid w:val="00CC5345"/>
    <w:rsid w:val="00D33DDD"/>
    <w:rsid w:val="00D35756"/>
    <w:rsid w:val="00D64C9B"/>
    <w:rsid w:val="00D67C09"/>
    <w:rsid w:val="00D851F4"/>
    <w:rsid w:val="00DE2DA5"/>
    <w:rsid w:val="00E0638B"/>
    <w:rsid w:val="00E13CE4"/>
    <w:rsid w:val="00E6730C"/>
    <w:rsid w:val="00E93D52"/>
    <w:rsid w:val="00ED236F"/>
    <w:rsid w:val="00EF0D24"/>
    <w:rsid w:val="00F173E7"/>
    <w:rsid w:val="00F70108"/>
    <w:rsid w:val="00F857B2"/>
    <w:rsid w:val="00F91AE4"/>
    <w:rsid w:val="00FE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5FAF49"/>
  <w14:defaultImageDpi w14:val="32767"/>
  <w15:chartTrackingRefBased/>
  <w15:docId w15:val="{BB778C2A-A9A4-43DA-9B34-6171C9B8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40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0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0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0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0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0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0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0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40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40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40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40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40E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40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40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40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40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40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40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40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40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40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40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40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40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40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40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40E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857B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857B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85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857B2"/>
    <w:rPr>
      <w:sz w:val="18"/>
      <w:szCs w:val="18"/>
    </w:rPr>
  </w:style>
  <w:style w:type="table" w:styleId="af2">
    <w:name w:val="Table Grid"/>
    <w:basedOn w:val="a1"/>
    <w:uiPriority w:val="59"/>
    <w:rsid w:val="00D35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9E72DC"/>
    <w:rPr>
      <w:b/>
      <w:bCs/>
    </w:rPr>
  </w:style>
  <w:style w:type="paragraph" w:styleId="af4">
    <w:name w:val="Revision"/>
    <w:hidden/>
    <w:uiPriority w:val="99"/>
    <w:semiHidden/>
    <w:rsid w:val="00DE2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649</Words>
  <Characters>4495</Characters>
  <Application>Microsoft Office Word</Application>
  <DocSecurity>0</DocSecurity>
  <Lines>374</Lines>
  <Paragraphs>342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阿萨德 阿萨德</dc:creator>
  <cp:keywords/>
  <dc:description/>
  <cp:lastModifiedBy>Tech Science Press</cp:lastModifiedBy>
  <cp:revision>47</cp:revision>
  <dcterms:created xsi:type="dcterms:W3CDTF">2025-06-10T09:38:00Z</dcterms:created>
  <dcterms:modified xsi:type="dcterms:W3CDTF">2025-07-15T05:47:00Z</dcterms:modified>
</cp:coreProperties>
</file>