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D66A50" w14:textId="77777777" w:rsidR="006519A5" w:rsidRPr="006519A5" w:rsidRDefault="006519A5" w:rsidP="006519A5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6519A5">
        <w:rPr>
          <w:rFonts w:ascii="Times New Roman" w:hAnsi="Times New Roman" w:cs="Times New Roman"/>
          <w:b/>
          <w:bCs/>
          <w:sz w:val="24"/>
          <w:szCs w:val="24"/>
        </w:rPr>
        <w:t xml:space="preserve">Survey of Barley Sodium Transporter </w:t>
      </w:r>
      <w:r w:rsidRPr="00ED6187">
        <w:rPr>
          <w:rFonts w:ascii="Times New Roman" w:hAnsi="Times New Roman" w:cs="Times New Roman"/>
          <w:b/>
          <w:bCs/>
          <w:i/>
          <w:iCs/>
          <w:sz w:val="24"/>
          <w:szCs w:val="24"/>
        </w:rPr>
        <w:t>HvHKT1;1</w:t>
      </w:r>
      <w:r w:rsidRPr="006519A5">
        <w:rPr>
          <w:rFonts w:ascii="Times New Roman" w:hAnsi="Times New Roman" w:cs="Times New Roman"/>
          <w:b/>
          <w:bCs/>
          <w:sz w:val="24"/>
          <w:szCs w:val="24"/>
        </w:rPr>
        <w:t xml:space="preserve"> Variants and Their Functional Analysis</w:t>
      </w:r>
    </w:p>
    <w:p w14:paraId="69B9275F" w14:textId="77777777" w:rsidR="006519A5" w:rsidRPr="006519A5" w:rsidRDefault="006519A5" w:rsidP="006519A5">
      <w:pPr>
        <w:jc w:val="both"/>
        <w:rPr>
          <w:rFonts w:ascii="Times New Roman" w:hAnsi="Times New Roman" w:cs="Times New Roman"/>
          <w:sz w:val="24"/>
          <w:szCs w:val="24"/>
        </w:rPr>
      </w:pPr>
      <w:r w:rsidRPr="006519A5">
        <w:rPr>
          <w:rFonts w:ascii="Times New Roman" w:hAnsi="Times New Roman" w:cs="Times New Roman"/>
          <w:sz w:val="24"/>
          <w:szCs w:val="24"/>
          <w:lang w:val="fi-FI"/>
        </w:rPr>
        <w:t xml:space="preserve">Shahin Imran and Maki Katsuhara </w:t>
      </w:r>
    </w:p>
    <w:p w14:paraId="7F285D12" w14:textId="7C5474E5" w:rsidR="006519A5" w:rsidRPr="006519A5" w:rsidRDefault="006519A5" w:rsidP="006519A5">
      <w:pPr>
        <w:jc w:val="both"/>
        <w:rPr>
          <w:rFonts w:ascii="Times New Roman" w:hAnsi="Times New Roman" w:cs="Times New Roman"/>
          <w:sz w:val="24"/>
          <w:szCs w:val="24"/>
        </w:rPr>
      </w:pPr>
      <w:r w:rsidRPr="006519A5">
        <w:rPr>
          <w:rFonts w:ascii="Times New Roman" w:hAnsi="Times New Roman" w:cs="Times New Roman"/>
          <w:b/>
          <w:bCs/>
          <w:sz w:val="24"/>
          <w:szCs w:val="24"/>
        </w:rPr>
        <w:t xml:space="preserve">Supplementary Materials: </w:t>
      </w:r>
      <w:bookmarkStart w:id="1" w:name="_Hlk207614331"/>
      <w:r w:rsidRPr="006519A5">
        <w:rPr>
          <w:rFonts w:ascii="Times New Roman" w:hAnsi="Times New Roman" w:cs="Times New Roman"/>
          <w:b/>
          <w:bCs/>
          <w:sz w:val="24"/>
          <w:szCs w:val="24"/>
        </w:rPr>
        <w:t>Table S1</w:t>
      </w:r>
      <w:r w:rsidR="0005594E">
        <w:rPr>
          <w:rFonts w:ascii="Times New Roman" w:hAnsi="Times New Roman" w:cs="Times New Roman"/>
          <w:sz w:val="24"/>
          <w:szCs w:val="24"/>
        </w:rPr>
        <w:t>.</w:t>
      </w:r>
      <w:r w:rsidRPr="006519A5">
        <w:rPr>
          <w:rFonts w:ascii="Times New Roman" w:hAnsi="Times New Roman" w:cs="Times New Roman"/>
          <w:sz w:val="24"/>
          <w:szCs w:val="24"/>
        </w:rPr>
        <w:t xml:space="preserve"> Gene-specific primer pairs used for the cloning and in the real-time PCR experiments</w:t>
      </w:r>
      <w:r w:rsidR="0005594E">
        <w:rPr>
          <w:rFonts w:ascii="Times New Roman" w:hAnsi="Times New Roman" w:cs="Times New Roman"/>
          <w:sz w:val="24"/>
          <w:szCs w:val="24"/>
        </w:rPr>
        <w:t>;</w:t>
      </w:r>
      <w:r w:rsidRPr="006519A5">
        <w:rPr>
          <w:rFonts w:ascii="Times New Roman" w:hAnsi="Times New Roman" w:cs="Times New Roman"/>
          <w:sz w:val="24"/>
          <w:szCs w:val="24"/>
        </w:rPr>
        <w:t xml:space="preserve"> </w:t>
      </w:r>
      <w:r w:rsidRPr="006519A5">
        <w:rPr>
          <w:rFonts w:ascii="Times New Roman" w:hAnsi="Times New Roman" w:cs="Times New Roman"/>
          <w:b/>
          <w:bCs/>
          <w:sz w:val="24"/>
          <w:szCs w:val="24"/>
        </w:rPr>
        <w:t>Figure S1</w:t>
      </w:r>
      <w:r w:rsidR="0005594E">
        <w:rPr>
          <w:rFonts w:ascii="Times New Roman" w:hAnsi="Times New Roman" w:cs="Times New Roman"/>
          <w:sz w:val="24"/>
          <w:szCs w:val="24"/>
        </w:rPr>
        <w:t>.</w:t>
      </w:r>
      <w:r w:rsidRPr="006519A5">
        <w:rPr>
          <w:rFonts w:ascii="Times New Roman" w:hAnsi="Times New Roman" w:cs="Times New Roman"/>
          <w:sz w:val="24"/>
          <w:szCs w:val="24"/>
        </w:rPr>
        <w:t xml:space="preserve"> </w:t>
      </w:r>
      <w:r w:rsidRPr="001B324F">
        <w:rPr>
          <w:rFonts w:ascii="Times New Roman" w:hAnsi="Times New Roman" w:cs="Times New Roman"/>
          <w:sz w:val="24"/>
          <w:szCs w:val="24"/>
        </w:rPr>
        <w:t xml:space="preserve">Nucleotide sequence alignment of </w:t>
      </w:r>
      <w:r w:rsidRPr="006519A5">
        <w:rPr>
          <w:rFonts w:ascii="Times New Roman" w:hAnsi="Times New Roman" w:cs="Times New Roman"/>
          <w:i/>
          <w:iCs/>
          <w:sz w:val="24"/>
          <w:szCs w:val="24"/>
        </w:rPr>
        <w:t>HvHKT1;1</w:t>
      </w:r>
      <w:r>
        <w:rPr>
          <w:rFonts w:ascii="Times New Roman" w:hAnsi="Times New Roman" w:cs="Times New Roman"/>
          <w:i/>
          <w:iCs/>
          <w:sz w:val="24"/>
          <w:szCs w:val="24"/>
        </w:rPr>
        <w:t>-FL</w:t>
      </w:r>
      <w:r w:rsidRPr="001B324F">
        <w:rPr>
          <w:rFonts w:ascii="Times New Roman" w:hAnsi="Times New Roman" w:cs="Times New Roman"/>
          <w:sz w:val="24"/>
          <w:szCs w:val="24"/>
        </w:rPr>
        <w:t xml:space="preserve"> and its variants</w:t>
      </w:r>
      <w:r w:rsidR="0005594E">
        <w:rPr>
          <w:rFonts w:ascii="Times New Roman" w:hAnsi="Times New Roman" w:cs="Times New Roman"/>
          <w:sz w:val="24"/>
          <w:szCs w:val="24"/>
        </w:rPr>
        <w:t>;</w:t>
      </w:r>
      <w:r w:rsidRPr="006519A5">
        <w:rPr>
          <w:rFonts w:ascii="Times New Roman" w:hAnsi="Times New Roman" w:cs="Times New Roman"/>
          <w:sz w:val="24"/>
          <w:szCs w:val="24"/>
        </w:rPr>
        <w:t xml:space="preserve"> </w:t>
      </w:r>
      <w:r w:rsidRPr="006519A5">
        <w:rPr>
          <w:rFonts w:ascii="Times New Roman" w:hAnsi="Times New Roman" w:cs="Times New Roman"/>
          <w:b/>
          <w:bCs/>
          <w:sz w:val="24"/>
          <w:szCs w:val="24"/>
        </w:rPr>
        <w:t>Figure S2</w:t>
      </w:r>
      <w:r w:rsidR="0005594E">
        <w:rPr>
          <w:rFonts w:ascii="Times New Roman" w:hAnsi="Times New Roman" w:cs="Times New Roman"/>
          <w:sz w:val="24"/>
          <w:szCs w:val="24"/>
        </w:rPr>
        <w:t>.</w:t>
      </w:r>
      <w:r w:rsidRPr="006519A5">
        <w:rPr>
          <w:rFonts w:ascii="Times New Roman" w:hAnsi="Times New Roman" w:cs="Times New Roman"/>
          <w:sz w:val="24"/>
          <w:szCs w:val="24"/>
        </w:rPr>
        <w:t xml:space="preserve"> Protein sequence alignment of </w:t>
      </w:r>
      <w:r w:rsidRPr="006519A5">
        <w:rPr>
          <w:rFonts w:ascii="Times New Roman" w:hAnsi="Times New Roman" w:cs="Times New Roman"/>
          <w:i/>
          <w:iCs/>
          <w:sz w:val="24"/>
          <w:szCs w:val="24"/>
        </w:rPr>
        <w:t>HvHKT1;1-FL</w:t>
      </w:r>
      <w:r w:rsidRPr="006519A5">
        <w:rPr>
          <w:rFonts w:ascii="Times New Roman" w:hAnsi="Times New Roman" w:cs="Times New Roman"/>
          <w:sz w:val="24"/>
          <w:szCs w:val="24"/>
        </w:rPr>
        <w:t xml:space="preserve"> and its variant</w:t>
      </w:r>
      <w:r>
        <w:rPr>
          <w:rFonts w:ascii="Times New Roman" w:hAnsi="Times New Roman" w:cs="Times New Roman"/>
          <w:sz w:val="24"/>
          <w:szCs w:val="24"/>
        </w:rPr>
        <w:t>s</w:t>
      </w:r>
      <w:r w:rsidR="0005594E">
        <w:rPr>
          <w:rFonts w:ascii="Times New Roman" w:hAnsi="Times New Roman" w:cs="Times New Roman"/>
          <w:sz w:val="24"/>
          <w:szCs w:val="24"/>
        </w:rPr>
        <w:t>;</w:t>
      </w:r>
      <w:r w:rsidRPr="006519A5">
        <w:rPr>
          <w:rFonts w:ascii="Times New Roman" w:hAnsi="Times New Roman" w:cs="Times New Roman"/>
          <w:sz w:val="24"/>
          <w:szCs w:val="24"/>
        </w:rPr>
        <w:t xml:space="preserve"> </w:t>
      </w:r>
      <w:r w:rsidRPr="006519A5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05594E" w:rsidRPr="0005594E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05594E">
        <w:rPr>
          <w:rFonts w:ascii="Times New Roman" w:hAnsi="Times New Roman" w:cs="Times New Roman"/>
          <w:sz w:val="24"/>
          <w:szCs w:val="24"/>
        </w:rPr>
        <w:t>.</w:t>
      </w:r>
      <w:r w:rsidRPr="006519A5">
        <w:rPr>
          <w:rFonts w:ascii="Times New Roman" w:hAnsi="Times New Roman" w:cs="Times New Roman"/>
          <w:sz w:val="24"/>
          <w:szCs w:val="24"/>
        </w:rPr>
        <w:t xml:space="preserve"> Expression analysis of </w:t>
      </w:r>
      <w:r w:rsidRPr="006519A5">
        <w:rPr>
          <w:rFonts w:ascii="Times New Roman" w:hAnsi="Times New Roman" w:cs="Times New Roman"/>
          <w:i/>
          <w:iCs/>
          <w:sz w:val="24"/>
          <w:szCs w:val="24"/>
        </w:rPr>
        <w:t>HvHKT1;1-FL</w:t>
      </w:r>
      <w:r w:rsidRPr="006519A5">
        <w:rPr>
          <w:rFonts w:ascii="Times New Roman" w:hAnsi="Times New Roman" w:cs="Times New Roman"/>
          <w:sz w:val="24"/>
          <w:szCs w:val="24"/>
        </w:rPr>
        <w:t xml:space="preserve"> and its variants</w:t>
      </w:r>
      <w:r w:rsidR="0005594E">
        <w:rPr>
          <w:rFonts w:ascii="Times New Roman" w:hAnsi="Times New Roman" w:cs="Times New Roman"/>
          <w:sz w:val="24"/>
          <w:szCs w:val="24"/>
        </w:rPr>
        <w:t xml:space="preserve">; </w:t>
      </w:r>
      <w:r w:rsidR="0005594E" w:rsidRPr="0005594E">
        <w:rPr>
          <w:rFonts w:ascii="Times New Roman" w:hAnsi="Times New Roman" w:cs="Times New Roman"/>
          <w:b/>
          <w:bCs/>
          <w:sz w:val="24"/>
          <w:szCs w:val="24"/>
        </w:rPr>
        <w:t>Figure S4</w:t>
      </w:r>
      <w:r w:rsidR="0005594E">
        <w:rPr>
          <w:rFonts w:ascii="Times New Roman" w:hAnsi="Times New Roman" w:cs="Times New Roman"/>
          <w:sz w:val="24"/>
          <w:szCs w:val="24"/>
        </w:rPr>
        <w:t xml:space="preserve">. </w:t>
      </w:r>
      <w:r w:rsidR="0005594E" w:rsidRPr="0005594E">
        <w:rPr>
          <w:rFonts w:ascii="Times New Roman" w:hAnsi="Times New Roman" w:cs="Times New Roman"/>
          <w:sz w:val="24"/>
          <w:szCs w:val="24"/>
        </w:rPr>
        <w:t>Na</w:t>
      </w:r>
      <w:r w:rsidR="0005594E" w:rsidRPr="0005594E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05594E" w:rsidRPr="0005594E">
        <w:rPr>
          <w:rFonts w:ascii="Times New Roman" w:hAnsi="Times New Roman" w:cs="Times New Roman"/>
          <w:sz w:val="24"/>
          <w:szCs w:val="24"/>
        </w:rPr>
        <w:t xml:space="preserve"> transport activity of HvHKT1;1-FL and its variants under different Na</w:t>
      </w:r>
      <w:r w:rsidR="0005594E" w:rsidRPr="0005594E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05594E" w:rsidRPr="0005594E">
        <w:rPr>
          <w:rFonts w:ascii="Times New Roman" w:hAnsi="Times New Roman" w:cs="Times New Roman"/>
          <w:sz w:val="24"/>
          <w:szCs w:val="24"/>
        </w:rPr>
        <w:t xml:space="preserve"> concentrations</w:t>
      </w:r>
      <w:r w:rsidR="0005594E">
        <w:rPr>
          <w:rFonts w:ascii="Times New Roman" w:hAnsi="Times New Roman" w:cs="Times New Roman"/>
          <w:sz w:val="24"/>
          <w:szCs w:val="24"/>
        </w:rPr>
        <w:t xml:space="preserve">; </w:t>
      </w:r>
      <w:r w:rsidR="0005594E" w:rsidRPr="0005594E">
        <w:rPr>
          <w:rFonts w:ascii="Times New Roman" w:hAnsi="Times New Roman" w:cs="Times New Roman"/>
          <w:b/>
          <w:bCs/>
          <w:sz w:val="24"/>
          <w:szCs w:val="24"/>
        </w:rPr>
        <w:t>Figure S5</w:t>
      </w:r>
      <w:r w:rsidR="0005594E">
        <w:rPr>
          <w:rFonts w:ascii="Times New Roman" w:hAnsi="Times New Roman" w:cs="Times New Roman"/>
          <w:sz w:val="24"/>
          <w:szCs w:val="24"/>
        </w:rPr>
        <w:t xml:space="preserve">. </w:t>
      </w:r>
      <w:r w:rsidR="0005594E" w:rsidRPr="0005594E">
        <w:rPr>
          <w:rFonts w:ascii="Times New Roman" w:hAnsi="Times New Roman" w:cs="Times New Roman"/>
          <w:sz w:val="24"/>
          <w:szCs w:val="24"/>
        </w:rPr>
        <w:t>Na</w:t>
      </w:r>
      <w:r w:rsidR="0005594E" w:rsidRPr="0005594E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05594E" w:rsidRPr="0005594E">
        <w:rPr>
          <w:rFonts w:ascii="Times New Roman" w:hAnsi="Times New Roman" w:cs="Times New Roman"/>
          <w:sz w:val="24"/>
          <w:szCs w:val="24"/>
        </w:rPr>
        <w:t xml:space="preserve"> selectivity of HvHKT1;1</w:t>
      </w:r>
      <w:r w:rsidR="0005594E">
        <w:rPr>
          <w:rFonts w:ascii="Times New Roman" w:hAnsi="Times New Roman" w:cs="Times New Roman"/>
          <w:sz w:val="24"/>
          <w:szCs w:val="24"/>
        </w:rPr>
        <w:t>-FL</w:t>
      </w:r>
      <w:r w:rsidR="0005594E" w:rsidRPr="0005594E">
        <w:rPr>
          <w:rFonts w:ascii="Times New Roman" w:hAnsi="Times New Roman" w:cs="Times New Roman"/>
          <w:sz w:val="24"/>
          <w:szCs w:val="24"/>
        </w:rPr>
        <w:t xml:space="preserve"> and its variants</w:t>
      </w:r>
      <w:r w:rsidR="000263B2">
        <w:rPr>
          <w:rFonts w:ascii="Times New Roman" w:hAnsi="Times New Roman" w:cs="Times New Roman"/>
          <w:sz w:val="24"/>
          <w:szCs w:val="24"/>
        </w:rPr>
        <w:t>.</w:t>
      </w:r>
      <w:bookmarkEnd w:id="1"/>
    </w:p>
    <w:p w14:paraId="20D791B5" w14:textId="77777777" w:rsidR="006519A5" w:rsidRDefault="006519A5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20618C55" w14:textId="75BAF861" w:rsidR="006519A5" w:rsidRPr="006519A5" w:rsidRDefault="006519A5" w:rsidP="006519A5">
      <w:pPr>
        <w:jc w:val="both"/>
        <w:rPr>
          <w:rFonts w:ascii="Times New Roman" w:hAnsi="Times New Roman" w:cs="Times New Roman"/>
          <w:sz w:val="24"/>
          <w:szCs w:val="24"/>
        </w:rPr>
      </w:pPr>
      <w:r w:rsidRPr="006519A5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Supplementary Table S1. </w:t>
      </w:r>
      <w:r w:rsidRPr="006519A5">
        <w:rPr>
          <w:rFonts w:ascii="Times New Roman" w:hAnsi="Times New Roman" w:cs="Times New Roman"/>
          <w:sz w:val="24"/>
          <w:szCs w:val="24"/>
        </w:rPr>
        <w:t>Gene-specific primer pairs were used for the cloning and in the real-time PCR experiments.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58"/>
        <w:gridCol w:w="3820"/>
        <w:gridCol w:w="3472"/>
      </w:tblGrid>
      <w:tr w:rsidR="006519A5" w:rsidRPr="006519A5" w14:paraId="2C99C9D7" w14:textId="77777777" w:rsidTr="002217BC">
        <w:tc>
          <w:tcPr>
            <w:tcW w:w="2245" w:type="dxa"/>
            <w:vAlign w:val="center"/>
          </w:tcPr>
          <w:p w14:paraId="66A711EE" w14:textId="7A4F6E54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Primer Name</w:t>
            </w:r>
          </w:p>
        </w:tc>
        <w:tc>
          <w:tcPr>
            <w:tcW w:w="3988" w:type="dxa"/>
            <w:vAlign w:val="center"/>
          </w:tcPr>
          <w:p w14:paraId="3267BD4A" w14:textId="3B13B063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Sequence for full-length cloning</w:t>
            </w:r>
          </w:p>
        </w:tc>
        <w:tc>
          <w:tcPr>
            <w:tcW w:w="3117" w:type="dxa"/>
            <w:vAlign w:val="center"/>
          </w:tcPr>
          <w:p w14:paraId="50D593F4" w14:textId="44494AA9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 xml:space="preserve">Sequence for </w:t>
            </w:r>
            <w:r w:rsidR="00077583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real-time PCR</w:t>
            </w:r>
          </w:p>
        </w:tc>
      </w:tr>
      <w:tr w:rsidR="006519A5" w:rsidRPr="006519A5" w14:paraId="3DFB017B" w14:textId="77777777" w:rsidTr="002217BC">
        <w:tc>
          <w:tcPr>
            <w:tcW w:w="2245" w:type="dxa"/>
            <w:vAlign w:val="center"/>
          </w:tcPr>
          <w:p w14:paraId="22E0FA8C" w14:textId="54488B85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HvHKT1;1-F</w:t>
            </w:r>
          </w:p>
        </w:tc>
        <w:tc>
          <w:tcPr>
            <w:tcW w:w="3988" w:type="dxa"/>
            <w:vAlign w:val="center"/>
          </w:tcPr>
          <w:p w14:paraId="2BF8A49A" w14:textId="7D629011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ATGCATCGATTCAGCTCAGC</w:t>
            </w:r>
          </w:p>
        </w:tc>
        <w:tc>
          <w:tcPr>
            <w:tcW w:w="3117" w:type="dxa"/>
            <w:vAlign w:val="center"/>
          </w:tcPr>
          <w:p w14:paraId="7CCF7651" w14:textId="77777777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519A5" w:rsidRPr="006519A5" w14:paraId="4A930B9B" w14:textId="77777777" w:rsidTr="002217BC">
        <w:tc>
          <w:tcPr>
            <w:tcW w:w="2245" w:type="dxa"/>
            <w:vAlign w:val="center"/>
          </w:tcPr>
          <w:p w14:paraId="61748F7E" w14:textId="7E1D42A8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HvHKT1;1-R</w:t>
            </w:r>
          </w:p>
        </w:tc>
        <w:tc>
          <w:tcPr>
            <w:tcW w:w="3988" w:type="dxa"/>
            <w:vAlign w:val="center"/>
          </w:tcPr>
          <w:p w14:paraId="4FB1BD5F" w14:textId="493DCEAA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CTAATTTGCAGCCACCTCTGG</w:t>
            </w:r>
          </w:p>
        </w:tc>
        <w:tc>
          <w:tcPr>
            <w:tcW w:w="3117" w:type="dxa"/>
            <w:vAlign w:val="center"/>
          </w:tcPr>
          <w:p w14:paraId="70BAD53A" w14:textId="77777777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519A5" w:rsidRPr="006519A5" w14:paraId="632E2469" w14:textId="77777777" w:rsidTr="002217BC">
        <w:tc>
          <w:tcPr>
            <w:tcW w:w="2245" w:type="dxa"/>
            <w:vAlign w:val="center"/>
          </w:tcPr>
          <w:p w14:paraId="063104C4" w14:textId="439322F6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HvHKT1;1-FL-F</w:t>
            </w:r>
          </w:p>
        </w:tc>
        <w:tc>
          <w:tcPr>
            <w:tcW w:w="3988" w:type="dxa"/>
          </w:tcPr>
          <w:p w14:paraId="2190834F" w14:textId="77777777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17" w:type="dxa"/>
            <w:vAlign w:val="center"/>
          </w:tcPr>
          <w:p w14:paraId="400A38B4" w14:textId="7A2FF5EF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ATGTTCACCTCTGTGTCCACAGT</w:t>
            </w:r>
          </w:p>
        </w:tc>
      </w:tr>
      <w:tr w:rsidR="006519A5" w:rsidRPr="006519A5" w14:paraId="5E23881A" w14:textId="77777777" w:rsidTr="002217BC">
        <w:tc>
          <w:tcPr>
            <w:tcW w:w="2245" w:type="dxa"/>
            <w:vAlign w:val="center"/>
          </w:tcPr>
          <w:p w14:paraId="7C37B3DF" w14:textId="7EB121FD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HvHKT1;1-FL-R</w:t>
            </w:r>
          </w:p>
        </w:tc>
        <w:tc>
          <w:tcPr>
            <w:tcW w:w="3988" w:type="dxa"/>
          </w:tcPr>
          <w:p w14:paraId="7FFC6925" w14:textId="77777777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17" w:type="dxa"/>
            <w:vAlign w:val="center"/>
          </w:tcPr>
          <w:p w14:paraId="115AA974" w14:textId="1CFAD8EC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CTGATTCATCGCTTTGCTTTCC</w:t>
            </w:r>
          </w:p>
        </w:tc>
      </w:tr>
      <w:tr w:rsidR="006519A5" w:rsidRPr="006519A5" w14:paraId="5D786A1C" w14:textId="77777777" w:rsidTr="002217BC">
        <w:tc>
          <w:tcPr>
            <w:tcW w:w="2245" w:type="dxa"/>
            <w:vAlign w:val="center"/>
          </w:tcPr>
          <w:p w14:paraId="142939CB" w14:textId="058E940D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HvHKT1;1-V1-F</w:t>
            </w:r>
          </w:p>
        </w:tc>
        <w:tc>
          <w:tcPr>
            <w:tcW w:w="3988" w:type="dxa"/>
          </w:tcPr>
          <w:p w14:paraId="0C9AED40" w14:textId="77777777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17" w:type="dxa"/>
            <w:vAlign w:val="center"/>
          </w:tcPr>
          <w:p w14:paraId="2E8C752F" w14:textId="5E609C64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GGAACTTGGATCTGATGTTCACC</w:t>
            </w:r>
          </w:p>
        </w:tc>
      </w:tr>
      <w:tr w:rsidR="006519A5" w:rsidRPr="006519A5" w14:paraId="7612A545" w14:textId="77777777" w:rsidTr="002217BC">
        <w:tc>
          <w:tcPr>
            <w:tcW w:w="2245" w:type="dxa"/>
            <w:vAlign w:val="center"/>
          </w:tcPr>
          <w:p w14:paraId="6F8B8C6F" w14:textId="2880355B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HvHKT1;1-V1-R</w:t>
            </w:r>
          </w:p>
        </w:tc>
        <w:tc>
          <w:tcPr>
            <w:tcW w:w="3988" w:type="dxa"/>
          </w:tcPr>
          <w:p w14:paraId="57977D7A" w14:textId="77777777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17" w:type="dxa"/>
            <w:vAlign w:val="center"/>
          </w:tcPr>
          <w:p w14:paraId="69B59499" w14:textId="3B5C8D2F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CTACAAGAATCTGATTGTGTGGC</w:t>
            </w:r>
          </w:p>
        </w:tc>
      </w:tr>
      <w:tr w:rsidR="006519A5" w:rsidRPr="006519A5" w14:paraId="1C193E37" w14:textId="77777777" w:rsidTr="002217BC">
        <w:tc>
          <w:tcPr>
            <w:tcW w:w="2245" w:type="dxa"/>
            <w:vAlign w:val="center"/>
          </w:tcPr>
          <w:p w14:paraId="445B334A" w14:textId="5ED90B0E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HvHKT1;1-V2-F</w:t>
            </w:r>
          </w:p>
        </w:tc>
        <w:tc>
          <w:tcPr>
            <w:tcW w:w="3988" w:type="dxa"/>
          </w:tcPr>
          <w:p w14:paraId="79CB7505" w14:textId="77777777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17" w:type="dxa"/>
            <w:vAlign w:val="center"/>
          </w:tcPr>
          <w:p w14:paraId="0D554A8A" w14:textId="68A10A48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CTTGTTTCTGTGACGGTGTCGA</w:t>
            </w:r>
          </w:p>
        </w:tc>
      </w:tr>
      <w:tr w:rsidR="006519A5" w:rsidRPr="006519A5" w14:paraId="21773ABE" w14:textId="77777777" w:rsidTr="002217BC">
        <w:tc>
          <w:tcPr>
            <w:tcW w:w="2245" w:type="dxa"/>
            <w:vAlign w:val="center"/>
          </w:tcPr>
          <w:p w14:paraId="3F6BB27D" w14:textId="15997A2A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HvHKT1;1-V2-R</w:t>
            </w:r>
          </w:p>
        </w:tc>
        <w:tc>
          <w:tcPr>
            <w:tcW w:w="3988" w:type="dxa"/>
          </w:tcPr>
          <w:p w14:paraId="21AB4B2A" w14:textId="77777777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17" w:type="dxa"/>
            <w:vAlign w:val="center"/>
          </w:tcPr>
          <w:p w14:paraId="436F575C" w14:textId="05144D91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CCTACAAGAATCTGATTGTGTGGC</w:t>
            </w:r>
          </w:p>
        </w:tc>
      </w:tr>
      <w:tr w:rsidR="006519A5" w:rsidRPr="006519A5" w14:paraId="08F7CC6D" w14:textId="77777777" w:rsidTr="002217BC">
        <w:tc>
          <w:tcPr>
            <w:tcW w:w="2245" w:type="dxa"/>
            <w:vAlign w:val="center"/>
          </w:tcPr>
          <w:p w14:paraId="67194DCB" w14:textId="0ED17CE7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HvHKT1;1-V3-F</w:t>
            </w:r>
          </w:p>
        </w:tc>
        <w:tc>
          <w:tcPr>
            <w:tcW w:w="3988" w:type="dxa"/>
          </w:tcPr>
          <w:p w14:paraId="50CA5836" w14:textId="77777777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17" w:type="dxa"/>
            <w:vAlign w:val="center"/>
          </w:tcPr>
          <w:p w14:paraId="7DA6F451" w14:textId="76F06C3E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CTTGTTTCTGTGACGGTGTCGA</w:t>
            </w:r>
          </w:p>
        </w:tc>
      </w:tr>
      <w:tr w:rsidR="006519A5" w:rsidRPr="006519A5" w14:paraId="56F0F1F0" w14:textId="77777777" w:rsidTr="002217BC">
        <w:tc>
          <w:tcPr>
            <w:tcW w:w="2245" w:type="dxa"/>
            <w:vAlign w:val="center"/>
          </w:tcPr>
          <w:p w14:paraId="2C123809" w14:textId="4F3F0A09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HvHKT1;1-V3-R</w:t>
            </w:r>
          </w:p>
        </w:tc>
        <w:tc>
          <w:tcPr>
            <w:tcW w:w="3988" w:type="dxa"/>
          </w:tcPr>
          <w:p w14:paraId="51FC7262" w14:textId="77777777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17" w:type="dxa"/>
            <w:vAlign w:val="center"/>
          </w:tcPr>
          <w:p w14:paraId="5CBCED85" w14:textId="00758C0D" w:rsidR="006519A5" w:rsidRPr="006519A5" w:rsidRDefault="006519A5" w:rsidP="006519A5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519A5">
              <w:rPr>
                <w:rFonts w:ascii="Times New Roman" w:hAnsi="Times New Roman" w:cs="Times New Roman"/>
                <w:color w:val="000000" w:themeColor="text1"/>
                <w:kern w:val="24"/>
                <w:sz w:val="20"/>
                <w:szCs w:val="20"/>
              </w:rPr>
              <w:t>GGATTACTGATTCATCGCTTTGC</w:t>
            </w:r>
          </w:p>
        </w:tc>
      </w:tr>
    </w:tbl>
    <w:p w14:paraId="4CACAF41" w14:textId="0F5A505F" w:rsidR="0075003E" w:rsidRDefault="0075003E" w:rsidP="006519A5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6CA0CF4" w14:textId="5B6BD305" w:rsidR="006519A5" w:rsidRDefault="006519A5" w:rsidP="006519A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9DB532C" wp14:editId="7EB4FD8A">
            <wp:extent cx="4117313" cy="708183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9525" cy="71716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8B4214" w14:textId="0E51870A" w:rsidR="006519A5" w:rsidRDefault="006519A5" w:rsidP="006519A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54B8914" wp14:editId="1122CA3B">
            <wp:extent cx="4114452" cy="6596063"/>
            <wp:effectExtent l="0" t="0" r="63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4486" cy="66281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B6423A" w14:textId="5C04D45A" w:rsidR="006519A5" w:rsidRDefault="006519A5" w:rsidP="006519A5">
      <w:pPr>
        <w:jc w:val="both"/>
        <w:rPr>
          <w:rFonts w:ascii="Times New Roman" w:hAnsi="Times New Roman" w:cs="Times New Roman"/>
          <w:sz w:val="24"/>
          <w:szCs w:val="24"/>
        </w:rPr>
      </w:pPr>
      <w:r w:rsidRPr="001B324F">
        <w:rPr>
          <w:rFonts w:ascii="Times New Roman" w:hAnsi="Times New Roman" w:cs="Times New Roman"/>
          <w:b/>
          <w:bCs/>
          <w:sz w:val="24"/>
          <w:szCs w:val="24"/>
        </w:rPr>
        <w:t>Supplementary Figure S1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1B324F">
        <w:rPr>
          <w:rFonts w:ascii="Times New Roman" w:hAnsi="Times New Roman" w:cs="Times New Roman"/>
          <w:sz w:val="24"/>
          <w:szCs w:val="24"/>
        </w:rPr>
        <w:t xml:space="preserve">Nucleotide sequence alignment of HvHKT1;1 and its variants using GENETYX ver. 16. M1–M8 indicate transmembrane domains predicted using previously registered data from the </w:t>
      </w:r>
      <w:proofErr w:type="spellStart"/>
      <w:r w:rsidRPr="001B324F">
        <w:rPr>
          <w:rFonts w:ascii="Times New Roman" w:hAnsi="Times New Roman" w:cs="Times New Roman"/>
          <w:sz w:val="24"/>
          <w:szCs w:val="24"/>
        </w:rPr>
        <w:t>GeneBank</w:t>
      </w:r>
      <w:proofErr w:type="spellEnd"/>
      <w:r w:rsidRPr="001B324F">
        <w:rPr>
          <w:rFonts w:ascii="Times New Roman" w:hAnsi="Times New Roman" w:cs="Times New Roman"/>
          <w:sz w:val="24"/>
          <w:szCs w:val="24"/>
        </w:rPr>
        <w:t xml:space="preserve"> database.</w:t>
      </w:r>
    </w:p>
    <w:p w14:paraId="40535AC2" w14:textId="074493E1" w:rsidR="006519A5" w:rsidRDefault="006519A5" w:rsidP="006519A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086CF18" wp14:editId="19688436">
            <wp:extent cx="5949632" cy="6972007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6089" cy="6991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E9E3F8" w14:textId="538A2CFC" w:rsidR="006519A5" w:rsidRDefault="006519A5" w:rsidP="006519A5">
      <w:pPr>
        <w:jc w:val="both"/>
        <w:rPr>
          <w:rFonts w:ascii="Times New Roman" w:hAnsi="Times New Roman" w:cs="Times New Roman"/>
          <w:sz w:val="24"/>
          <w:szCs w:val="24"/>
        </w:rPr>
      </w:pPr>
      <w:r w:rsidRPr="001B324F">
        <w:rPr>
          <w:rFonts w:ascii="Times New Roman" w:hAnsi="Times New Roman" w:cs="Times New Roman"/>
          <w:b/>
          <w:bCs/>
          <w:sz w:val="24"/>
          <w:szCs w:val="24"/>
        </w:rPr>
        <w:t>Supplementary Figure S2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1B324F">
        <w:rPr>
          <w:rFonts w:ascii="Times New Roman" w:hAnsi="Times New Roman" w:cs="Times New Roman"/>
          <w:sz w:val="24"/>
          <w:szCs w:val="24"/>
        </w:rPr>
        <w:t xml:space="preserve">Protein sequence alignment of HvHKT1;1 and its variants using GENETYX ver. 16. M1–M8 indicate transmembrane domains predicted using previously registered data from the </w:t>
      </w:r>
      <w:proofErr w:type="spellStart"/>
      <w:r w:rsidRPr="001B324F">
        <w:rPr>
          <w:rFonts w:ascii="Times New Roman" w:hAnsi="Times New Roman" w:cs="Times New Roman"/>
          <w:sz w:val="24"/>
          <w:szCs w:val="24"/>
        </w:rPr>
        <w:t>GeneBank</w:t>
      </w:r>
      <w:proofErr w:type="spellEnd"/>
      <w:r w:rsidRPr="001B324F">
        <w:rPr>
          <w:rFonts w:ascii="Times New Roman" w:hAnsi="Times New Roman" w:cs="Times New Roman"/>
          <w:sz w:val="24"/>
          <w:szCs w:val="24"/>
        </w:rPr>
        <w:t xml:space="preserve"> database.</w:t>
      </w:r>
    </w:p>
    <w:p w14:paraId="76ECB2EF" w14:textId="7C7C1D26" w:rsidR="006519A5" w:rsidRDefault="00B95013" w:rsidP="006519A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D92F118" wp14:editId="683CA6FB">
            <wp:extent cx="5906601" cy="2414012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014" cy="24194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92E63EE" w14:textId="26A75FCF" w:rsidR="006519A5" w:rsidRDefault="006519A5" w:rsidP="006519A5">
      <w:pPr>
        <w:jc w:val="both"/>
        <w:rPr>
          <w:rFonts w:ascii="Times New Roman" w:hAnsi="Times New Roman" w:cs="Times New Roman"/>
          <w:sz w:val="24"/>
          <w:szCs w:val="24"/>
        </w:rPr>
      </w:pPr>
      <w:r w:rsidRPr="001B324F">
        <w:rPr>
          <w:rFonts w:ascii="Times New Roman" w:hAnsi="Times New Roman" w:cs="Times New Roman"/>
          <w:b/>
          <w:bCs/>
          <w:sz w:val="24"/>
          <w:szCs w:val="24"/>
        </w:rPr>
        <w:t>Supplementary Figure S3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1B324F">
        <w:rPr>
          <w:rFonts w:ascii="Times New Roman" w:hAnsi="Times New Roman" w:cs="Times New Roman"/>
          <w:sz w:val="24"/>
          <w:szCs w:val="24"/>
        </w:rPr>
        <w:t xml:space="preserve">Expression analysis of </w:t>
      </w:r>
      <w:r w:rsidRPr="006111A2">
        <w:rPr>
          <w:rFonts w:ascii="Times New Roman" w:hAnsi="Times New Roman" w:cs="Times New Roman"/>
          <w:i/>
          <w:iCs/>
          <w:sz w:val="24"/>
          <w:szCs w:val="24"/>
        </w:rPr>
        <w:t>HvHKT1;1-FL</w:t>
      </w:r>
      <w:r w:rsidRPr="001B324F">
        <w:rPr>
          <w:rFonts w:ascii="Times New Roman" w:hAnsi="Times New Roman" w:cs="Times New Roman"/>
          <w:sz w:val="24"/>
          <w:szCs w:val="24"/>
        </w:rPr>
        <w:t xml:space="preserve"> and its variants in root, leaf, and sheath of barley plants grown under stress conditions by reverse transcription polymerase chain reaction (RT-PCR). </w:t>
      </w:r>
      <w:r w:rsidRPr="007569F4">
        <w:rPr>
          <w:rFonts w:ascii="Times New Roman" w:hAnsi="Times New Roman" w:cs="Times New Roman"/>
          <w:i/>
          <w:iCs/>
          <w:sz w:val="24"/>
          <w:szCs w:val="24"/>
        </w:rPr>
        <w:t>HvHKT1;1-EF1α</w:t>
      </w:r>
      <w:r w:rsidRPr="001B324F">
        <w:rPr>
          <w:rFonts w:ascii="Times New Roman" w:hAnsi="Times New Roman" w:cs="Times New Roman"/>
          <w:sz w:val="24"/>
          <w:szCs w:val="24"/>
        </w:rPr>
        <w:t xml:space="preserve"> was used as an internal control.</w:t>
      </w:r>
    </w:p>
    <w:p w14:paraId="7E1340FE" w14:textId="5D7DFE5A" w:rsidR="006519A5" w:rsidRDefault="006519A5" w:rsidP="006519A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57D8978" wp14:editId="4AC20ABD">
            <wp:extent cx="5929978" cy="7911336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583" cy="79414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593A5AD" w14:textId="643C7915" w:rsidR="006519A5" w:rsidRDefault="006519A5" w:rsidP="006519A5">
      <w:pPr>
        <w:jc w:val="both"/>
        <w:rPr>
          <w:rFonts w:ascii="Times New Roman" w:hAnsi="Times New Roman" w:cs="Times New Roman"/>
          <w:sz w:val="24"/>
          <w:szCs w:val="24"/>
        </w:rPr>
      </w:pPr>
      <w:r w:rsidRPr="001B324F">
        <w:rPr>
          <w:rFonts w:ascii="Times New Roman" w:hAnsi="Times New Roman" w:cs="Times New Roman"/>
          <w:b/>
          <w:bCs/>
          <w:sz w:val="24"/>
          <w:szCs w:val="24"/>
        </w:rPr>
        <w:lastRenderedPageBreak/>
        <w:t>Supplementary Figure S4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1B324F">
        <w:rPr>
          <w:rFonts w:ascii="Times New Roman" w:hAnsi="Times New Roman" w:cs="Times New Roman"/>
          <w:sz w:val="24"/>
          <w:szCs w:val="24"/>
        </w:rPr>
        <w:t>Na</w:t>
      </w:r>
      <w:r w:rsidRPr="001B324F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1B324F">
        <w:rPr>
          <w:rFonts w:ascii="Times New Roman" w:hAnsi="Times New Roman" w:cs="Times New Roman"/>
          <w:sz w:val="24"/>
          <w:szCs w:val="24"/>
        </w:rPr>
        <w:t xml:space="preserve"> transport activity of HvHKT1;1</w:t>
      </w:r>
      <w:r>
        <w:rPr>
          <w:rFonts w:ascii="Times New Roman" w:hAnsi="Times New Roman" w:cs="Times New Roman"/>
          <w:sz w:val="24"/>
          <w:szCs w:val="24"/>
        </w:rPr>
        <w:t>-FL</w:t>
      </w:r>
      <w:r w:rsidRPr="001B324F">
        <w:rPr>
          <w:rFonts w:ascii="Times New Roman" w:hAnsi="Times New Roman" w:cs="Times New Roman"/>
          <w:sz w:val="24"/>
          <w:szCs w:val="24"/>
        </w:rPr>
        <w:t xml:space="preserve"> and its variants under different Na</w:t>
      </w:r>
      <w:r w:rsidRPr="001B324F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1B324F">
        <w:rPr>
          <w:rFonts w:ascii="Times New Roman" w:hAnsi="Times New Roman" w:cs="Times New Roman"/>
          <w:sz w:val="24"/>
          <w:szCs w:val="24"/>
        </w:rPr>
        <w:t xml:space="preserve"> concentrations. Current–voltage relationships (I–V curves) obtained from oocytes injected with either 50 ng </w:t>
      </w:r>
      <w:r>
        <w:rPr>
          <w:rFonts w:ascii="Times New Roman" w:hAnsi="Times New Roman" w:cs="Times New Roman"/>
          <w:sz w:val="24"/>
          <w:szCs w:val="24"/>
        </w:rPr>
        <w:t xml:space="preserve">of </w:t>
      </w:r>
      <w:r w:rsidRPr="001B324F">
        <w:rPr>
          <w:rFonts w:ascii="Times New Roman" w:hAnsi="Times New Roman" w:cs="Times New Roman"/>
          <w:sz w:val="24"/>
          <w:szCs w:val="24"/>
        </w:rPr>
        <w:t>HvHKT1;1-FL </w:t>
      </w:r>
      <w:proofErr w:type="spellStart"/>
      <w:r w:rsidRPr="001B324F">
        <w:rPr>
          <w:rFonts w:ascii="Times New Roman" w:hAnsi="Times New Roman" w:cs="Times New Roman"/>
          <w:sz w:val="24"/>
          <w:szCs w:val="24"/>
        </w:rPr>
        <w:t>cRNA</w:t>
      </w:r>
      <w:proofErr w:type="spellEnd"/>
      <w:r w:rsidRPr="001B324F">
        <w:rPr>
          <w:rFonts w:ascii="Times New Roman" w:hAnsi="Times New Roman" w:cs="Times New Roman"/>
          <w:sz w:val="24"/>
          <w:szCs w:val="24"/>
        </w:rPr>
        <w:t xml:space="preserve"> (A), HvHKT1;1-V1 </w:t>
      </w:r>
      <w:proofErr w:type="spellStart"/>
      <w:r w:rsidRPr="001B324F">
        <w:rPr>
          <w:rFonts w:ascii="Times New Roman" w:hAnsi="Times New Roman" w:cs="Times New Roman"/>
          <w:sz w:val="24"/>
          <w:szCs w:val="24"/>
        </w:rPr>
        <w:t>cRNA</w:t>
      </w:r>
      <w:proofErr w:type="spellEnd"/>
      <w:r w:rsidRPr="001B324F">
        <w:rPr>
          <w:rFonts w:ascii="Times New Roman" w:hAnsi="Times New Roman" w:cs="Times New Roman"/>
          <w:sz w:val="24"/>
          <w:szCs w:val="24"/>
        </w:rPr>
        <w:t xml:space="preserve"> (C), HvHKT1;1-V2 </w:t>
      </w:r>
      <w:proofErr w:type="spellStart"/>
      <w:r w:rsidRPr="001B324F">
        <w:rPr>
          <w:rFonts w:ascii="Times New Roman" w:hAnsi="Times New Roman" w:cs="Times New Roman"/>
          <w:sz w:val="24"/>
          <w:szCs w:val="24"/>
        </w:rPr>
        <w:t>cRNA</w:t>
      </w:r>
      <w:proofErr w:type="spellEnd"/>
      <w:r w:rsidRPr="001B324F">
        <w:rPr>
          <w:rFonts w:ascii="Times New Roman" w:hAnsi="Times New Roman" w:cs="Times New Roman"/>
          <w:sz w:val="24"/>
          <w:szCs w:val="24"/>
        </w:rPr>
        <w:t xml:space="preserve"> (E), HvHKT1;1-V3 </w:t>
      </w:r>
      <w:proofErr w:type="spellStart"/>
      <w:r w:rsidRPr="001B324F">
        <w:rPr>
          <w:rFonts w:ascii="Times New Roman" w:hAnsi="Times New Roman" w:cs="Times New Roman"/>
          <w:sz w:val="24"/>
          <w:szCs w:val="24"/>
        </w:rPr>
        <w:t>cRNA</w:t>
      </w:r>
      <w:proofErr w:type="spellEnd"/>
      <w:r w:rsidRPr="001B324F">
        <w:rPr>
          <w:rFonts w:ascii="Times New Roman" w:hAnsi="Times New Roman" w:cs="Times New Roman"/>
          <w:sz w:val="24"/>
          <w:szCs w:val="24"/>
        </w:rPr>
        <w:t xml:space="preserve"> (G). Na</w:t>
      </w:r>
      <w:r w:rsidRPr="001B324F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1B324F">
        <w:rPr>
          <w:rFonts w:ascii="Times New Roman" w:hAnsi="Times New Roman" w:cs="Times New Roman"/>
          <w:sz w:val="24"/>
          <w:szCs w:val="24"/>
        </w:rPr>
        <w:t xml:space="preserve"> concentration-dependent ionic conductance analysis for HvHKT1;1-FL (B), HvHKT1;1-V1 (D), HvHKT1;1-V2 (F), HvHKT1;1-V3 (H). External bath solutions contained 12, 24, 48, and 96 mM NaCl. 96 mM NaCl solution contains background elements as 1.8 mM CaCl</w:t>
      </w:r>
      <w:r w:rsidRPr="00FC76E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1B324F">
        <w:rPr>
          <w:rFonts w:ascii="Times New Roman" w:hAnsi="Times New Roman" w:cs="Times New Roman"/>
          <w:sz w:val="24"/>
          <w:szCs w:val="24"/>
        </w:rPr>
        <w:t>, 1.8 mM MgCl</w:t>
      </w:r>
      <w:r w:rsidRPr="00FC76E4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1B324F">
        <w:rPr>
          <w:rFonts w:ascii="Times New Roman" w:hAnsi="Times New Roman" w:cs="Times New Roman"/>
          <w:sz w:val="24"/>
          <w:szCs w:val="24"/>
        </w:rPr>
        <w:t>, 1.8 mM mannitol, and 10 mM HEPES (pH 7.5 with Tris). 48 mM to 12 mM NaCl solutions contain background elements as 1.8 mM CaCl</w:t>
      </w:r>
      <w:r w:rsidRPr="001B324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1B324F">
        <w:rPr>
          <w:rFonts w:ascii="Times New Roman" w:hAnsi="Times New Roman" w:cs="Times New Roman"/>
          <w:sz w:val="24"/>
          <w:szCs w:val="24"/>
        </w:rPr>
        <w:t>, 1.8 mM MgCl</w:t>
      </w:r>
      <w:r w:rsidRPr="001B324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1B324F">
        <w:rPr>
          <w:rFonts w:ascii="Times New Roman" w:hAnsi="Times New Roman" w:cs="Times New Roman"/>
          <w:sz w:val="24"/>
          <w:szCs w:val="24"/>
        </w:rPr>
        <w:t>, 96-, 144-, or 168-mM mannitol, and 10 mM HEPES (pH 7.5 with Tris). Voltage steps ranged from −120 to +30 mV with 15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B324F">
        <w:rPr>
          <w:rFonts w:ascii="Times New Roman" w:hAnsi="Times New Roman" w:cs="Times New Roman"/>
          <w:sz w:val="24"/>
          <w:szCs w:val="24"/>
        </w:rPr>
        <w:t>mV increments. Data are shown as means ± SE (</w:t>
      </w:r>
      <w:r w:rsidRPr="001B324F">
        <w:rPr>
          <w:rFonts w:ascii="Times New Roman" w:hAnsi="Times New Roman" w:cs="Times New Roman"/>
          <w:i/>
          <w:iCs/>
          <w:sz w:val="24"/>
          <w:szCs w:val="24"/>
        </w:rPr>
        <w:t>n</w:t>
      </w:r>
      <w:r w:rsidRPr="001B324F">
        <w:rPr>
          <w:rFonts w:ascii="Times New Roman" w:hAnsi="Times New Roman" w:cs="Times New Roman"/>
          <w:sz w:val="24"/>
          <w:szCs w:val="24"/>
        </w:rPr>
        <w:t> = 6-10).</w:t>
      </w:r>
    </w:p>
    <w:p w14:paraId="7EFE0E8A" w14:textId="531C86AF" w:rsidR="006519A5" w:rsidRDefault="00D65950" w:rsidP="006519A5">
      <w:pPr>
        <w:jc w:val="both"/>
        <w:rPr>
          <w:rFonts w:ascii="Times New Roman" w:hAnsi="Times New Roman" w:cs="Times New Roman"/>
          <w:sz w:val="24"/>
          <w:szCs w:val="24"/>
        </w:rPr>
      </w:pPr>
      <w:r w:rsidRPr="00D65950">
        <w:rPr>
          <w:noProof/>
        </w:rPr>
        <w:lastRenderedPageBreak/>
        <w:drawing>
          <wp:inline distT="0" distB="0" distL="0" distR="0" wp14:anchorId="4AFAF3A9" wp14:editId="48A2B495">
            <wp:extent cx="5943600" cy="650811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50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34DEBE" w14:textId="0E8928D1" w:rsidR="006519A5" w:rsidRPr="006519A5" w:rsidRDefault="006519A5" w:rsidP="006519A5">
      <w:pPr>
        <w:jc w:val="both"/>
        <w:rPr>
          <w:rFonts w:ascii="Times New Roman" w:hAnsi="Times New Roman" w:cs="Times New Roman"/>
          <w:sz w:val="24"/>
          <w:szCs w:val="24"/>
        </w:rPr>
      </w:pPr>
      <w:r w:rsidRPr="001B324F">
        <w:rPr>
          <w:rFonts w:ascii="Times New Roman" w:hAnsi="Times New Roman" w:cs="Times New Roman"/>
          <w:b/>
          <w:bCs/>
          <w:sz w:val="24"/>
          <w:szCs w:val="24"/>
        </w:rPr>
        <w:t xml:space="preserve">Supplementary Figure </w:t>
      </w:r>
      <w:bookmarkStart w:id="2" w:name="_Hlk191053022"/>
      <w:r w:rsidRPr="001B324F">
        <w:rPr>
          <w:rFonts w:ascii="Times New Roman" w:hAnsi="Times New Roman" w:cs="Times New Roman"/>
          <w:b/>
          <w:bCs/>
          <w:sz w:val="24"/>
          <w:szCs w:val="24"/>
        </w:rPr>
        <w:t>S5</w:t>
      </w:r>
      <w:bookmarkEnd w:id="2"/>
      <w:r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1B324F">
        <w:rPr>
          <w:rFonts w:ascii="Times New Roman" w:hAnsi="Times New Roman" w:cs="Times New Roman"/>
          <w:sz w:val="24"/>
          <w:szCs w:val="24"/>
        </w:rPr>
        <w:t>Na</w:t>
      </w:r>
      <w:r w:rsidRPr="001B324F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1B324F">
        <w:rPr>
          <w:rFonts w:ascii="Times New Roman" w:hAnsi="Times New Roman" w:cs="Times New Roman"/>
          <w:sz w:val="24"/>
          <w:szCs w:val="24"/>
        </w:rPr>
        <w:t xml:space="preserve"> selectivity of HvHKT1;1 and its variants. The TEVC experiment using </w:t>
      </w:r>
      <w:r w:rsidRPr="001B324F">
        <w:rPr>
          <w:rFonts w:ascii="Times New Roman" w:hAnsi="Times New Roman" w:cs="Times New Roman"/>
          <w:i/>
          <w:iCs/>
          <w:sz w:val="24"/>
          <w:szCs w:val="24"/>
        </w:rPr>
        <w:t xml:space="preserve">X. </w:t>
      </w:r>
      <w:proofErr w:type="spellStart"/>
      <w:r w:rsidRPr="001B324F">
        <w:rPr>
          <w:rFonts w:ascii="Times New Roman" w:hAnsi="Times New Roman" w:cs="Times New Roman"/>
          <w:i/>
          <w:iCs/>
          <w:sz w:val="24"/>
          <w:szCs w:val="24"/>
        </w:rPr>
        <w:t>laevis</w:t>
      </w:r>
      <w:proofErr w:type="spellEnd"/>
      <w:r w:rsidRPr="001B324F">
        <w:rPr>
          <w:rFonts w:ascii="Times New Roman" w:hAnsi="Times New Roman" w:cs="Times New Roman"/>
          <w:sz w:val="24"/>
          <w:szCs w:val="24"/>
        </w:rPr>
        <w:t xml:space="preserve"> oocytes </w:t>
      </w:r>
      <w:r>
        <w:rPr>
          <w:rFonts w:ascii="Times New Roman" w:hAnsi="Times New Roman" w:cs="Times New Roman"/>
          <w:sz w:val="24"/>
          <w:szCs w:val="24"/>
        </w:rPr>
        <w:t>was</w:t>
      </w:r>
      <w:r w:rsidRPr="001B324F">
        <w:rPr>
          <w:rFonts w:ascii="Times New Roman" w:hAnsi="Times New Roman" w:cs="Times New Roman"/>
          <w:sz w:val="24"/>
          <w:szCs w:val="24"/>
        </w:rPr>
        <w:t xml:space="preserve"> conducted. Current–voltage relationships (I–V curves) obtained from oocytes injected with either 50 ng </w:t>
      </w:r>
      <w:r>
        <w:rPr>
          <w:rFonts w:ascii="Times New Roman" w:hAnsi="Times New Roman" w:cs="Times New Roman"/>
          <w:sz w:val="24"/>
          <w:szCs w:val="24"/>
        </w:rPr>
        <w:t xml:space="preserve">of </w:t>
      </w:r>
      <w:r w:rsidRPr="001B324F">
        <w:rPr>
          <w:rFonts w:ascii="Times New Roman" w:hAnsi="Times New Roman" w:cs="Times New Roman"/>
          <w:sz w:val="24"/>
          <w:szCs w:val="24"/>
        </w:rPr>
        <w:t>HvHKT1;1-FL </w:t>
      </w:r>
      <w:proofErr w:type="spellStart"/>
      <w:r w:rsidRPr="001B324F">
        <w:rPr>
          <w:rFonts w:ascii="Times New Roman" w:hAnsi="Times New Roman" w:cs="Times New Roman"/>
          <w:sz w:val="24"/>
          <w:szCs w:val="24"/>
        </w:rPr>
        <w:t>cRNA</w:t>
      </w:r>
      <w:proofErr w:type="spellEnd"/>
      <w:r w:rsidRPr="001B324F">
        <w:rPr>
          <w:rFonts w:ascii="Times New Roman" w:hAnsi="Times New Roman" w:cs="Times New Roman"/>
          <w:sz w:val="24"/>
          <w:szCs w:val="24"/>
        </w:rPr>
        <w:t xml:space="preserve"> (A), HvHKT1;1-V1 </w:t>
      </w:r>
      <w:proofErr w:type="spellStart"/>
      <w:r w:rsidRPr="001B324F">
        <w:rPr>
          <w:rFonts w:ascii="Times New Roman" w:hAnsi="Times New Roman" w:cs="Times New Roman"/>
          <w:sz w:val="24"/>
          <w:szCs w:val="24"/>
        </w:rPr>
        <w:t>cRNA</w:t>
      </w:r>
      <w:proofErr w:type="spellEnd"/>
      <w:r w:rsidRPr="001B324F">
        <w:rPr>
          <w:rFonts w:ascii="Times New Roman" w:hAnsi="Times New Roman" w:cs="Times New Roman"/>
          <w:sz w:val="24"/>
          <w:szCs w:val="24"/>
        </w:rPr>
        <w:t xml:space="preserve"> (C), HvHKT1;1-V2 </w:t>
      </w:r>
      <w:proofErr w:type="spellStart"/>
      <w:r w:rsidRPr="001B324F">
        <w:rPr>
          <w:rFonts w:ascii="Times New Roman" w:hAnsi="Times New Roman" w:cs="Times New Roman"/>
          <w:sz w:val="24"/>
          <w:szCs w:val="24"/>
        </w:rPr>
        <w:t>cRNA</w:t>
      </w:r>
      <w:proofErr w:type="spellEnd"/>
      <w:r w:rsidRPr="001B324F">
        <w:rPr>
          <w:rFonts w:ascii="Times New Roman" w:hAnsi="Times New Roman" w:cs="Times New Roman"/>
          <w:sz w:val="24"/>
          <w:szCs w:val="24"/>
        </w:rPr>
        <w:t xml:space="preserve"> (E), HvHKT1;1-V3 </w:t>
      </w:r>
      <w:proofErr w:type="spellStart"/>
      <w:r w:rsidRPr="001B324F">
        <w:rPr>
          <w:rFonts w:ascii="Times New Roman" w:hAnsi="Times New Roman" w:cs="Times New Roman"/>
          <w:sz w:val="24"/>
          <w:szCs w:val="24"/>
        </w:rPr>
        <w:t>cRNA</w:t>
      </w:r>
      <w:proofErr w:type="spellEnd"/>
      <w:r w:rsidRPr="001B324F">
        <w:rPr>
          <w:rFonts w:ascii="Times New Roman" w:hAnsi="Times New Roman" w:cs="Times New Roman"/>
          <w:sz w:val="24"/>
          <w:szCs w:val="24"/>
        </w:rPr>
        <w:t xml:space="preserve"> (G). Reversal potential shift analysis conducted by changing the external Na</w:t>
      </w:r>
      <w:r w:rsidRPr="00FC76E4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Pr="001B324F">
        <w:rPr>
          <w:rFonts w:ascii="Times New Roman" w:hAnsi="Times New Roman" w:cs="Times New Roman"/>
          <w:sz w:val="24"/>
          <w:szCs w:val="24"/>
        </w:rPr>
        <w:t xml:space="preserve"> concentration from 96 mM to 0 mM for HvHKT1;1-FL (B), HvHKT1;1-V1 (D), HvHKT1;1-V2 (F), HvHKT1;1-V3 (H). External bath solutions contained 96 mM Na gluconate and 96 mM </w:t>
      </w:r>
      <w:r>
        <w:rPr>
          <w:rFonts w:ascii="Times New Roman" w:hAnsi="Times New Roman" w:cs="Times New Roman"/>
          <w:sz w:val="24"/>
          <w:szCs w:val="24"/>
        </w:rPr>
        <w:t>C</w:t>
      </w:r>
      <w:r w:rsidRPr="001B324F">
        <w:rPr>
          <w:rFonts w:ascii="Times New Roman" w:hAnsi="Times New Roman" w:cs="Times New Roman"/>
          <w:sz w:val="24"/>
          <w:szCs w:val="24"/>
        </w:rPr>
        <w:t>holine</w:t>
      </w:r>
      <w:r>
        <w:rPr>
          <w:rFonts w:ascii="Times New Roman" w:hAnsi="Times New Roman" w:cs="Times New Roman"/>
          <w:sz w:val="24"/>
          <w:szCs w:val="24"/>
        </w:rPr>
        <w:t>-Cl</w:t>
      </w:r>
      <w:r w:rsidRPr="001B324F">
        <w:rPr>
          <w:rFonts w:ascii="Times New Roman" w:hAnsi="Times New Roman" w:cs="Times New Roman"/>
          <w:sz w:val="24"/>
          <w:szCs w:val="24"/>
        </w:rPr>
        <w:t>. Basic background elements in the bath solution are 1.8 mM CaCl</w:t>
      </w:r>
      <w:r w:rsidRPr="001B324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1B324F">
        <w:rPr>
          <w:rFonts w:ascii="Times New Roman" w:hAnsi="Times New Roman" w:cs="Times New Roman"/>
          <w:sz w:val="24"/>
          <w:szCs w:val="24"/>
        </w:rPr>
        <w:t>, 1.8 mM MgCl</w:t>
      </w:r>
      <w:r w:rsidRPr="001B324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1B324F">
        <w:rPr>
          <w:rFonts w:ascii="Times New Roman" w:hAnsi="Times New Roman" w:cs="Times New Roman"/>
          <w:sz w:val="24"/>
          <w:szCs w:val="24"/>
        </w:rPr>
        <w:t xml:space="preserve">, 1.8 mM mannitol, and 10 mM HEPES (pH 7.5 with Tris). Voltage </w:t>
      </w:r>
      <w:r w:rsidRPr="001B324F">
        <w:rPr>
          <w:rFonts w:ascii="Times New Roman" w:hAnsi="Times New Roman" w:cs="Times New Roman"/>
          <w:sz w:val="24"/>
          <w:szCs w:val="24"/>
        </w:rPr>
        <w:lastRenderedPageBreak/>
        <w:t>steps ranged from −120 to +30 mV with 15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B324F">
        <w:rPr>
          <w:rFonts w:ascii="Times New Roman" w:hAnsi="Times New Roman" w:cs="Times New Roman"/>
          <w:sz w:val="24"/>
          <w:szCs w:val="24"/>
        </w:rPr>
        <w:t>mV increments. Data are shown as means ± SE (</w:t>
      </w:r>
      <w:r w:rsidRPr="001B324F">
        <w:rPr>
          <w:rFonts w:ascii="Times New Roman" w:hAnsi="Times New Roman" w:cs="Times New Roman"/>
          <w:i/>
          <w:iCs/>
          <w:sz w:val="24"/>
          <w:szCs w:val="24"/>
        </w:rPr>
        <w:t>n</w:t>
      </w:r>
      <w:r w:rsidRPr="001B324F">
        <w:rPr>
          <w:rFonts w:ascii="Times New Roman" w:hAnsi="Times New Roman" w:cs="Times New Roman"/>
          <w:sz w:val="24"/>
          <w:szCs w:val="24"/>
        </w:rPr>
        <w:t xml:space="preserve"> = 10). </w:t>
      </w:r>
      <w:r w:rsidR="00CD68E9" w:rsidRPr="00CD68E9">
        <w:rPr>
          <w:rFonts w:ascii="Times New Roman" w:hAnsi="Times New Roman" w:cs="Times New Roman"/>
          <w:sz w:val="24"/>
          <w:szCs w:val="24"/>
          <w:lang w:bidi="en-US"/>
        </w:rPr>
        <w:t>Asterisks denote values significantly different from 9.6 mM NaCl + 86.4 mM Na</w:t>
      </w:r>
      <w:r w:rsidR="00CD68E9" w:rsidRPr="00CD68E9">
        <w:rPr>
          <w:rFonts w:ascii="Times New Roman" w:hAnsi="Times New Roman" w:cs="Times New Roman"/>
          <w:sz w:val="24"/>
          <w:szCs w:val="24"/>
        </w:rPr>
        <w:t xml:space="preserve"> </w:t>
      </w:r>
      <w:r w:rsidR="00CD68E9" w:rsidRPr="00CD68E9">
        <w:rPr>
          <w:rFonts w:ascii="Times New Roman" w:hAnsi="Times New Roman" w:cs="Times New Roman"/>
          <w:sz w:val="24"/>
          <w:szCs w:val="24"/>
          <w:lang w:bidi="en-US"/>
        </w:rPr>
        <w:t>gluconate as determined by one-way ANOVA (***</w:t>
      </w:r>
      <w:r w:rsidR="00CD68E9" w:rsidRPr="00CD68E9">
        <w:rPr>
          <w:rFonts w:ascii="Times New Roman" w:hAnsi="Times New Roman" w:cs="Times New Roman"/>
          <w:i/>
          <w:iCs/>
          <w:sz w:val="24"/>
          <w:szCs w:val="24"/>
          <w:lang w:bidi="en-US"/>
        </w:rPr>
        <w:t>P</w:t>
      </w:r>
      <w:r w:rsidR="00CD68E9" w:rsidRPr="00CD68E9">
        <w:rPr>
          <w:rFonts w:ascii="Times New Roman" w:hAnsi="Times New Roman" w:cs="Times New Roman"/>
          <w:sz w:val="24"/>
          <w:szCs w:val="24"/>
          <w:lang w:bidi="en-US"/>
        </w:rPr>
        <w:t xml:space="preserve"> &lt; 0.001). Post hoc tests were not applicable because only two groups were compared.</w:t>
      </w:r>
    </w:p>
    <w:sectPr w:rsidR="006519A5" w:rsidRPr="006519A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19A5"/>
    <w:rsid w:val="000263B2"/>
    <w:rsid w:val="0005594E"/>
    <w:rsid w:val="00077583"/>
    <w:rsid w:val="003A6CB6"/>
    <w:rsid w:val="006519A5"/>
    <w:rsid w:val="0075003E"/>
    <w:rsid w:val="007B2BAB"/>
    <w:rsid w:val="00866257"/>
    <w:rsid w:val="00B95013"/>
    <w:rsid w:val="00CD68E9"/>
    <w:rsid w:val="00D65950"/>
    <w:rsid w:val="00ED61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DF5BC48"/>
  <w15:chartTrackingRefBased/>
  <w15:docId w15:val="{45EA395E-179A-4F0F-A316-A8573FD88B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519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A6CB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6CB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783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8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71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</Pages>
  <Words>563</Words>
  <Characters>3213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IMRAN SHAHIN</dc:creator>
  <cp:keywords/>
  <dc:description/>
  <cp:lastModifiedBy>Tech Science Press</cp:lastModifiedBy>
  <cp:revision>10</cp:revision>
  <dcterms:created xsi:type="dcterms:W3CDTF">2025-09-01T01:04:00Z</dcterms:created>
  <dcterms:modified xsi:type="dcterms:W3CDTF">2025-11-14T07:54:00Z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aef5e2f5-da52-4424-9b97-d35f9cdb2961</vt:lpwstr>
  </property>
</Properties>
</file>