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90504" w14:textId="411A50EB" w:rsidR="00C53706" w:rsidRPr="00575336" w:rsidRDefault="00C53706" w:rsidP="002E3826">
      <w:pPr>
        <w:pStyle w:val="TSP21heading1"/>
      </w:pPr>
      <w:r w:rsidRPr="00575336">
        <w:t>Lumped-parameter modeling of the cardiovascular system and ECMO pump</w:t>
      </w:r>
    </w:p>
    <w:p w14:paraId="59B7AAEF" w14:textId="642D5F98" w:rsidR="00075CF2" w:rsidRPr="00575336" w:rsidRDefault="005F7721" w:rsidP="002236F5">
      <w:pPr>
        <w:pStyle w:val="TSP31text"/>
      </w:pPr>
      <w:r w:rsidRPr="00575336">
        <w:t xml:space="preserve">In </w:t>
      </w:r>
      <w:r w:rsidR="00C53706" w:rsidRPr="00575336">
        <w:t>the</w:t>
      </w:r>
      <w:r w:rsidRPr="00575336">
        <w:t xml:space="preserve"> lumped parameter model</w:t>
      </w:r>
      <w:r w:rsidR="00C53706" w:rsidRPr="00575336">
        <w:t xml:space="preserve"> of the cardiovascular system</w:t>
      </w:r>
      <w:r w:rsidRPr="00575336">
        <w:t xml:space="preserve">, each vascular segment is </w:t>
      </w:r>
      <w:r w:rsidR="00C53706" w:rsidRPr="00575336">
        <w:t>represented by</w:t>
      </w:r>
      <w:r w:rsidRPr="00575336">
        <w:t xml:space="preserve"> a three-element </w:t>
      </w:r>
      <w:proofErr w:type="spellStart"/>
      <w:r w:rsidRPr="00575336">
        <w:t>Windkessel</w:t>
      </w:r>
      <w:proofErr w:type="spellEnd"/>
      <w:r w:rsidRPr="00575336">
        <w:t xml:space="preserve"> </w:t>
      </w:r>
      <w:r w:rsidR="00C53706" w:rsidRPr="00575336">
        <w:t>unit consisting of</w:t>
      </w:r>
      <w:r w:rsidR="00463800" w:rsidRPr="00575336">
        <w:t xml:space="preserve"> </w:t>
      </w:r>
      <w:r w:rsidR="00C53706" w:rsidRPr="00575336">
        <w:t xml:space="preserve">a </w:t>
      </w:r>
      <w:r w:rsidR="00463800" w:rsidRPr="00575336">
        <w:t xml:space="preserve">resistance (R), </w:t>
      </w:r>
      <w:r w:rsidR="00C53706" w:rsidRPr="00575336">
        <w:t xml:space="preserve">a </w:t>
      </w:r>
      <w:r w:rsidR="00463800" w:rsidRPr="00575336">
        <w:t xml:space="preserve">compliance (C), and </w:t>
      </w:r>
      <w:r w:rsidR="00C53706" w:rsidRPr="00575336">
        <w:t xml:space="preserve">an </w:t>
      </w:r>
      <w:r w:rsidR="00463800" w:rsidRPr="00575336">
        <w:t>inertance (L).</w:t>
      </w:r>
      <w:r w:rsidRPr="00575336">
        <w:t xml:space="preserve"> </w:t>
      </w:r>
      <w:r w:rsidR="00C53706" w:rsidRPr="00575336">
        <w:t xml:space="preserve">Details of the vascular network and assigned model parameter values have been reported in </w:t>
      </w:r>
      <w:r w:rsidRPr="00575336">
        <w:t>our previous work</w:t>
      </w:r>
      <w:r w:rsidR="00C53706" w:rsidRPr="00575336">
        <w:t xml:space="preserve"> </w:t>
      </w:r>
      <w:r w:rsidRPr="00575336">
        <w:t xml:space="preserve">[1]. </w:t>
      </w:r>
      <w:r w:rsidR="00463800" w:rsidRPr="00575336">
        <w:t xml:space="preserve">The governing equations for blood flow </w:t>
      </w:r>
      <w:r w:rsidR="00517CF2" w:rsidRPr="00575336">
        <w:t>are</w:t>
      </w:r>
      <w:r w:rsidR="00463800" w:rsidRPr="00575336">
        <w:t xml:space="preserve"> </w:t>
      </w:r>
      <w:r w:rsidR="00517CF2" w:rsidRPr="00575336">
        <w:t>formulated</w:t>
      </w:r>
      <w:r w:rsidR="00463800" w:rsidRPr="00575336">
        <w:t xml:space="preserve"> </w:t>
      </w:r>
      <w:r w:rsidR="00517CF2" w:rsidRPr="00575336">
        <w:t>following</w:t>
      </w:r>
      <w:r w:rsidR="00463800" w:rsidRPr="00575336">
        <w:t xml:space="preserve"> </w:t>
      </w:r>
      <w:r w:rsidR="00C53706" w:rsidRPr="00575336">
        <w:t>the</w:t>
      </w:r>
      <w:r w:rsidR="00463800" w:rsidRPr="00575336">
        <w:t xml:space="preserve"> mass and momentum </w:t>
      </w:r>
      <w:r w:rsidR="00C53706" w:rsidRPr="00575336">
        <w:t xml:space="preserve">conservation </w:t>
      </w:r>
      <w:r w:rsidR="00463800" w:rsidRPr="00575336">
        <w:t xml:space="preserve">principles, which </w:t>
      </w:r>
      <w:r w:rsidR="00517CF2" w:rsidRPr="00575336">
        <w:t>are</w:t>
      </w:r>
      <w:r w:rsidR="00463800" w:rsidRPr="00575336">
        <w:t xml:space="preserve"> </w:t>
      </w:r>
      <w:r w:rsidR="00517CF2" w:rsidRPr="00575336">
        <w:t>defined</w:t>
      </w:r>
      <w:r w:rsidR="00463800" w:rsidRPr="00575336">
        <w:t xml:space="preserve"> at the pressure (‘P’) and flow (‘Q’) nodes, respectively.</w:t>
      </w:r>
      <w:r w:rsidRPr="00575336">
        <w:t xml:space="preserve"> </w:t>
      </w:r>
    </w:p>
    <w:p w14:paraId="0196A4CA" w14:textId="231C3F1F" w:rsidR="005F7721" w:rsidRPr="00575336" w:rsidRDefault="005F7721" w:rsidP="002236F5">
      <w:pPr>
        <w:pStyle w:val="TSP31text"/>
      </w:pPr>
      <w:r w:rsidRPr="00575336">
        <w:t xml:space="preserve">At a ‘P’ node, the equation describing mass conservation reads </w:t>
      </w:r>
    </w:p>
    <w:p w14:paraId="5A0298F8" w14:textId="70C89982" w:rsidR="005F7721" w:rsidRPr="00575336" w:rsidRDefault="005F7721">
      <w:pPr>
        <w:rPr>
          <w:rFonts w:ascii="Times New Roman" w:hAnsi="Times New Roman" w:cs="Times New Roman"/>
          <w:sz w:val="24"/>
          <w:szCs w:val="24"/>
        </w:rPr>
      </w:pPr>
      <w:r w:rsidRPr="00575336">
        <w:rPr>
          <w:rFonts w:ascii="Times New Roman" w:hAnsi="Times New Roman" w:cs="Times New Roman"/>
          <w:position w:val="-32"/>
          <w:sz w:val="24"/>
          <w:szCs w:val="24"/>
        </w:rPr>
        <w:object w:dxaOrig="1579" w:dyaOrig="740" w14:anchorId="30B33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75pt;height:36.3pt" o:ole="">
            <v:imagedata r:id="rId7" o:title=""/>
          </v:shape>
          <o:OLEObject Type="Embed" ProgID="Equation.DSMT4" ShapeID="_x0000_i1025" DrawAspect="Content" ObjectID="_1811327572" r:id="rId8"/>
        </w:object>
      </w:r>
      <w:r w:rsidRPr="00575336">
        <w:rPr>
          <w:rFonts w:ascii="Times New Roman" w:hAnsi="Times New Roman" w:cs="Times New Roman"/>
          <w:sz w:val="24"/>
          <w:szCs w:val="24"/>
        </w:rPr>
        <w:t xml:space="preserve"> (</w:t>
      </w:r>
      <w:r w:rsidR="002B4954">
        <w:rPr>
          <w:rFonts w:ascii="Times New Roman" w:hAnsi="Times New Roman" w:cs="Times New Roman" w:hint="eastAsia"/>
          <w:sz w:val="24"/>
          <w:szCs w:val="24"/>
        </w:rPr>
        <w:t>S</w:t>
      </w:r>
      <w:r w:rsidRPr="00575336">
        <w:rPr>
          <w:rFonts w:ascii="Times New Roman" w:hAnsi="Times New Roman" w:cs="Times New Roman"/>
          <w:sz w:val="24"/>
          <w:szCs w:val="24"/>
        </w:rPr>
        <w:t>1)</w:t>
      </w:r>
    </w:p>
    <w:p w14:paraId="36C29C1E" w14:textId="6A31492F" w:rsidR="005F7721" w:rsidRPr="00575336" w:rsidRDefault="00C53706" w:rsidP="002236F5">
      <w:pPr>
        <w:pStyle w:val="TSP31text"/>
      </w:pPr>
      <w:r w:rsidRPr="00575336">
        <w:t>A</w:t>
      </w:r>
      <w:r w:rsidR="005F7721" w:rsidRPr="00575336">
        <w:t>t a ‘Q’ node, the momentum conservation equation is expressed as</w:t>
      </w:r>
    </w:p>
    <w:p w14:paraId="74CBBE37" w14:textId="5AB5F1DB" w:rsidR="005F7721" w:rsidRPr="00575336" w:rsidRDefault="005F7721">
      <w:pPr>
        <w:rPr>
          <w:rFonts w:ascii="Times New Roman" w:hAnsi="Times New Roman" w:cs="Times New Roman"/>
          <w:sz w:val="24"/>
          <w:szCs w:val="24"/>
        </w:rPr>
      </w:pPr>
      <w:r w:rsidRPr="00575336">
        <w:rPr>
          <w:rFonts w:ascii="Times New Roman" w:hAnsi="Times New Roman" w:cs="Times New Roman"/>
          <w:position w:val="-32"/>
          <w:sz w:val="24"/>
          <w:szCs w:val="24"/>
        </w:rPr>
        <w:object w:dxaOrig="2240" w:dyaOrig="740" w14:anchorId="3391E238">
          <v:shape id="_x0000_i1026" type="#_x0000_t75" style="width:112.3pt;height:36.3pt" o:ole="">
            <v:imagedata r:id="rId9" o:title=""/>
          </v:shape>
          <o:OLEObject Type="Embed" ProgID="Equation.DSMT4" ShapeID="_x0000_i1026" DrawAspect="Content" ObjectID="_1811327573" r:id="rId10"/>
        </w:object>
      </w:r>
      <w:r w:rsidRPr="00575336">
        <w:rPr>
          <w:rFonts w:ascii="Times New Roman" w:hAnsi="Times New Roman" w:cs="Times New Roman"/>
          <w:sz w:val="24"/>
          <w:szCs w:val="24"/>
        </w:rPr>
        <w:t xml:space="preserve"> (</w:t>
      </w:r>
      <w:r w:rsidR="002B4954">
        <w:rPr>
          <w:rFonts w:ascii="Times New Roman" w:hAnsi="Times New Roman" w:cs="Times New Roman" w:hint="eastAsia"/>
          <w:sz w:val="24"/>
          <w:szCs w:val="24"/>
        </w:rPr>
        <w:t>S</w:t>
      </w:r>
      <w:r w:rsidRPr="00575336">
        <w:rPr>
          <w:rFonts w:ascii="Times New Roman" w:hAnsi="Times New Roman" w:cs="Times New Roman"/>
          <w:sz w:val="24"/>
          <w:szCs w:val="24"/>
        </w:rPr>
        <w:t>2)</w:t>
      </w:r>
    </w:p>
    <w:p w14:paraId="3926A0F2" w14:textId="744A5842" w:rsidR="005F7721" w:rsidRPr="00575336" w:rsidRDefault="005F7721" w:rsidP="002236F5">
      <w:pPr>
        <w:pStyle w:val="TSP32textnoindent"/>
      </w:pPr>
      <w:r w:rsidRPr="00575336">
        <w:t>where</w:t>
      </w:r>
      <w:r w:rsidRPr="00575336">
        <w:rPr>
          <w:i/>
        </w:rPr>
        <w:t xml:space="preserve"> </w:t>
      </w:r>
      <w:proofErr w:type="spellStart"/>
      <w:r w:rsidRPr="00575336">
        <w:rPr>
          <w:i/>
        </w:rPr>
        <w:t>t</w:t>
      </w:r>
      <w:proofErr w:type="spellEnd"/>
      <w:r w:rsidRPr="00575336">
        <w:t xml:space="preserve"> is the time, subscripts ‘</w:t>
      </w:r>
      <w:r w:rsidRPr="00575336">
        <w:rPr>
          <w:i/>
        </w:rPr>
        <w:t>j</w:t>
      </w:r>
      <w:r w:rsidR="000743A6">
        <w:rPr>
          <w:rFonts w:eastAsiaTheme="minorEastAsia" w:hint="eastAsia"/>
          <w:i/>
          <w:lang w:eastAsia="zh-CN"/>
        </w:rPr>
        <w:t xml:space="preserve"> </w:t>
      </w:r>
      <w:r w:rsidR="000F371A">
        <w:t>−</w:t>
      </w:r>
      <w:r w:rsidR="000743A6">
        <w:rPr>
          <w:rFonts w:eastAsiaTheme="minorEastAsia" w:hint="eastAsia"/>
          <w:lang w:eastAsia="zh-CN"/>
        </w:rPr>
        <w:t xml:space="preserve"> </w:t>
      </w:r>
      <w:r w:rsidRPr="00575336">
        <w:t>1’, ‘</w:t>
      </w:r>
      <w:r w:rsidRPr="00575336">
        <w:rPr>
          <w:i/>
        </w:rPr>
        <w:t>j</w:t>
      </w:r>
      <w:r w:rsidRPr="00575336">
        <w:t>’, and ‘</w:t>
      </w:r>
      <w:r w:rsidRPr="00575336">
        <w:rPr>
          <w:i/>
        </w:rPr>
        <w:t>j</w:t>
      </w:r>
      <w:r w:rsidR="000743A6">
        <w:rPr>
          <w:rFonts w:eastAsiaTheme="minorEastAsia" w:hint="eastAsia"/>
          <w:i/>
          <w:lang w:eastAsia="zh-CN"/>
        </w:rPr>
        <w:t xml:space="preserve"> </w:t>
      </w:r>
      <w:r w:rsidRPr="00575336">
        <w:t>+</w:t>
      </w:r>
      <w:r w:rsidR="000743A6">
        <w:rPr>
          <w:rFonts w:eastAsiaTheme="minorEastAsia" w:hint="eastAsia"/>
          <w:lang w:eastAsia="zh-CN"/>
        </w:rPr>
        <w:t xml:space="preserve"> </w:t>
      </w:r>
      <w:r w:rsidRPr="00575336">
        <w:t>1’ denote the upstream, current, and downstream vascular compartments, respectively.</w:t>
      </w:r>
    </w:p>
    <w:p w14:paraId="1A55CAAA" w14:textId="0E297ADD" w:rsidR="00463800" w:rsidRPr="00575336" w:rsidRDefault="00463800" w:rsidP="00705014">
      <w:pPr>
        <w:pStyle w:val="TSP31text"/>
      </w:pPr>
      <w:r w:rsidRPr="00575336">
        <w:t xml:space="preserve">The model </w:t>
      </w:r>
      <w:r w:rsidR="00AD7AB4" w:rsidRPr="00575336">
        <w:t xml:space="preserve">also contains lumped parameter representations of </w:t>
      </w:r>
      <w:r w:rsidRPr="00575336">
        <w:t xml:space="preserve">the heart and cardiac valves. Detailed descriptions of the modeling approach can be found in our earlier publications </w:t>
      </w:r>
      <w:r w:rsidR="00D002E0">
        <w:t>[2,3</w:t>
      </w:r>
      <w:r w:rsidRPr="00575336">
        <w:t xml:space="preserve">]. </w:t>
      </w:r>
      <w:r w:rsidR="00AD7AB4" w:rsidRPr="00575336">
        <w:t>In brief</w:t>
      </w:r>
      <w:r w:rsidRPr="00575336">
        <w:t xml:space="preserve">, the </w:t>
      </w:r>
      <w:r w:rsidR="00AD7AB4" w:rsidRPr="00575336">
        <w:t xml:space="preserve">contraction-relaxation </w:t>
      </w:r>
      <w:r w:rsidRPr="00575336">
        <w:t xml:space="preserve">behavior of each cardiac chamber is </w:t>
      </w:r>
      <w:r w:rsidR="00DF4149" w:rsidRPr="00575336">
        <w:t>mathematically described</w:t>
      </w:r>
      <w:r w:rsidRPr="00575336">
        <w:t xml:space="preserve"> </w:t>
      </w:r>
      <w:r w:rsidR="00DF4149" w:rsidRPr="00575336">
        <w:t xml:space="preserve">by </w:t>
      </w:r>
      <w:r w:rsidRPr="00575336">
        <w:t xml:space="preserve">a time-dependent elastance function. </w:t>
      </w:r>
      <w:r w:rsidR="00DF4149" w:rsidRPr="00575336">
        <w:t>Each c</w:t>
      </w:r>
      <w:r w:rsidRPr="00575336">
        <w:t>ardiac valve</w:t>
      </w:r>
      <w:r w:rsidR="00DF4149" w:rsidRPr="00575336">
        <w:t xml:space="preserve"> is</w:t>
      </w:r>
      <w:r w:rsidRPr="00575336">
        <w:t xml:space="preserve"> modeled as </w:t>
      </w:r>
      <w:r w:rsidR="00BB5056" w:rsidRPr="00575336">
        <w:t xml:space="preserve">a </w:t>
      </w:r>
      <w:r w:rsidRPr="00575336">
        <w:t>one-way valve</w:t>
      </w:r>
      <w:r w:rsidR="00DF4149" w:rsidRPr="00575336">
        <w:t xml:space="preserve"> incorporated with viscous and Bernoulli’s resistances, which can account for trans-valvular pressure drop while </w:t>
      </w:r>
      <w:r w:rsidRPr="00575336">
        <w:t>ensur</w:t>
      </w:r>
      <w:r w:rsidR="00DF4149" w:rsidRPr="00575336">
        <w:t>ing</w:t>
      </w:r>
      <w:r w:rsidRPr="00575336">
        <w:t xml:space="preserve"> unidirectional blood flow.</w:t>
      </w:r>
    </w:p>
    <w:p w14:paraId="0C579CB5" w14:textId="5F2BA327" w:rsidR="00463800" w:rsidRPr="00575336" w:rsidRDefault="00BB5056" w:rsidP="00705014">
      <w:pPr>
        <w:pStyle w:val="TSP31text"/>
      </w:pPr>
      <w:r w:rsidRPr="00575336">
        <w:t>Similar to the cardiovascular system, t</w:t>
      </w:r>
      <w:r w:rsidR="00463800" w:rsidRPr="00575336">
        <w:t>he VA-ECMO system</w:t>
      </w:r>
      <w:r w:rsidRPr="00575336">
        <w:t xml:space="preserve"> is modeled by representing </w:t>
      </w:r>
      <w:r w:rsidR="00463800" w:rsidRPr="00575336">
        <w:t xml:space="preserve">the </w:t>
      </w:r>
      <w:r w:rsidRPr="00575336">
        <w:t>blood</w:t>
      </w:r>
      <w:r w:rsidR="00463800" w:rsidRPr="00575336">
        <w:t xml:space="preserve"> pump, inflow cannula, and outflow cannula</w:t>
      </w:r>
      <w:r w:rsidRPr="00575336">
        <w:t xml:space="preserve"> with lumped parameters</w:t>
      </w:r>
      <w:r w:rsidR="00463800" w:rsidRPr="00575336">
        <w:t xml:space="preserve">. </w:t>
      </w:r>
      <w:r w:rsidRPr="00575336">
        <w:t>In the sub-model of the blood pump, t</w:t>
      </w:r>
      <w:r w:rsidR="00463800" w:rsidRPr="00575336">
        <w:t>he pump flow rate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pump</m:t>
            </m:r>
          </m:sub>
        </m:sSub>
      </m:oMath>
      <w:r w:rsidR="00463800" w:rsidRPr="00575336">
        <w:t xml:space="preserve">) </w:t>
      </w:r>
      <w:r w:rsidRPr="00575336">
        <w:t>is</w:t>
      </w:r>
      <w:r w:rsidR="00463800" w:rsidRPr="00575336">
        <w:t xml:space="preserve"> </w:t>
      </w:r>
      <w:r w:rsidRPr="00575336">
        <w:t>expressed</w:t>
      </w:r>
      <w:r w:rsidR="00463800" w:rsidRPr="00575336">
        <w:t xml:space="preserve"> as a function of </w:t>
      </w:r>
      <w:r w:rsidRPr="00575336">
        <w:t xml:space="preserve">the </w:t>
      </w:r>
      <w:r w:rsidR="00463800" w:rsidRPr="00575336">
        <w:t>rotational speed (</w:t>
      </w:r>
      <m:oMath>
        <m:r>
          <w:rPr>
            <w:rFonts w:ascii="Cambria Math" w:hAnsi="Cambria Math"/>
          </w:rPr>
          <m:t>ω</m:t>
        </m:r>
      </m:oMath>
      <w:r w:rsidR="00463800" w:rsidRPr="00575336">
        <w:t>) and the pressure gradient across the pump (</w:t>
      </w:r>
      <m:oMath>
        <m:r>
          <m:rPr>
            <m:sty m:val="p"/>
          </m:rPr>
          <w:rPr>
            <w:rFonts w:ascii="Cambria Math" w:hAnsi="Cambria Math"/>
          </w:rPr>
          <m:t>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pump</m:t>
            </m:r>
          </m:sub>
        </m:sSub>
      </m:oMath>
      <w:r w:rsidR="00463800" w:rsidRPr="00575336">
        <w:t>) [4].</w:t>
      </w:r>
    </w:p>
    <w:p w14:paraId="08ECE402" w14:textId="110C527A" w:rsidR="005F7721" w:rsidRPr="00575336" w:rsidRDefault="005F7721" w:rsidP="005F7721">
      <w:pPr>
        <w:rPr>
          <w:rFonts w:ascii="Times New Roman" w:hAnsi="Times New Roman" w:cs="Times New Roman"/>
          <w:sz w:val="24"/>
          <w:szCs w:val="24"/>
        </w:rPr>
      </w:pPr>
      <w:r w:rsidRPr="00575336">
        <w:rPr>
          <w:rFonts w:ascii="Times New Roman" w:hAnsi="Times New Roman" w:cs="Times New Roman"/>
          <w:position w:val="-24"/>
          <w:sz w:val="24"/>
          <w:szCs w:val="24"/>
        </w:rPr>
        <w:object w:dxaOrig="5060" w:dyaOrig="1140" w14:anchorId="02F3D2DC">
          <v:shape id="_x0000_i1027" type="#_x0000_t75" style="width:253.45pt;height:57pt" o:ole="">
            <v:imagedata r:id="rId11" o:title=""/>
          </v:shape>
          <o:OLEObject Type="Embed" ProgID="Equation.DSMT4" ShapeID="_x0000_i1027" DrawAspect="Content" ObjectID="_1811327574" r:id="rId12"/>
        </w:object>
      </w:r>
      <w:r w:rsidRPr="00575336">
        <w:rPr>
          <w:rFonts w:ascii="Times New Roman" w:hAnsi="Times New Roman" w:cs="Times New Roman"/>
          <w:sz w:val="24"/>
          <w:szCs w:val="24"/>
        </w:rPr>
        <w:t>(</w:t>
      </w:r>
      <w:r w:rsidR="002B4954">
        <w:rPr>
          <w:rFonts w:ascii="Times New Roman" w:hAnsi="Times New Roman" w:cs="Times New Roman" w:hint="eastAsia"/>
          <w:sz w:val="24"/>
          <w:szCs w:val="24"/>
        </w:rPr>
        <w:t>S</w:t>
      </w:r>
      <w:r w:rsidRPr="00575336">
        <w:rPr>
          <w:rFonts w:ascii="Times New Roman" w:hAnsi="Times New Roman" w:cs="Times New Roman"/>
          <w:sz w:val="24"/>
          <w:szCs w:val="24"/>
        </w:rPr>
        <w:t>3)</w:t>
      </w:r>
    </w:p>
    <w:p w14:paraId="3934A90B" w14:textId="201FD675" w:rsidR="005F7721" w:rsidRPr="00575336" w:rsidRDefault="005F7721" w:rsidP="00004462">
      <w:pPr>
        <w:pStyle w:val="TSP32textnoindent"/>
      </w:pPr>
      <w:r w:rsidRPr="00575336">
        <w:t xml:space="preserve">where </w:t>
      </w:r>
      <w:r w:rsidRPr="00575336">
        <w:rPr>
          <w:i/>
        </w:rPr>
        <w:t>K</w:t>
      </w:r>
      <w:r w:rsidRPr="00575336">
        <w:rPr>
          <w:vertAlign w:val="subscript"/>
        </w:rPr>
        <w:t>A</w:t>
      </w:r>
      <w:r w:rsidRPr="00575336">
        <w:t xml:space="preserve"> was -0.0018 </w:t>
      </w:r>
      <m:oMath>
        <m:r>
          <m:rPr>
            <m:sty m:val="p"/>
          </m:rPr>
          <w:rPr>
            <w:rFonts w:ascii="Cambria Math" w:hAnsi="Cambria Math"/>
          </w:rPr>
          <m:t>mmHg⋅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575336">
        <w:t xml:space="preserve">, </w:t>
      </w:r>
      <w:r w:rsidRPr="00575336">
        <w:rPr>
          <w:i/>
        </w:rPr>
        <w:t>K</w:t>
      </w:r>
      <w:r w:rsidRPr="00575336">
        <w:rPr>
          <w:vertAlign w:val="subscript"/>
        </w:rPr>
        <w:t>B</w:t>
      </w:r>
      <w:r w:rsidRPr="00575336">
        <w:t xml:space="preserve"> was -1.2 * 10</w:t>
      </w:r>
      <w:r w:rsidRPr="00575336">
        <w:rPr>
          <w:vertAlign w:val="superscript"/>
        </w:rPr>
        <w:t>-5</w:t>
      </w:r>
      <w:r w:rsidRPr="00575336">
        <w:t xml:space="preserve"> </w:t>
      </w:r>
      <m:oMath>
        <m:r>
          <m:rPr>
            <m:sty m:val="p"/>
          </m:rPr>
          <w:rPr>
            <w:rFonts w:ascii="Cambria Math" w:hAnsi="Cambria Math"/>
          </w:rPr>
          <m:t>mmHg</m:t>
        </m:r>
        <m:r>
          <w:rPr>
            <w:rFonts w:ascii="Cambria Math" w:hAnsi="Cambria Math"/>
          </w:rPr>
          <m:t>⋅</m:t>
        </m:r>
        <m:r>
          <m:rPr>
            <m:sty m:val="p"/>
          </m:rP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/(</m:t>
        </m:r>
        <m:r>
          <m:rPr>
            <m:sty m:val="p"/>
          </m:rPr>
          <w:rPr>
            <w:rFonts w:ascii="Cambria Math" w:hAnsi="Cambria Math"/>
          </w:rPr>
          <m:t>ml</m:t>
        </m:r>
        <m:r>
          <w:rPr>
            <w:rFonts w:ascii="Cambria Math" w:hAnsi="Cambria Math"/>
          </w:rPr>
          <m:t>⋅</m:t>
        </m:r>
        <m:r>
          <m:rPr>
            <m:sty m:val="p"/>
          </m:rPr>
          <w:rPr>
            <w:rFonts w:ascii="Cambria Math" w:hAnsi="Cambria Math"/>
          </w:rPr>
          <m:t>rpm</m:t>
        </m:r>
        <m:r>
          <w:rPr>
            <w:rFonts w:ascii="Cambria Math" w:hAnsi="Cambria Math"/>
          </w:rPr>
          <m:t>)</m:t>
        </m:r>
      </m:oMath>
      <w:r w:rsidRPr="00575336">
        <w:t>, and</w:t>
      </w:r>
      <w:r w:rsidRPr="00575336">
        <w:rPr>
          <w:iCs/>
        </w:rPr>
        <w:t xml:space="preserve"> </w:t>
      </w:r>
      <w:r w:rsidRPr="00575336">
        <w:rPr>
          <w:i/>
          <w:iCs/>
        </w:rPr>
        <w:t>K</w:t>
      </w:r>
      <w:r w:rsidRPr="00575336">
        <w:rPr>
          <w:iCs/>
          <w:vertAlign w:val="subscript"/>
        </w:rPr>
        <w:t>C</w:t>
      </w:r>
      <w:r w:rsidRPr="00575336">
        <w:t xml:space="preserve"> was 7.3 </w:t>
      </w:r>
      <w:r w:rsidR="00184FB0">
        <w:t>×</w:t>
      </w:r>
      <w:r w:rsidRPr="00575336">
        <w:t xml:space="preserve"> 10</w:t>
      </w:r>
      <w:r w:rsidRPr="00575336">
        <w:rPr>
          <w:vertAlign w:val="superscript"/>
        </w:rPr>
        <w:t>-6</w:t>
      </w:r>
      <w:r w:rsidRPr="00575336">
        <w:t xml:space="preserve"> </w:t>
      </w:r>
      <m:oMath>
        <m:r>
          <m:rPr>
            <m:sty m:val="p"/>
          </m:rPr>
          <w:rPr>
            <w:rFonts w:ascii="Cambria Math" w:hAnsi="Cambria Math"/>
          </w:rPr>
          <m:t>mmHg/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rpm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575336">
        <w:t>.</w:t>
      </w:r>
    </w:p>
    <w:p w14:paraId="26624974" w14:textId="514FA674" w:rsidR="005F7721" w:rsidRPr="00575336" w:rsidRDefault="005F7721" w:rsidP="00331227">
      <w:pPr>
        <w:pStyle w:val="TSP21heading1"/>
      </w:pPr>
      <w:bookmarkStart w:id="0" w:name="RefSection"/>
      <w:r w:rsidRPr="00575336">
        <w:t>Reference</w:t>
      </w:r>
      <w:bookmarkEnd w:id="0"/>
      <w:r w:rsidRPr="00575336">
        <w:t>s</w:t>
      </w:r>
    </w:p>
    <w:p w14:paraId="6FBF8299" w14:textId="2164DBC0" w:rsidR="005F7721" w:rsidRPr="00331227" w:rsidRDefault="00F11AB8" w:rsidP="00331227">
      <w:pPr>
        <w:pStyle w:val="ListParagraph"/>
        <w:widowControl/>
        <w:numPr>
          <w:ilvl w:val="0"/>
          <w:numId w:val="6"/>
        </w:numPr>
        <w:adjustRightInd w:val="0"/>
        <w:snapToGrid w:val="0"/>
        <w:spacing w:line="228" w:lineRule="auto"/>
        <w:ind w:left="425" w:hanging="425"/>
        <w:rPr>
          <w:rFonts w:ascii="Minion Pro" w:hAnsi="Minion Pro" w:cs="Times New Roman"/>
          <w:sz w:val="20"/>
          <w:szCs w:val="24"/>
        </w:rPr>
      </w:pPr>
      <w:r w:rsidRPr="00331227">
        <w:rPr>
          <w:rFonts w:ascii="Minion Pro" w:hAnsi="Minion Pro" w:cs="Times New Roman"/>
          <w:sz w:val="20"/>
          <w:szCs w:val="24"/>
        </w:rPr>
        <w:t>D</w:t>
      </w:r>
      <w:r w:rsidR="00E31C28" w:rsidRPr="00331227">
        <w:rPr>
          <w:rFonts w:ascii="Minion Pro" w:hAnsi="Minion Pro" w:cs="Times New Roman"/>
          <w:sz w:val="20"/>
          <w:szCs w:val="24"/>
        </w:rPr>
        <w:t>.</w:t>
      </w:r>
      <w:r w:rsidRPr="00331227">
        <w:rPr>
          <w:rFonts w:ascii="Minion Pro" w:hAnsi="Minion Pro" w:cs="Times New Roman"/>
          <w:sz w:val="20"/>
          <w:szCs w:val="24"/>
        </w:rPr>
        <w:t xml:space="preserve"> Li, X</w:t>
      </w:r>
      <w:r w:rsidR="00E31C28" w:rsidRPr="00331227">
        <w:rPr>
          <w:rFonts w:ascii="Minion Pro" w:hAnsi="Minion Pro" w:cs="Times New Roman"/>
          <w:sz w:val="20"/>
          <w:szCs w:val="24"/>
        </w:rPr>
        <w:t>.</w:t>
      </w:r>
      <w:r w:rsidRPr="00331227">
        <w:rPr>
          <w:rFonts w:ascii="Minion Pro" w:hAnsi="Minion Pro" w:cs="Times New Roman"/>
          <w:sz w:val="20"/>
          <w:szCs w:val="24"/>
        </w:rPr>
        <w:t xml:space="preserve"> Li, Y</w:t>
      </w:r>
      <w:r w:rsidR="00E31C28" w:rsidRPr="00331227">
        <w:rPr>
          <w:rFonts w:ascii="Minion Pro" w:hAnsi="Minion Pro" w:cs="Times New Roman"/>
          <w:sz w:val="20"/>
          <w:szCs w:val="24"/>
        </w:rPr>
        <w:t>.</w:t>
      </w:r>
      <w:r w:rsidRPr="00331227">
        <w:rPr>
          <w:rFonts w:ascii="Minion Pro" w:hAnsi="Minion Pro" w:cs="Times New Roman"/>
          <w:sz w:val="20"/>
          <w:szCs w:val="24"/>
        </w:rPr>
        <w:t xml:space="preserve"> Xia, C</w:t>
      </w:r>
      <w:r w:rsidR="00E31C28" w:rsidRPr="00331227">
        <w:rPr>
          <w:rFonts w:ascii="Minion Pro" w:hAnsi="Minion Pro" w:cs="Times New Roman"/>
          <w:sz w:val="20"/>
          <w:szCs w:val="24"/>
        </w:rPr>
        <w:t>.</w:t>
      </w:r>
      <w:r w:rsidRPr="00331227">
        <w:rPr>
          <w:rFonts w:ascii="Minion Pro" w:hAnsi="Minion Pro" w:cs="Times New Roman"/>
          <w:sz w:val="20"/>
          <w:szCs w:val="24"/>
        </w:rPr>
        <w:t xml:space="preserve"> Weng, F</w:t>
      </w:r>
      <w:r w:rsidR="00E31C28" w:rsidRPr="00331227">
        <w:rPr>
          <w:rFonts w:ascii="Minion Pro" w:hAnsi="Minion Pro" w:cs="Times New Roman"/>
          <w:sz w:val="20"/>
          <w:szCs w:val="24"/>
        </w:rPr>
        <w:t>.</w:t>
      </w:r>
      <w:r w:rsidRPr="00331227">
        <w:rPr>
          <w:rFonts w:ascii="Minion Pro" w:hAnsi="Minion Pro" w:cs="Times New Roman"/>
          <w:sz w:val="20"/>
          <w:szCs w:val="24"/>
        </w:rPr>
        <w:t xml:space="preserve"> Liang</w:t>
      </w:r>
      <w:r w:rsidR="00E31C28" w:rsidRPr="00331227">
        <w:rPr>
          <w:rFonts w:ascii="Minion Pro" w:hAnsi="Minion Pro" w:cs="Times New Roman"/>
          <w:sz w:val="20"/>
          <w:szCs w:val="24"/>
        </w:rPr>
        <w:t>,</w:t>
      </w:r>
      <w:r w:rsidRPr="00331227">
        <w:rPr>
          <w:rFonts w:ascii="Minion Pro" w:hAnsi="Minion Pro" w:cs="Times New Roman"/>
          <w:sz w:val="20"/>
          <w:szCs w:val="24"/>
        </w:rPr>
        <w:t xml:space="preserve"> “Impact of peripheral </w:t>
      </w:r>
      <w:proofErr w:type="spellStart"/>
      <w:r w:rsidRPr="00331227">
        <w:rPr>
          <w:rFonts w:ascii="Minion Pro" w:hAnsi="Minion Pro" w:cs="Times New Roman"/>
          <w:sz w:val="20"/>
          <w:szCs w:val="24"/>
        </w:rPr>
        <w:t>venoarterial</w:t>
      </w:r>
      <w:proofErr w:type="spellEnd"/>
      <w:r w:rsidRPr="00331227">
        <w:rPr>
          <w:rFonts w:ascii="Minion Pro" w:hAnsi="Minion Pro" w:cs="Times New Roman"/>
          <w:sz w:val="20"/>
          <w:szCs w:val="24"/>
        </w:rPr>
        <w:t xml:space="preserve"> extracorporeal membrane oxygenation support for heart failure on systemic hemodynamics and aortic blood flow</w:t>
      </w:r>
      <w:r w:rsidR="00E31C28" w:rsidRPr="00331227">
        <w:rPr>
          <w:rFonts w:ascii="Minion Pro" w:hAnsi="Minion Pro" w:cs="Times New Roman"/>
          <w:sz w:val="20"/>
          <w:szCs w:val="24"/>
        </w:rPr>
        <w:t>,</w:t>
      </w:r>
      <w:r w:rsidRPr="00331227">
        <w:rPr>
          <w:rFonts w:ascii="Minion Pro" w:hAnsi="Minion Pro" w:cs="Times New Roman"/>
          <w:sz w:val="20"/>
          <w:szCs w:val="24"/>
        </w:rPr>
        <w:t xml:space="preserve"> ” Physics of Fluids</w:t>
      </w:r>
      <w:r w:rsidR="00E31C28" w:rsidRPr="00331227">
        <w:rPr>
          <w:rFonts w:ascii="Minion Pro" w:hAnsi="Minion Pro" w:cs="Times New Roman"/>
          <w:sz w:val="20"/>
          <w:szCs w:val="24"/>
        </w:rPr>
        <w:t>,</w:t>
      </w:r>
      <w:r w:rsidRPr="00331227">
        <w:rPr>
          <w:rFonts w:ascii="Minion Pro" w:hAnsi="Minion Pro" w:cs="Times New Roman"/>
          <w:sz w:val="20"/>
          <w:szCs w:val="24"/>
        </w:rPr>
        <w:t xml:space="preserve"> 36 (10): 101916</w:t>
      </w:r>
      <w:r w:rsidR="00E31C28" w:rsidRPr="00331227">
        <w:rPr>
          <w:rFonts w:ascii="Minion Pro" w:hAnsi="Minion Pro" w:cs="Times New Roman"/>
          <w:sz w:val="20"/>
          <w:szCs w:val="24"/>
        </w:rPr>
        <w:t xml:space="preserve"> (2024)</w:t>
      </w:r>
      <w:r w:rsidRPr="00331227">
        <w:rPr>
          <w:rFonts w:ascii="Minion Pro" w:hAnsi="Minion Pro" w:cs="Times New Roman"/>
          <w:sz w:val="20"/>
          <w:szCs w:val="24"/>
        </w:rPr>
        <w:t>.</w:t>
      </w:r>
    </w:p>
    <w:p w14:paraId="21D57052" w14:textId="354F1DA8" w:rsidR="00F11AB8" w:rsidRPr="00331227" w:rsidRDefault="00F11AB8" w:rsidP="00331227">
      <w:pPr>
        <w:pStyle w:val="ListParagraph"/>
        <w:widowControl/>
        <w:numPr>
          <w:ilvl w:val="0"/>
          <w:numId w:val="6"/>
        </w:numPr>
        <w:adjustRightInd w:val="0"/>
        <w:snapToGrid w:val="0"/>
        <w:spacing w:line="228" w:lineRule="auto"/>
        <w:ind w:left="425" w:hanging="425"/>
        <w:rPr>
          <w:rFonts w:ascii="Minion Pro" w:hAnsi="Minion Pro" w:cs="Times New Roman"/>
          <w:sz w:val="20"/>
          <w:szCs w:val="24"/>
        </w:rPr>
      </w:pPr>
      <w:r w:rsidRPr="00331227">
        <w:rPr>
          <w:rFonts w:ascii="Minion Pro" w:hAnsi="Minion Pro" w:cs="Times New Roman"/>
          <w:sz w:val="20"/>
          <w:szCs w:val="24"/>
        </w:rPr>
        <w:t xml:space="preserve">F. Liang, H. Senzaki, C. </w:t>
      </w:r>
      <w:proofErr w:type="spellStart"/>
      <w:r w:rsidRPr="00331227">
        <w:rPr>
          <w:rFonts w:ascii="Minion Pro" w:hAnsi="Minion Pro" w:cs="Times New Roman"/>
          <w:sz w:val="20"/>
          <w:szCs w:val="24"/>
        </w:rPr>
        <w:t>Kurishima</w:t>
      </w:r>
      <w:proofErr w:type="spellEnd"/>
      <w:r w:rsidRPr="00331227">
        <w:rPr>
          <w:rFonts w:ascii="Minion Pro" w:hAnsi="Minion Pro" w:cs="Times New Roman"/>
          <w:sz w:val="20"/>
          <w:szCs w:val="24"/>
        </w:rPr>
        <w:t xml:space="preserve">, K. Sughimoto, R. </w:t>
      </w:r>
      <w:proofErr w:type="spellStart"/>
      <w:r w:rsidRPr="00331227">
        <w:rPr>
          <w:rFonts w:ascii="Minion Pro" w:hAnsi="Minion Pro" w:cs="Times New Roman"/>
          <w:sz w:val="20"/>
          <w:szCs w:val="24"/>
        </w:rPr>
        <w:t>Inuzuka</w:t>
      </w:r>
      <w:proofErr w:type="spellEnd"/>
      <w:r w:rsidRPr="00331227">
        <w:rPr>
          <w:rFonts w:ascii="Minion Pro" w:hAnsi="Minion Pro" w:cs="Times New Roman"/>
          <w:sz w:val="20"/>
          <w:szCs w:val="24"/>
        </w:rPr>
        <w:t>, and H. Liu, “Hemodynamic performance of the Fontan circulation compared with a normal biventricular circulation: a computational model study,” American Journal of Physiology-Heart and Circulatory Physiology 307, H1056–H1072 (2014).</w:t>
      </w:r>
    </w:p>
    <w:p w14:paraId="5363EFD6" w14:textId="373185C1" w:rsidR="00F11AB8" w:rsidRPr="00331227" w:rsidRDefault="00F11AB8" w:rsidP="00331227">
      <w:pPr>
        <w:pStyle w:val="ListParagraph"/>
        <w:widowControl/>
        <w:numPr>
          <w:ilvl w:val="0"/>
          <w:numId w:val="6"/>
        </w:numPr>
        <w:adjustRightInd w:val="0"/>
        <w:snapToGrid w:val="0"/>
        <w:spacing w:line="228" w:lineRule="auto"/>
        <w:ind w:left="425" w:hanging="425"/>
        <w:rPr>
          <w:rFonts w:ascii="Minion Pro" w:hAnsi="Minion Pro" w:cs="Times New Roman"/>
          <w:sz w:val="20"/>
          <w:szCs w:val="24"/>
        </w:rPr>
      </w:pPr>
      <w:r w:rsidRPr="00331227">
        <w:rPr>
          <w:rFonts w:ascii="Minion Pro" w:hAnsi="Minion Pro" w:cs="Times New Roman"/>
          <w:sz w:val="20"/>
          <w:szCs w:val="24"/>
        </w:rPr>
        <w:t xml:space="preserve">W. Cui, T. Wang, Z. Xu, J. Liu, S. Simakov, and F. Liang, “A numerical study of the hemodynamic behavior and gas transport in cardiovascular systems with severe cardiac or cardiopulmonary failure </w:t>
      </w:r>
      <w:r w:rsidRPr="00331227">
        <w:rPr>
          <w:rFonts w:ascii="Minion Pro" w:hAnsi="Minion Pro" w:cs="Times New Roman"/>
          <w:sz w:val="20"/>
          <w:szCs w:val="24"/>
        </w:rPr>
        <w:lastRenderedPageBreak/>
        <w:t xml:space="preserve">supported by </w:t>
      </w:r>
      <w:proofErr w:type="spellStart"/>
      <w:r w:rsidRPr="00331227">
        <w:rPr>
          <w:rFonts w:ascii="Minion Pro" w:hAnsi="Minion Pro" w:cs="Times New Roman"/>
          <w:sz w:val="20"/>
          <w:szCs w:val="24"/>
        </w:rPr>
        <w:t>venoarterial</w:t>
      </w:r>
      <w:proofErr w:type="spellEnd"/>
      <w:r w:rsidRPr="00331227">
        <w:rPr>
          <w:rFonts w:ascii="Minion Pro" w:hAnsi="Minion Pro" w:cs="Times New Roman"/>
          <w:sz w:val="20"/>
          <w:szCs w:val="24"/>
        </w:rPr>
        <w:t xml:space="preserve"> extracorporeal membrane oxygenation,” Frontiers in Bioengineering and Biotechnology 11, 1177325 (2023).</w:t>
      </w:r>
    </w:p>
    <w:p w14:paraId="1297219D" w14:textId="31265493" w:rsidR="00F11AB8" w:rsidRPr="00331227" w:rsidRDefault="00F11AB8" w:rsidP="005F7721">
      <w:pPr>
        <w:pStyle w:val="ListParagraph"/>
        <w:widowControl/>
        <w:numPr>
          <w:ilvl w:val="0"/>
          <w:numId w:val="6"/>
        </w:numPr>
        <w:adjustRightInd w:val="0"/>
        <w:snapToGrid w:val="0"/>
        <w:spacing w:line="228" w:lineRule="auto"/>
        <w:ind w:left="425" w:hanging="425"/>
        <w:rPr>
          <w:rFonts w:ascii="Minion Pro" w:hAnsi="Minion Pro" w:cs="Times New Roman"/>
          <w:sz w:val="20"/>
          <w:szCs w:val="24"/>
        </w:rPr>
      </w:pPr>
      <w:r w:rsidRPr="00331227">
        <w:rPr>
          <w:rFonts w:ascii="Minion Pro" w:hAnsi="Minion Pro" w:cs="Times New Roman"/>
          <w:sz w:val="20"/>
          <w:szCs w:val="24"/>
        </w:rPr>
        <w:t xml:space="preserve">Y. Shi and T. </w:t>
      </w:r>
      <w:proofErr w:type="spellStart"/>
      <w:r w:rsidRPr="00331227">
        <w:rPr>
          <w:rFonts w:ascii="Minion Pro" w:hAnsi="Minion Pro" w:cs="Times New Roman"/>
          <w:sz w:val="20"/>
          <w:szCs w:val="24"/>
        </w:rPr>
        <w:t>Korakianitis</w:t>
      </w:r>
      <w:proofErr w:type="spellEnd"/>
      <w:r w:rsidRPr="00331227">
        <w:rPr>
          <w:rFonts w:ascii="Minion Pro" w:hAnsi="Minion Pro" w:cs="Times New Roman"/>
          <w:sz w:val="20"/>
          <w:szCs w:val="24"/>
        </w:rPr>
        <w:t>, “Impeller-pump model derived from conservation laws applied to the simulation of the cardiovascular system coupled to heart-assist pumps,” Computers in Biology and Medicine 93, 127–138 (2018).</w:t>
      </w:r>
    </w:p>
    <w:sectPr w:rsidR="00F11AB8" w:rsidRPr="00331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527C8" w14:textId="77777777" w:rsidR="009155B4" w:rsidRDefault="009155B4" w:rsidP="005F7721">
      <w:pPr>
        <w:spacing w:line="240" w:lineRule="auto"/>
      </w:pPr>
      <w:r>
        <w:separator/>
      </w:r>
    </w:p>
  </w:endnote>
  <w:endnote w:type="continuationSeparator" w:id="0">
    <w:p w14:paraId="76E0319F" w14:textId="77777777" w:rsidR="009155B4" w:rsidRDefault="009155B4" w:rsidP="005F77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77187" w14:textId="77777777" w:rsidR="009155B4" w:rsidRDefault="009155B4" w:rsidP="005F7721">
      <w:pPr>
        <w:spacing w:line="240" w:lineRule="auto"/>
      </w:pPr>
      <w:r>
        <w:separator/>
      </w:r>
    </w:p>
  </w:footnote>
  <w:footnote w:type="continuationSeparator" w:id="0">
    <w:p w14:paraId="3217B50D" w14:textId="77777777" w:rsidR="009155B4" w:rsidRDefault="009155B4" w:rsidP="005F772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82DCD498"/>
    <w:lvl w:ilvl="0" w:tplc="4AA052B0">
      <w:start w:val="1"/>
      <w:numFmt w:val="bullet"/>
      <w:pStyle w:val="TSP38bullet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83E0A2A2"/>
    <w:lvl w:ilvl="0" w:tplc="0B5AF07E">
      <w:start w:val="1"/>
      <w:numFmt w:val="decimal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14E9B"/>
    <w:multiLevelType w:val="hybridMultilevel"/>
    <w:tmpl w:val="97866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12E46"/>
    <w:multiLevelType w:val="hybridMultilevel"/>
    <w:tmpl w:val="3D6A60A2"/>
    <w:lvl w:ilvl="0" w:tplc="1AC8C402">
      <w:start w:val="1"/>
      <w:numFmt w:val="decimal"/>
      <w:pStyle w:val="TSP71References"/>
      <w:lvlText w:val="%1."/>
      <w:lvlJc w:val="left"/>
      <w:pPr>
        <w:ind w:left="425" w:hanging="425"/>
      </w:pPr>
      <w:rPr>
        <w:rFonts w:hint="eastAsia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311A3B"/>
    <w:multiLevelType w:val="hybridMultilevel"/>
    <w:tmpl w:val="64EAF16C"/>
    <w:lvl w:ilvl="0" w:tplc="E334DD6C">
      <w:start w:val="1"/>
      <w:numFmt w:val="decimal"/>
      <w:pStyle w:val="TSP37itemize"/>
      <w:lvlText w:val="%1."/>
      <w:lvlJc w:val="left"/>
      <w:pPr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111701750">
    <w:abstractNumId w:val="4"/>
  </w:num>
  <w:num w:numId="2" w16cid:durableId="1028067159">
    <w:abstractNumId w:val="0"/>
  </w:num>
  <w:num w:numId="3" w16cid:durableId="762993494">
    <w:abstractNumId w:val="1"/>
  </w:num>
  <w:num w:numId="4" w16cid:durableId="985475592">
    <w:abstractNumId w:val="3"/>
  </w:num>
  <w:num w:numId="5" w16cid:durableId="264046366">
    <w:abstractNumId w:val="1"/>
  </w:num>
  <w:num w:numId="6" w16cid:durableId="812522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5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S3MDIxMDEwNTUzszBX0lEKTi0uzszPAykwqQUA8m6DiywAAAA="/>
  </w:docVars>
  <w:rsids>
    <w:rsidRoot w:val="002414D1"/>
    <w:rsid w:val="00004462"/>
    <w:rsid w:val="00034819"/>
    <w:rsid w:val="000743A6"/>
    <w:rsid w:val="00075CF2"/>
    <w:rsid w:val="00087FE5"/>
    <w:rsid w:val="000F371A"/>
    <w:rsid w:val="00184FB0"/>
    <w:rsid w:val="002236F5"/>
    <w:rsid w:val="002414D1"/>
    <w:rsid w:val="002B4954"/>
    <w:rsid w:val="002E3826"/>
    <w:rsid w:val="00331227"/>
    <w:rsid w:val="0037227E"/>
    <w:rsid w:val="00463800"/>
    <w:rsid w:val="00517CF2"/>
    <w:rsid w:val="005540A4"/>
    <w:rsid w:val="00575336"/>
    <w:rsid w:val="005F7721"/>
    <w:rsid w:val="006C1DD5"/>
    <w:rsid w:val="00705014"/>
    <w:rsid w:val="007813E3"/>
    <w:rsid w:val="007E66E6"/>
    <w:rsid w:val="00846216"/>
    <w:rsid w:val="009155B4"/>
    <w:rsid w:val="009200AF"/>
    <w:rsid w:val="009B01F1"/>
    <w:rsid w:val="00AD7AB4"/>
    <w:rsid w:val="00BA5C43"/>
    <w:rsid w:val="00BB5056"/>
    <w:rsid w:val="00BC5BF8"/>
    <w:rsid w:val="00C53706"/>
    <w:rsid w:val="00CB0869"/>
    <w:rsid w:val="00D002E0"/>
    <w:rsid w:val="00D91B80"/>
    <w:rsid w:val="00DF4149"/>
    <w:rsid w:val="00E101C8"/>
    <w:rsid w:val="00E31C28"/>
    <w:rsid w:val="00EE257D"/>
    <w:rsid w:val="00F11AB8"/>
    <w:rsid w:val="00FA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E821B9"/>
  <w15:chartTrackingRefBased/>
  <w15:docId w15:val="{05E6107C-2DF7-41EF-8C49-FE1B98C7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7E66E6"/>
    <w:pPr>
      <w:widowControl w:val="0"/>
      <w:spacing w:line="36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772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F772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F772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F7721"/>
    <w:rPr>
      <w:sz w:val="18"/>
      <w:szCs w:val="18"/>
    </w:rPr>
  </w:style>
  <w:style w:type="paragraph" w:customStyle="1" w:styleId="TSP11articletype">
    <w:name w:val="TSP_1.1_article_type"/>
    <w:next w:val="Normal"/>
    <w:qFormat/>
    <w:rsid w:val="00331227"/>
    <w:pPr>
      <w:adjustRightInd w:val="0"/>
      <w:snapToGrid w:val="0"/>
      <w:spacing w:before="24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u w:val="single"/>
      <w:lang w:eastAsia="de-DE" w:bidi="en-US"/>
    </w:rPr>
  </w:style>
  <w:style w:type="paragraph" w:customStyle="1" w:styleId="TSP12title">
    <w:name w:val="TSP_1.2_title"/>
    <w:next w:val="Normal"/>
    <w:qFormat/>
    <w:rsid w:val="00331227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</w:rPr>
  </w:style>
  <w:style w:type="paragraph" w:customStyle="1" w:styleId="TSP13authornames">
    <w:name w:val="TSP_1.3_authornames"/>
    <w:next w:val="Normal"/>
    <w:qFormat/>
    <w:rsid w:val="00331227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kern w:val="0"/>
      <w:sz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331227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DE" w:bidi="en-US"/>
    </w:rPr>
  </w:style>
  <w:style w:type="paragraph" w:customStyle="1" w:styleId="TSP15academiceditor">
    <w:name w:val="TSP_1.5_academic_editor"/>
    <w:qFormat/>
    <w:rsid w:val="00331227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kern w:val="0"/>
      <w:sz w:val="18"/>
      <w:lang w:eastAsia="de-DE" w:bidi="en-US"/>
    </w:rPr>
  </w:style>
  <w:style w:type="paragraph" w:customStyle="1" w:styleId="TSP16affiliation">
    <w:name w:val="TSP_1.6_affiliation"/>
    <w:qFormat/>
    <w:rsid w:val="00331227"/>
    <w:pPr>
      <w:adjustRightInd w:val="0"/>
      <w:snapToGrid w:val="0"/>
      <w:spacing w:line="240" w:lineRule="atLeast"/>
      <w:ind w:left="57" w:hanging="57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331227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lang w:eastAsia="de-DE" w:bidi="en-US"/>
    </w:rPr>
  </w:style>
  <w:style w:type="paragraph" w:customStyle="1" w:styleId="TSP18keywords">
    <w:name w:val="TSP_1.8_keywords"/>
    <w:next w:val="Normal"/>
    <w:qFormat/>
    <w:rsid w:val="00331227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lang w:eastAsia="de-DE" w:bidi="en-US"/>
    </w:rPr>
  </w:style>
  <w:style w:type="paragraph" w:customStyle="1" w:styleId="TSP19classification">
    <w:name w:val="TSP_1.9_classification"/>
    <w:qFormat/>
    <w:rsid w:val="00331227"/>
    <w:pPr>
      <w:spacing w:before="240" w:line="240" w:lineRule="atLeast"/>
      <w:jc w:val="both"/>
    </w:pPr>
    <w:rPr>
      <w:rFonts w:ascii="Minion Pro" w:eastAsia="Times New Roman" w:hAnsi="Minion Pro" w:cs="Times New Roman"/>
      <w:b/>
      <w:color w:val="000000"/>
      <w:kern w:val="0"/>
      <w:sz w:val="20"/>
      <w:lang w:eastAsia="de-DE" w:bidi="en-US"/>
    </w:rPr>
  </w:style>
  <w:style w:type="paragraph" w:customStyle="1" w:styleId="TSP19line">
    <w:name w:val="TSP_1.9_line"/>
    <w:qFormat/>
    <w:rsid w:val="00331227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331227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TSP22heading2">
    <w:name w:val="TSP_2.2_heading2"/>
    <w:qFormat/>
    <w:rsid w:val="00331227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sz w:val="22"/>
      <w:lang w:eastAsia="de-DE" w:bidi="en-US"/>
    </w:rPr>
  </w:style>
  <w:style w:type="paragraph" w:customStyle="1" w:styleId="TSP23heading3">
    <w:name w:val="TSP_2.3_heading3"/>
    <w:qFormat/>
    <w:rsid w:val="00331227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kern w:val="0"/>
      <w:sz w:val="22"/>
      <w:lang w:eastAsia="de-DE" w:bidi="en-US"/>
    </w:rPr>
  </w:style>
  <w:style w:type="paragraph" w:customStyle="1" w:styleId="TSP31text">
    <w:name w:val="TSP_3.1_text"/>
    <w:qFormat/>
    <w:rsid w:val="00331227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331227"/>
    <w:pPr>
      <w:ind w:firstLine="0"/>
    </w:pPr>
  </w:style>
  <w:style w:type="paragraph" w:customStyle="1" w:styleId="TSP33textspaceafter">
    <w:name w:val="TSP_3.3_text_space_after"/>
    <w:qFormat/>
    <w:rsid w:val="00331227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34textspacebefore">
    <w:name w:val="TSP_3.4_text_space_before"/>
    <w:qFormat/>
    <w:rsid w:val="00331227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35textbeforelist">
    <w:name w:val="TSP_3.5_text_before_list"/>
    <w:qFormat/>
    <w:rsid w:val="00331227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36textafterlist">
    <w:name w:val="TSP_3.6_text_after_list"/>
    <w:qFormat/>
    <w:rsid w:val="00331227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37itemize">
    <w:name w:val="TSP_3.7_itemize"/>
    <w:qFormat/>
    <w:rsid w:val="00331227"/>
    <w:pPr>
      <w:numPr>
        <w:numId w:val="1"/>
      </w:num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kern w:val="0"/>
      <w:sz w:val="22"/>
      <w:lang w:eastAsia="de-DE" w:bidi="en-US"/>
    </w:rPr>
  </w:style>
  <w:style w:type="paragraph" w:customStyle="1" w:styleId="TSP38bullet">
    <w:name w:val="TSP_3.8_bullet"/>
    <w:qFormat/>
    <w:rsid w:val="00331227"/>
    <w:pPr>
      <w:numPr>
        <w:numId w:val="2"/>
      </w:num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kern w:val="0"/>
      <w:sz w:val="22"/>
      <w:lang w:eastAsia="de-DE" w:bidi="en-US"/>
    </w:rPr>
  </w:style>
  <w:style w:type="paragraph" w:customStyle="1" w:styleId="TSP39equation">
    <w:name w:val="TSP_3.9_equation"/>
    <w:qFormat/>
    <w:rsid w:val="00331227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3aequationnumber">
    <w:name w:val="TSP_3.a_equation_number"/>
    <w:qFormat/>
    <w:rsid w:val="00331227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411onetablecaption">
    <w:name w:val="TSP_4.1.1_one_table_caption"/>
    <w:qFormat/>
    <w:rsid w:val="00331227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kern w:val="0"/>
      <w:sz w:val="20"/>
      <w:lang w:bidi="en-US"/>
    </w:rPr>
  </w:style>
  <w:style w:type="paragraph" w:customStyle="1" w:styleId="TSP41tablecaption">
    <w:name w:val="TSP_4.1_table_caption"/>
    <w:qFormat/>
    <w:rsid w:val="00331227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331227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</w:rPr>
  </w:style>
  <w:style w:type="paragraph" w:customStyle="1" w:styleId="TSP511onefigurecaption">
    <w:name w:val="TSP_5.1.1_one_figure_caption"/>
    <w:qFormat/>
    <w:rsid w:val="00331227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kern w:val="0"/>
      <w:sz w:val="20"/>
      <w:szCs w:val="20"/>
      <w:lang w:bidi="en-US"/>
    </w:rPr>
  </w:style>
  <w:style w:type="paragraph" w:customStyle="1" w:styleId="TSP51figurecaption">
    <w:name w:val="TSP_5.1_figure_caption"/>
    <w:qFormat/>
    <w:rsid w:val="00331227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331227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331227"/>
    <w:pPr>
      <w:adjustRightInd w:val="0"/>
      <w:snapToGrid w:val="0"/>
      <w:spacing w:line="240" w:lineRule="atLeast"/>
    </w:pPr>
    <w:rPr>
      <w:rFonts w:ascii="Minion Pro" w:eastAsia="宋体" w:hAnsi="Minion Pro" w:cs="Cordia New"/>
      <w:kern w:val="0"/>
      <w:sz w:val="22"/>
    </w:rPr>
  </w:style>
  <w:style w:type="paragraph" w:customStyle="1" w:styleId="TSP62BackMatter">
    <w:name w:val="TSP_6.2_BackMatter"/>
    <w:qFormat/>
    <w:rsid w:val="00331227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en-US" w:bidi="en-US"/>
    </w:rPr>
  </w:style>
  <w:style w:type="paragraph" w:customStyle="1" w:styleId="TSP63Notes">
    <w:name w:val="TSP_6.3_Notes"/>
    <w:qFormat/>
    <w:rsid w:val="00331227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TSP71FootNotes">
    <w:name w:val="TSP_7.1_FootNotes"/>
    <w:qFormat/>
    <w:rsid w:val="00331227"/>
    <w:pPr>
      <w:numPr>
        <w:numId w:val="5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kern w:val="0"/>
      <w:sz w:val="18"/>
      <w:szCs w:val="20"/>
    </w:rPr>
  </w:style>
  <w:style w:type="paragraph" w:customStyle="1" w:styleId="TSP71References">
    <w:name w:val="TSP_7.1_References"/>
    <w:qFormat/>
    <w:rsid w:val="00331227"/>
    <w:pPr>
      <w:numPr>
        <w:numId w:val="4"/>
      </w:numPr>
      <w:adjustRightInd w:val="0"/>
      <w:snapToGrid w:val="0"/>
      <w:spacing w:line="228" w:lineRule="auto"/>
      <w:jc w:val="both"/>
    </w:pPr>
    <w:rPr>
      <w:rFonts w:ascii="Minion Pro" w:eastAsia="等线" w:hAnsi="Minion Pro" w:cs="Times New Roman"/>
      <w:color w:val="000000"/>
      <w:kern w:val="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331227"/>
    <w:pPr>
      <w:adjustRightInd w:val="0"/>
      <w:snapToGrid w:val="0"/>
      <w:spacing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331227"/>
    <w:pPr>
      <w:adjustRightInd w:val="0"/>
      <w:snapToGrid w:val="0"/>
      <w:spacing w:before="20" w:line="228" w:lineRule="auto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CH"/>
    </w:rPr>
  </w:style>
  <w:style w:type="paragraph" w:customStyle="1" w:styleId="TSP81theorem">
    <w:name w:val="TSP_8.1_theorem"/>
    <w:qFormat/>
    <w:rsid w:val="00331227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kern w:val="0"/>
      <w:sz w:val="22"/>
      <w:lang w:eastAsia="de-DE" w:bidi="en-US"/>
    </w:rPr>
  </w:style>
  <w:style w:type="paragraph" w:customStyle="1" w:styleId="TSP82proof">
    <w:name w:val="TSP_8.2_proof"/>
    <w:qFormat/>
    <w:rsid w:val="00331227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equationFram">
    <w:name w:val="TSP_equationFram"/>
    <w:qFormat/>
    <w:rsid w:val="00331227"/>
    <w:pPr>
      <w:adjustRightInd w:val="0"/>
      <w:snapToGrid w:val="0"/>
      <w:spacing w:before="120" w:after="120"/>
    </w:pPr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</w:rPr>
  </w:style>
  <w:style w:type="paragraph" w:customStyle="1" w:styleId="TSPfooter">
    <w:name w:val="TSP_footer"/>
    <w:qFormat/>
    <w:rsid w:val="00331227"/>
    <w:p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</w:rPr>
  </w:style>
  <w:style w:type="paragraph" w:customStyle="1" w:styleId="TSPfooterfirstpage">
    <w:name w:val="TSP_footer_firstpage"/>
    <w:qFormat/>
    <w:rsid w:val="00331227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</w:rPr>
  </w:style>
  <w:style w:type="paragraph" w:customStyle="1" w:styleId="TSPheader">
    <w:name w:val="TSP_header"/>
    <w:qFormat/>
    <w:rsid w:val="00331227"/>
    <w:p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iCs/>
      <w:color w:val="000000"/>
      <w:kern w:val="0"/>
      <w:sz w:val="16"/>
      <w:szCs w:val="20"/>
      <w:lang w:eastAsia="de-DE"/>
    </w:rPr>
  </w:style>
  <w:style w:type="paragraph" w:customStyle="1" w:styleId="TSPheadercitation">
    <w:name w:val="TSP_header_citation"/>
    <w:qFormat/>
    <w:rsid w:val="00331227"/>
    <w:pPr>
      <w:spacing w:line="228" w:lineRule="auto"/>
    </w:pPr>
    <w:rPr>
      <w:rFonts w:ascii="Minion Pro" w:eastAsia="Times New Roman" w:hAnsi="Minion Pro" w:cs="Times New Roman"/>
      <w:snapToGrid w:val="0"/>
      <w:color w:val="000000"/>
      <w:kern w:val="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331227"/>
    <w:pPr>
      <w:adjustRightInd w:val="0"/>
      <w:snapToGrid w:val="0"/>
      <w:spacing w:line="240" w:lineRule="atLeast"/>
    </w:pPr>
    <w:rPr>
      <w:rFonts w:ascii="Minion Pro" w:eastAsia="Times New Roman" w:hAnsi="Minion Pro" w:cs="Times New Roman"/>
      <w:color w:val="000000"/>
      <w:kern w:val="0"/>
      <w:sz w:val="22"/>
      <w:lang w:eastAsia="de-CH"/>
    </w:rPr>
  </w:style>
  <w:style w:type="paragraph" w:customStyle="1" w:styleId="TSPtext">
    <w:name w:val="TSP_text"/>
    <w:qFormat/>
    <w:rsid w:val="00331227"/>
    <w:pPr>
      <w:snapToGrid w:val="0"/>
      <w:spacing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TSPtitle">
    <w:name w:val="TSP_title"/>
    <w:qFormat/>
    <w:rsid w:val="00331227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</w:rPr>
  </w:style>
  <w:style w:type="paragraph" w:customStyle="1" w:styleId="MsoFootnoteText0">
    <w:name w:val="MsoFootnoteText"/>
    <w:basedOn w:val="NormalWeb"/>
    <w:qFormat/>
    <w:rsid w:val="00331227"/>
    <w:pPr>
      <w:widowControl/>
      <w:spacing w:line="280" w:lineRule="atLeast"/>
    </w:pPr>
    <w:rPr>
      <w:color w:val="000000"/>
      <w:kern w:val="0"/>
      <w:sz w:val="20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33122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1227"/>
    <w:pPr>
      <w:ind w:left="720"/>
      <w:contextualSpacing/>
    </w:pPr>
  </w:style>
  <w:style w:type="paragraph" w:styleId="Revision">
    <w:name w:val="Revision"/>
    <w:hidden/>
    <w:uiPriority w:val="99"/>
    <w:semiHidden/>
    <w:rsid w:val="00D00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达 李</dc:creator>
  <cp:keywords/>
  <dc:description/>
  <cp:lastModifiedBy>Tech Science Press</cp:lastModifiedBy>
  <cp:revision>22</cp:revision>
  <dcterms:created xsi:type="dcterms:W3CDTF">2025-05-21T11:10:00Z</dcterms:created>
  <dcterms:modified xsi:type="dcterms:W3CDTF">2025-06-13T05:42:00Z</dcterms:modified>
</cp:coreProperties>
</file>