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6944E2" w14:textId="6CA34738" w:rsidR="000F7776" w:rsidRDefault="00000000">
      <w:pPr>
        <w:widowControl/>
        <w:spacing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 w:hint="eastAsia"/>
          <w:b/>
          <w:bCs/>
          <w:sz w:val="24"/>
        </w:rPr>
        <w:t xml:space="preserve">Supplementary </w:t>
      </w:r>
      <w:r w:rsidR="00911E15">
        <w:rPr>
          <w:rFonts w:ascii="Times New Roman" w:hAnsi="Times New Roman" w:cs="Times New Roman"/>
          <w:b/>
          <w:bCs/>
          <w:sz w:val="24"/>
        </w:rPr>
        <w:t>Information</w:t>
      </w:r>
    </w:p>
    <w:p w14:paraId="21359E06" w14:textId="77777777" w:rsidR="00B24DFB" w:rsidRDefault="00E36952" w:rsidP="00E36952">
      <w:pPr>
        <w:widowControl/>
        <w:spacing w:line="360" w:lineRule="auto"/>
        <w:rPr>
          <w:rFonts w:ascii="Times New Roman" w:eastAsia="SimSun" w:hAnsi="Times New Roman" w:cs="Times New Roman"/>
          <w:color w:val="1F2329"/>
          <w:kern w:val="0"/>
          <w:sz w:val="24"/>
          <w:shd w:val="clear" w:color="auto" w:fill="FFFFFF"/>
          <w:lang w:bidi="ar"/>
        </w:rPr>
      </w:pPr>
      <w:r>
        <w:rPr>
          <w:noProof/>
        </w:rPr>
        <w:drawing>
          <wp:inline distT="0" distB="0" distL="0" distR="0" wp14:anchorId="753CD3AA" wp14:editId="76B6FEE8">
            <wp:extent cx="5274310" cy="2301240"/>
            <wp:effectExtent l="0" t="0" r="2540" b="3810"/>
            <wp:docPr id="2859240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475" b="139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B40D34" w14:textId="6AB172A5" w:rsidR="00E36952" w:rsidRPr="00E36952" w:rsidRDefault="00E16765" w:rsidP="00B24DFB">
      <w:pPr>
        <w:widowControl/>
        <w:spacing w:line="360" w:lineRule="auto"/>
        <w:rPr>
          <w:rFonts w:ascii="Times New Roman" w:eastAsia="SimSun" w:hAnsi="Times New Roman" w:cs="Times New Roman"/>
          <w:color w:val="1F2329"/>
          <w:kern w:val="0"/>
          <w:sz w:val="24"/>
          <w:shd w:val="clear" w:color="auto" w:fill="FFFFFF"/>
          <w:lang w:val="en-GB" w:bidi="ar"/>
        </w:rPr>
      </w:pPr>
      <w:r w:rsidRPr="00911E15">
        <w:rPr>
          <w:rFonts w:ascii="Times New Roman" w:eastAsia="SimSun" w:hAnsi="Times New Roman" w:cs="Times New Roman"/>
          <w:b/>
          <w:bCs/>
          <w:color w:val="1F2329"/>
          <w:kern w:val="0"/>
          <w:sz w:val="24"/>
          <w:shd w:val="clear" w:color="auto" w:fill="FFFFFF"/>
          <w:lang w:bidi="ar"/>
        </w:rPr>
        <w:t>Figure S1</w:t>
      </w:r>
      <w:r>
        <w:rPr>
          <w:rFonts w:ascii="Times New Roman" w:eastAsia="SimSun" w:hAnsi="Times New Roman" w:cs="Times New Roman"/>
          <w:color w:val="1F2329"/>
          <w:kern w:val="0"/>
          <w:sz w:val="24"/>
          <w:shd w:val="clear" w:color="auto" w:fill="FFFFFF"/>
          <w:lang w:bidi="ar"/>
        </w:rPr>
        <w:t>:</w:t>
      </w:r>
      <w:r w:rsidR="00E36952" w:rsidRPr="00E36952">
        <w:rPr>
          <w:rFonts w:ascii="Times New Roman" w:eastAsia="SimSun" w:hAnsi="Times New Roman" w:cs="Times New Roman"/>
          <w:color w:val="1F2329"/>
          <w:kern w:val="0"/>
          <w:sz w:val="24"/>
          <w:shd w:val="clear" w:color="auto" w:fill="FFFFFF"/>
          <w:lang w:bidi="ar"/>
        </w:rPr>
        <w:t xml:space="preserve"> The intelligent insect monitoring and reporting system</w:t>
      </w:r>
      <w:r w:rsidR="00B24DFB">
        <w:rPr>
          <w:rFonts w:ascii="Times New Roman" w:eastAsia="SimSun" w:hAnsi="Times New Roman" w:cs="Times New Roman"/>
          <w:color w:val="1F2329"/>
          <w:kern w:val="0"/>
          <w:sz w:val="24"/>
          <w:shd w:val="clear" w:color="auto" w:fill="FFFFFF"/>
          <w:lang w:bidi="ar"/>
        </w:rPr>
        <w:t xml:space="preserve">. </w:t>
      </w:r>
      <w:r w:rsidR="00E36952">
        <w:rPr>
          <w:rFonts w:ascii="Times New Roman" w:eastAsia="SimSun" w:hAnsi="Times New Roman" w:cs="Times New Roman"/>
          <w:color w:val="1F2329"/>
          <w:kern w:val="0"/>
          <w:sz w:val="24"/>
          <w:shd w:val="clear" w:color="auto" w:fill="FFFFFF"/>
          <w:lang w:bidi="ar"/>
        </w:rPr>
        <w:t xml:space="preserve">Note: </w:t>
      </w:r>
      <w:r w:rsidR="00E36952" w:rsidRPr="00E36952">
        <w:rPr>
          <w:rFonts w:ascii="Times New Roman" w:eastAsia="SimSun" w:hAnsi="Times New Roman" w:cs="Times New Roman"/>
          <w:color w:val="1F2329"/>
          <w:kern w:val="0"/>
          <w:sz w:val="24"/>
          <w:shd w:val="clear" w:color="auto" w:fill="FFFFFF"/>
          <w:lang w:bidi="ar"/>
        </w:rPr>
        <w:t>The insect monitoring automatic detection device deployed at the periphery of the field. The system is engineered for automated data acquisition and remote access, facilitating real-time pest surveillance</w:t>
      </w:r>
      <w:r>
        <w:rPr>
          <w:rFonts w:ascii="Times New Roman" w:eastAsia="SimSun" w:hAnsi="Times New Roman" w:cs="Times New Roman"/>
          <w:color w:val="1F2329"/>
          <w:kern w:val="0"/>
          <w:sz w:val="24"/>
          <w:shd w:val="clear" w:color="auto" w:fill="FFFFFF"/>
          <w:lang w:bidi="ar"/>
        </w:rPr>
        <w:t>.</w:t>
      </w:r>
    </w:p>
    <w:p w14:paraId="4A76AD50" w14:textId="77777777" w:rsidR="00E36952" w:rsidRDefault="00E36952">
      <w:pPr>
        <w:widowControl/>
        <w:spacing w:line="360" w:lineRule="auto"/>
        <w:rPr>
          <w:rFonts w:ascii="Times New Roman" w:hAnsi="Times New Roman" w:cs="Times New Roman"/>
          <w:sz w:val="24"/>
          <w:lang w:val="en-GB"/>
        </w:rPr>
      </w:pPr>
    </w:p>
    <w:p w14:paraId="0436C4DC" w14:textId="5C2464E7" w:rsidR="000F7776" w:rsidRDefault="00000000">
      <w:pPr>
        <w:widowControl/>
        <w:spacing w:line="360" w:lineRule="auto"/>
        <w:rPr>
          <w:rFonts w:ascii="Times New Roman" w:hAnsi="Times New Roman" w:cs="Times New Roman"/>
          <w:sz w:val="24"/>
        </w:rPr>
      </w:pPr>
      <w:r w:rsidRPr="00911E15">
        <w:rPr>
          <w:rFonts w:ascii="Times New Roman" w:hAnsi="Times New Roman" w:cs="Times New Roman"/>
          <w:b/>
          <w:bCs/>
          <w:sz w:val="24"/>
        </w:rPr>
        <w:t>Table S1</w:t>
      </w:r>
      <w:r>
        <w:rPr>
          <w:rFonts w:ascii="Times New Roman" w:hAnsi="Times New Roman" w:cs="Times New Roman"/>
          <w:sz w:val="24"/>
        </w:rPr>
        <w:t>. The registration and manufacturing details of insecticides used</w:t>
      </w:r>
      <w:r w:rsidR="00E16765">
        <w:rPr>
          <w:rFonts w:ascii="Times New Roman" w:hAnsi="Times New Roman" w:cs="Times New Roman"/>
          <w:sz w:val="24"/>
        </w:rPr>
        <w:t>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"/>
        <w:gridCol w:w="2532"/>
        <w:gridCol w:w="916"/>
        <w:gridCol w:w="2990"/>
        <w:gridCol w:w="1340"/>
      </w:tblGrid>
      <w:tr w:rsidR="000F7776" w:rsidRPr="00E16765" w14:paraId="5EE531A1" w14:textId="77777777" w:rsidTr="00911E15">
        <w:trPr>
          <w:jc w:val="center"/>
        </w:trPr>
        <w:tc>
          <w:tcPr>
            <w:tcW w:w="53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42AD73B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b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b/>
                <w:bCs/>
                <w:kern w:val="0"/>
                <w:sz w:val="20"/>
                <w:szCs w:val="20"/>
                <w:lang w:bidi="ar"/>
              </w:rPr>
              <w:t>No.</w:t>
            </w:r>
          </w:p>
        </w:tc>
        <w:tc>
          <w:tcPr>
            <w:tcW w:w="257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A8FCBD3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b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b/>
                <w:bCs/>
                <w:kern w:val="0"/>
                <w:sz w:val="20"/>
                <w:szCs w:val="20"/>
                <w:lang w:bidi="ar"/>
              </w:rPr>
              <w:t xml:space="preserve">Pesticide </w:t>
            </w:r>
          </w:p>
        </w:tc>
        <w:tc>
          <w:tcPr>
            <w:tcW w:w="9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98B2BE1" w14:textId="2F7456A6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b/>
                <w:bCs/>
                <w:kern w:val="0"/>
                <w:sz w:val="20"/>
                <w:szCs w:val="20"/>
                <w:lang w:bidi="ar"/>
              </w:rPr>
            </w:pPr>
            <w:r w:rsidRPr="00E16765">
              <w:rPr>
                <w:rFonts w:ascii="Minion Pro" w:hAnsi="Minion Pro" w:cs="Times New Roman" w:hint="eastAsia"/>
                <w:b/>
                <w:bCs/>
                <w:kern w:val="0"/>
                <w:sz w:val="20"/>
                <w:szCs w:val="20"/>
                <w:lang w:bidi="ar"/>
              </w:rPr>
              <w:t xml:space="preserve">Dosage </w:t>
            </w:r>
            <w:r w:rsidR="00E16765" w:rsidRPr="00E16765">
              <w:rPr>
                <w:rFonts w:ascii="Minion Pro" w:hAnsi="Minion Pro" w:cs="Times New Roman"/>
                <w:b/>
                <w:bCs/>
                <w:kern w:val="0"/>
                <w:sz w:val="20"/>
                <w:szCs w:val="20"/>
                <w:lang w:bidi="ar"/>
              </w:rPr>
              <w:t>Form</w:t>
            </w:r>
          </w:p>
        </w:tc>
        <w:tc>
          <w:tcPr>
            <w:tcW w:w="303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B1F227E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b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b/>
                <w:bCs/>
                <w:kern w:val="0"/>
                <w:sz w:val="20"/>
                <w:szCs w:val="20"/>
                <w:lang w:bidi="ar"/>
              </w:rPr>
              <w:t>Manufacturer</w:t>
            </w:r>
          </w:p>
        </w:tc>
        <w:tc>
          <w:tcPr>
            <w:tcW w:w="136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47B07C0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b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b/>
                <w:bCs/>
                <w:kern w:val="0"/>
                <w:sz w:val="20"/>
                <w:szCs w:val="20"/>
                <w:lang w:bidi="ar"/>
              </w:rPr>
              <w:t>Registration Number</w:t>
            </w:r>
          </w:p>
        </w:tc>
      </w:tr>
      <w:tr w:rsidR="000F7776" w:rsidRPr="00E16765" w14:paraId="48E06F83" w14:textId="77777777" w:rsidTr="00911E15">
        <w:trPr>
          <w:jc w:val="center"/>
        </w:trPr>
        <w:tc>
          <w:tcPr>
            <w:tcW w:w="536" w:type="dxa"/>
            <w:tcBorders>
              <w:top w:val="single" w:sz="4" w:space="0" w:color="auto"/>
            </w:tcBorders>
            <w:vAlign w:val="center"/>
          </w:tcPr>
          <w:p w14:paraId="19ADE860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</w:tcBorders>
            <w:vAlign w:val="center"/>
          </w:tcPr>
          <w:p w14:paraId="3FB85A28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</w:rPr>
            </w:pPr>
            <w:r w:rsidRPr="00E16765">
              <w:rPr>
                <w:rFonts w:ascii="Minion Pro" w:hAnsi="Minion Pro"/>
                <w:sz w:val="20"/>
                <w:szCs w:val="20"/>
              </w:rPr>
              <w:t>1.8%</w:t>
            </w:r>
            <w:r w:rsidRPr="00E16765">
              <w:rPr>
                <w:rFonts w:ascii="Minion Pro" w:hAnsi="Minion Pro" w:hint="eastAsia"/>
                <w:sz w:val="20"/>
                <w:szCs w:val="20"/>
              </w:rPr>
              <w:t xml:space="preserve"> </w:t>
            </w: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Avermectin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center"/>
          </w:tcPr>
          <w:p w14:paraId="1E677B9D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</w:pPr>
            <w:r w:rsidRPr="00E16765">
              <w:rPr>
                <w:rFonts w:ascii="Minion Pro" w:hAnsi="Minion Pro"/>
                <w:sz w:val="20"/>
                <w:szCs w:val="22"/>
              </w:rPr>
              <w:t>EC</w:t>
            </w:r>
          </w:p>
        </w:tc>
        <w:tc>
          <w:tcPr>
            <w:tcW w:w="3035" w:type="dxa"/>
            <w:tcBorders>
              <w:top w:val="single" w:sz="4" w:space="0" w:color="auto"/>
            </w:tcBorders>
            <w:vAlign w:val="center"/>
          </w:tcPr>
          <w:p w14:paraId="02FDE9AA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Stanley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vAlign w:val="center"/>
          </w:tcPr>
          <w:p w14:paraId="61F9D800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PD20093356</w:t>
            </w:r>
          </w:p>
        </w:tc>
      </w:tr>
      <w:tr w:rsidR="000F7776" w:rsidRPr="00E16765" w14:paraId="1BA82FB0" w14:textId="77777777" w:rsidTr="00911E15">
        <w:trPr>
          <w:jc w:val="center"/>
        </w:trPr>
        <w:tc>
          <w:tcPr>
            <w:tcW w:w="536" w:type="dxa"/>
            <w:vAlign w:val="center"/>
          </w:tcPr>
          <w:p w14:paraId="6522DA91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570" w:type="dxa"/>
            <w:vAlign w:val="center"/>
          </w:tcPr>
          <w:p w14:paraId="0527CEB0" w14:textId="5FFC4356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</w:rPr>
            </w:pPr>
            <w:r w:rsidRPr="00E16765">
              <w:rPr>
                <w:rFonts w:ascii="Minion Pro" w:hAnsi="Minion Pro"/>
                <w:sz w:val="20"/>
                <w:szCs w:val="20"/>
              </w:rPr>
              <w:t>40</w:t>
            </w:r>
            <w:proofErr w:type="gramStart"/>
            <w:r w:rsidRPr="00E16765">
              <w:rPr>
                <w:rFonts w:ascii="Minion Pro" w:hAnsi="Minion Pro"/>
                <w:sz w:val="20"/>
                <w:szCs w:val="20"/>
              </w:rPr>
              <w:t xml:space="preserve">% </w:t>
            </w:r>
            <w:r w:rsidRPr="00E16765">
              <w:rPr>
                <w:rFonts w:ascii="Minion Pro" w:hAnsi="Minion Pro" w:hint="eastAsia"/>
                <w:sz w:val="20"/>
                <w:szCs w:val="20"/>
              </w:rPr>
              <w:t xml:space="preserve"> </w:t>
            </w: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Chlorantraniliprole</w:t>
            </w:r>
            <w:proofErr w:type="gramEnd"/>
          </w:p>
        </w:tc>
        <w:tc>
          <w:tcPr>
            <w:tcW w:w="930" w:type="dxa"/>
            <w:vAlign w:val="center"/>
          </w:tcPr>
          <w:p w14:paraId="6330D987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</w:pPr>
            <w:r w:rsidRPr="00E16765">
              <w:rPr>
                <w:rFonts w:ascii="Minion Pro" w:hAnsi="Minion Pro" w:cs="Times New Roman" w:hint="eastAsia"/>
                <w:kern w:val="0"/>
                <w:sz w:val="20"/>
                <w:szCs w:val="20"/>
                <w:lang w:bidi="ar"/>
              </w:rPr>
              <w:t>DPC</w:t>
            </w:r>
          </w:p>
        </w:tc>
        <w:tc>
          <w:tcPr>
            <w:tcW w:w="3035" w:type="dxa"/>
            <w:vAlign w:val="center"/>
          </w:tcPr>
          <w:p w14:paraId="6415F498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Syngenta Nantong Crop Protection Co., Ltd.</w:t>
            </w:r>
          </w:p>
        </w:tc>
        <w:tc>
          <w:tcPr>
            <w:tcW w:w="1360" w:type="dxa"/>
            <w:vAlign w:val="center"/>
          </w:tcPr>
          <w:p w14:paraId="39556248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PD20141973</w:t>
            </w:r>
          </w:p>
        </w:tc>
      </w:tr>
      <w:tr w:rsidR="000F7776" w:rsidRPr="00E16765" w14:paraId="269FE8A6" w14:textId="77777777" w:rsidTr="00911E15">
        <w:trPr>
          <w:jc w:val="center"/>
        </w:trPr>
        <w:tc>
          <w:tcPr>
            <w:tcW w:w="536" w:type="dxa"/>
            <w:vAlign w:val="center"/>
          </w:tcPr>
          <w:p w14:paraId="1E3A2A03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570" w:type="dxa"/>
            <w:vAlign w:val="center"/>
          </w:tcPr>
          <w:p w14:paraId="386A7BF9" w14:textId="619F8604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</w:rPr>
            </w:pPr>
            <w:r w:rsidRPr="00E16765">
              <w:rPr>
                <w:rFonts w:ascii="Minion Pro" w:hAnsi="Minion Pro"/>
                <w:sz w:val="20"/>
                <w:szCs w:val="20"/>
              </w:rPr>
              <w:t>34%</w:t>
            </w:r>
            <w:r w:rsidRPr="00E16765">
              <w:rPr>
                <w:rFonts w:ascii="Minion Pro" w:hAnsi="Minion Pro" w:hint="eastAsia"/>
                <w:sz w:val="20"/>
                <w:szCs w:val="20"/>
              </w:rPr>
              <w:t xml:space="preserve"> </w:t>
            </w: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Spinetoram</w:t>
            </w:r>
          </w:p>
        </w:tc>
        <w:tc>
          <w:tcPr>
            <w:tcW w:w="930" w:type="dxa"/>
            <w:vAlign w:val="center"/>
          </w:tcPr>
          <w:p w14:paraId="6822D2DA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</w:pPr>
            <w:r w:rsidRPr="00E16765">
              <w:rPr>
                <w:rFonts w:ascii="Minion Pro" w:hAnsi="Minion Pro" w:cs="Times New Roman" w:hint="eastAsia"/>
                <w:kern w:val="0"/>
                <w:sz w:val="20"/>
                <w:szCs w:val="20"/>
                <w:lang w:bidi="ar"/>
              </w:rPr>
              <w:t>SC</w:t>
            </w:r>
          </w:p>
        </w:tc>
        <w:tc>
          <w:tcPr>
            <w:tcW w:w="3035" w:type="dxa"/>
            <w:vAlign w:val="center"/>
          </w:tcPr>
          <w:p w14:paraId="1AFFD568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Dow AgroSciences Co., Ltd.</w:t>
            </w:r>
          </w:p>
        </w:tc>
        <w:tc>
          <w:tcPr>
            <w:tcW w:w="1360" w:type="dxa"/>
            <w:vAlign w:val="center"/>
          </w:tcPr>
          <w:p w14:paraId="63AAB2F2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PD20181332</w:t>
            </w:r>
          </w:p>
        </w:tc>
      </w:tr>
      <w:tr w:rsidR="000F7776" w:rsidRPr="00E16765" w14:paraId="5511A87B" w14:textId="77777777" w:rsidTr="00911E15">
        <w:trPr>
          <w:jc w:val="center"/>
        </w:trPr>
        <w:tc>
          <w:tcPr>
            <w:tcW w:w="536" w:type="dxa"/>
            <w:vAlign w:val="center"/>
          </w:tcPr>
          <w:p w14:paraId="5FACF002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570" w:type="dxa"/>
            <w:vAlign w:val="center"/>
          </w:tcPr>
          <w:p w14:paraId="434B7362" w14:textId="3FE53D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</w:rPr>
            </w:pPr>
            <w:r w:rsidRPr="00E16765">
              <w:rPr>
                <w:rFonts w:ascii="Minion Pro" w:hAnsi="Minion Pro"/>
                <w:sz w:val="20"/>
                <w:szCs w:val="20"/>
              </w:rPr>
              <w:t>9%</w:t>
            </w:r>
            <w:r w:rsidRPr="00E16765">
              <w:rPr>
                <w:rFonts w:ascii="Minion Pro" w:hAnsi="Minion Pro" w:hint="eastAsia"/>
                <w:sz w:val="20"/>
                <w:szCs w:val="20"/>
              </w:rPr>
              <w:t xml:space="preserve"> </w:t>
            </w: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Emamectin benzoate</w:t>
            </w:r>
            <w:r w:rsidRPr="00E16765">
              <w:rPr>
                <w:rFonts w:ascii="Minion Pro" w:hAnsi="Minion Pro"/>
                <w:sz w:val="20"/>
                <w:szCs w:val="20"/>
              </w:rPr>
              <w:t>·</w:t>
            </w: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methoxyfenozide</w:t>
            </w:r>
          </w:p>
        </w:tc>
        <w:tc>
          <w:tcPr>
            <w:tcW w:w="930" w:type="dxa"/>
            <w:vAlign w:val="center"/>
          </w:tcPr>
          <w:p w14:paraId="40965D41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</w:pPr>
            <w:r w:rsidRPr="00E16765">
              <w:rPr>
                <w:rFonts w:ascii="Minion Pro" w:hAnsi="Minion Pro" w:cs="Times New Roman" w:hint="eastAsia"/>
                <w:kern w:val="0"/>
                <w:sz w:val="20"/>
                <w:szCs w:val="20"/>
                <w:lang w:bidi="ar"/>
              </w:rPr>
              <w:t>SC</w:t>
            </w:r>
          </w:p>
        </w:tc>
        <w:tc>
          <w:tcPr>
            <w:tcW w:w="3035" w:type="dxa"/>
            <w:vAlign w:val="center"/>
          </w:tcPr>
          <w:p w14:paraId="63845A9B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Hebei Meibang Chemical Technology Co., Ltd.</w:t>
            </w:r>
          </w:p>
        </w:tc>
        <w:tc>
          <w:tcPr>
            <w:tcW w:w="1360" w:type="dxa"/>
            <w:vAlign w:val="center"/>
          </w:tcPr>
          <w:p w14:paraId="6794DDE6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PD20230291</w:t>
            </w:r>
          </w:p>
        </w:tc>
      </w:tr>
      <w:tr w:rsidR="000F7776" w:rsidRPr="00E16765" w14:paraId="5DB3494C" w14:textId="77777777" w:rsidTr="00911E15">
        <w:trPr>
          <w:jc w:val="center"/>
        </w:trPr>
        <w:tc>
          <w:tcPr>
            <w:tcW w:w="536" w:type="dxa"/>
            <w:vAlign w:val="center"/>
          </w:tcPr>
          <w:p w14:paraId="21794E0D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570" w:type="dxa"/>
            <w:vAlign w:val="center"/>
          </w:tcPr>
          <w:p w14:paraId="45B41A9F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</w:rPr>
            </w:pPr>
            <w:r w:rsidRPr="00E16765">
              <w:rPr>
                <w:rFonts w:ascii="Minion Pro" w:hAnsi="Minion Pro"/>
                <w:sz w:val="20"/>
                <w:szCs w:val="20"/>
              </w:rPr>
              <w:t>16%</w:t>
            </w:r>
            <w:r w:rsidRPr="00E16765">
              <w:rPr>
                <w:rFonts w:ascii="Minion Pro" w:hAnsi="Minion Pro" w:hint="eastAsia"/>
                <w:sz w:val="20"/>
                <w:szCs w:val="20"/>
              </w:rPr>
              <w:t xml:space="preserve"> </w:t>
            </w: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Avermectin</w:t>
            </w:r>
            <w:r w:rsidRPr="00E16765">
              <w:rPr>
                <w:rFonts w:ascii="Minion Pro" w:hAnsi="Minion Pro"/>
                <w:sz w:val="20"/>
                <w:szCs w:val="20"/>
              </w:rPr>
              <w:t>·</w:t>
            </w: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indoxacarb</w:t>
            </w:r>
          </w:p>
        </w:tc>
        <w:tc>
          <w:tcPr>
            <w:tcW w:w="930" w:type="dxa"/>
            <w:vAlign w:val="center"/>
          </w:tcPr>
          <w:p w14:paraId="296E0DB2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</w:pPr>
            <w:r w:rsidRPr="00E16765">
              <w:rPr>
                <w:rFonts w:ascii="Minion Pro" w:hAnsi="Minion Pro" w:cs="Times New Roman" w:hint="eastAsia"/>
                <w:kern w:val="0"/>
                <w:sz w:val="20"/>
                <w:szCs w:val="20"/>
                <w:lang w:bidi="ar"/>
              </w:rPr>
              <w:t>SC</w:t>
            </w:r>
          </w:p>
        </w:tc>
        <w:tc>
          <w:tcPr>
            <w:tcW w:w="3035" w:type="dxa"/>
            <w:vAlign w:val="center"/>
          </w:tcPr>
          <w:p w14:paraId="7E102786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Hebei Xingbai Agricultural Technology Co., Ltd.</w:t>
            </w:r>
          </w:p>
        </w:tc>
        <w:tc>
          <w:tcPr>
            <w:tcW w:w="1360" w:type="dxa"/>
            <w:vAlign w:val="center"/>
          </w:tcPr>
          <w:p w14:paraId="4CC932EB" w14:textId="77777777" w:rsidR="000F7776" w:rsidRPr="00E16765" w:rsidRDefault="00000000" w:rsidP="00E16765">
            <w:pPr>
              <w:widowControl/>
              <w:autoSpaceDE w:val="0"/>
              <w:autoSpaceDN w:val="0"/>
              <w:adjustRightInd w:val="0"/>
              <w:snapToGrid w:val="0"/>
              <w:jc w:val="left"/>
              <w:rPr>
                <w:rFonts w:ascii="Minion Pro" w:hAnsi="Minion Pro" w:cs="Times New Roman"/>
                <w:kern w:val="0"/>
                <w:sz w:val="20"/>
                <w:szCs w:val="22"/>
              </w:rPr>
            </w:pPr>
            <w:r w:rsidRPr="00E16765">
              <w:rPr>
                <w:rFonts w:ascii="Minion Pro" w:hAnsi="Minion Pro" w:cs="Times New Roman"/>
                <w:kern w:val="0"/>
                <w:sz w:val="20"/>
                <w:szCs w:val="20"/>
                <w:lang w:bidi="ar"/>
              </w:rPr>
              <w:t>PD20172786</w:t>
            </w:r>
          </w:p>
        </w:tc>
      </w:tr>
    </w:tbl>
    <w:p w14:paraId="7144ABB7" w14:textId="77777777" w:rsidR="000F7776" w:rsidRDefault="000F7776" w:rsidP="00E16765">
      <w:pPr>
        <w:rPr>
          <w:rFonts w:ascii="Times New Roman" w:hAnsi="Times New Roman" w:cs="Times New Roman"/>
        </w:rPr>
      </w:pPr>
    </w:p>
    <w:sectPr w:rsidR="000F7776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88558" w14:textId="77777777" w:rsidR="00DE16F0" w:rsidRDefault="00DE16F0">
      <w:r>
        <w:separator/>
      </w:r>
    </w:p>
  </w:endnote>
  <w:endnote w:type="continuationSeparator" w:id="0">
    <w:p w14:paraId="0112687B" w14:textId="77777777" w:rsidR="00DE16F0" w:rsidRDefault="00DE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FEECC" w14:textId="77777777" w:rsidR="00DE16F0" w:rsidRDefault="00DE16F0">
      <w:r>
        <w:separator/>
      </w:r>
    </w:p>
  </w:footnote>
  <w:footnote w:type="continuationSeparator" w:id="0">
    <w:p w14:paraId="03417115" w14:textId="77777777" w:rsidR="00DE16F0" w:rsidRDefault="00DE1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E46056"/>
    <w:multiLevelType w:val="multilevel"/>
    <w:tmpl w:val="6BE46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1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17004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9E9"/>
    <w:rsid w:val="000F7776"/>
    <w:rsid w:val="00136A5D"/>
    <w:rsid w:val="002649E9"/>
    <w:rsid w:val="00265228"/>
    <w:rsid w:val="002C36E4"/>
    <w:rsid w:val="004B42E9"/>
    <w:rsid w:val="006604FE"/>
    <w:rsid w:val="006956B3"/>
    <w:rsid w:val="006E589D"/>
    <w:rsid w:val="00705EDE"/>
    <w:rsid w:val="007C2FBD"/>
    <w:rsid w:val="00911E15"/>
    <w:rsid w:val="009C73FB"/>
    <w:rsid w:val="009D011A"/>
    <w:rsid w:val="00A50250"/>
    <w:rsid w:val="00B24DFB"/>
    <w:rsid w:val="00B84965"/>
    <w:rsid w:val="00BA2CF6"/>
    <w:rsid w:val="00BE3AD8"/>
    <w:rsid w:val="00C36D40"/>
    <w:rsid w:val="00C52076"/>
    <w:rsid w:val="00CB5792"/>
    <w:rsid w:val="00CB7978"/>
    <w:rsid w:val="00CE00B9"/>
    <w:rsid w:val="00D7284A"/>
    <w:rsid w:val="00DA0E49"/>
    <w:rsid w:val="00DE16F0"/>
    <w:rsid w:val="00E16765"/>
    <w:rsid w:val="00E300DD"/>
    <w:rsid w:val="00E36952"/>
    <w:rsid w:val="00E42316"/>
    <w:rsid w:val="00E606CC"/>
    <w:rsid w:val="00E62171"/>
    <w:rsid w:val="00F6367F"/>
    <w:rsid w:val="4A603826"/>
    <w:rsid w:val="4B68357D"/>
    <w:rsid w:val="57B82EA4"/>
    <w:rsid w:val="5B1C7A71"/>
    <w:rsid w:val="78C34FCD"/>
    <w:rsid w:val="7DA62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D3DCB"/>
  <w15:docId w15:val="{144AD607-C8FC-49F3-A41A-5BA98AB7B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rFonts w:hAnsiTheme="minorHAnsi" w:cstheme="minorBidi"/>
      <w:kern w:val="2"/>
      <w:sz w:val="21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ilvl w:val="1"/>
        <w:numId w:val="1"/>
      </w:numPr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val="en-GB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62626" w:themeColor="text1" w:themeTint="D9"/>
      <w:sz w:val="22"/>
      <w:szCs w:val="22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line="259" w:lineRule="auto"/>
      <w:outlineLvl w:val="8"/>
    </w:pPr>
    <w:rPr>
      <w:rFonts w:eastAsiaTheme="majorEastAsia" w:cstheme="majorBidi"/>
      <w:color w:val="262626" w:themeColor="text1" w:themeTint="D9"/>
      <w:sz w:val="22"/>
      <w:szCs w:val="2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GB"/>
      <w14:ligatures w14:val="standardContextual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table" w:styleId="TableGrid">
    <w:name w:val="Table Grid"/>
    <w:basedOn w:val="TableNormal"/>
    <w:qFormat/>
    <w:pPr>
      <w:widowControl w:val="0"/>
      <w:jc w:val="both"/>
    </w:pPr>
    <w:rPr>
      <w:rFonts w:ascii="Times New Roman"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ubHeading">
    <w:name w:val="A. SubHeading"/>
    <w:basedOn w:val="Heading1"/>
    <w:link w:val="ASubHeadingChar"/>
    <w:qFormat/>
    <w:pPr>
      <w:numPr>
        <w:ilvl w:val="0"/>
        <w:numId w:val="0"/>
      </w:numPr>
      <w:spacing w:before="0" w:line="360" w:lineRule="auto"/>
      <w:ind w:left="360" w:hanging="360"/>
      <w:jc w:val="left"/>
    </w:pPr>
    <w:rPr>
      <w:rFonts w:ascii="Times New Roman" w:eastAsia="SimHei" w:hAnsi="Times New Roman" w:cs="Times New Roman"/>
      <w:b/>
      <w:bCs/>
      <w:color w:val="auto"/>
      <w:kern w:val="44"/>
      <w:sz w:val="24"/>
      <w:szCs w:val="24"/>
      <w:lang w:val="en-US"/>
    </w:rPr>
  </w:style>
  <w:style w:type="character" w:customStyle="1" w:styleId="ASubHeadingChar">
    <w:name w:val="A. SubHeading Char"/>
    <w:basedOn w:val="Heading1Char"/>
    <w:link w:val="ASubHeading"/>
    <w:qFormat/>
    <w:rPr>
      <w:rFonts w:ascii="Times New Roman" w:eastAsia="SimHei" w:hAnsiTheme="majorHAnsi" w:cstheme="majorBidi"/>
      <w:b/>
      <w:bCs/>
      <w:color w:val="2F5496" w:themeColor="accent1" w:themeShade="BF"/>
      <w:kern w:val="44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eastAsiaTheme="majorEastAsia" w:hAnsiTheme="min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eastAsiaTheme="majorEastAsia" w:hAnsiTheme="min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qFormat/>
    <w:rPr>
      <w:rFonts w:eastAsiaTheme="majorEastAsia" w:hAnsiTheme="minorHAnsi" w:cstheme="majorBidi"/>
      <w:i/>
      <w:iCs/>
      <w:color w:val="262626" w:themeColor="text1" w:themeTint="D9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eastAsiaTheme="majorEastAsia" w:hAnsiTheme="minorHAnsi" w:cstheme="majorBidi"/>
      <w:color w:val="262626" w:themeColor="text1" w:themeTint="D9"/>
    </w:rPr>
  </w:style>
  <w:style w:type="character" w:customStyle="1" w:styleId="TitleChar">
    <w:name w:val="Title Char"/>
    <w:basedOn w:val="DefaultParagraphFont"/>
    <w:link w:val="Titl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qFormat/>
    <w:rPr>
      <w:rFonts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 w:after="160" w:line="259" w:lineRule="auto"/>
      <w:jc w:val="center"/>
    </w:pPr>
    <w:rPr>
      <w:rFonts w:hAnsi="Times New Roman" w:cs="Times New Roman"/>
      <w:i/>
      <w:iCs/>
      <w:color w:val="404040" w:themeColor="text1" w:themeTint="BF"/>
      <w:sz w:val="22"/>
      <w:szCs w:val="22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qFormat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pPr>
      <w:spacing w:after="160" w:line="259" w:lineRule="auto"/>
      <w:ind w:left="720"/>
      <w:contextualSpacing/>
    </w:pPr>
    <w:rPr>
      <w:rFonts w:hAnsi="Times New Roman" w:cs="Times New Roman"/>
      <w:sz w:val="22"/>
      <w:szCs w:val="22"/>
      <w:lang w:val="en-GB"/>
      <w14:ligatures w14:val="standardContextual"/>
    </w:rPr>
  </w:style>
  <w:style w:type="character" w:customStyle="1" w:styleId="IntenseEmphasis1">
    <w:name w:val="Intense Emphasis1"/>
    <w:basedOn w:val="DefaultParagraphFont"/>
    <w:uiPriority w:val="21"/>
    <w:qFormat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hAnsi="Times New Roman" w:cs="Times New Roman"/>
      <w:i/>
      <w:iCs/>
      <w:color w:val="2F5496" w:themeColor="accent1" w:themeShade="BF"/>
      <w:sz w:val="22"/>
      <w:szCs w:val="22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i/>
      <w:iCs/>
      <w:color w:val="2F5496" w:themeColor="accent1" w:themeShade="BF"/>
    </w:rPr>
  </w:style>
  <w:style w:type="character" w:customStyle="1" w:styleId="IntenseReference1">
    <w:name w:val="Intense Reference1"/>
    <w:basedOn w:val="DefaultParagraphFont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Umer Farooq</dc:creator>
  <cp:lastModifiedBy>Tech Science Press</cp:lastModifiedBy>
  <cp:revision>10</cp:revision>
  <dcterms:created xsi:type="dcterms:W3CDTF">2025-01-31T10:36:00Z</dcterms:created>
  <dcterms:modified xsi:type="dcterms:W3CDTF">2026-01-26T08:18:00Z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eyJoZGlkIjoiNjRhZjc0ZmY3NmE2MWFlZDE4ZjFiOWU5NDcwMGQ3YTkiLCJ1c2VySWQiOiI0MzYzNTE3NjYifQ==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13EB7F474EBE4649A636FB6A70C23C04_12</vt:lpwstr>
  </property>
</Properties>
</file>