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9D0D9">
      <w:pPr>
        <w:spacing w:after="0" w:line="360" w:lineRule="auto"/>
        <w:ind w:left="-5"/>
        <w:jc w:val="center"/>
        <w:rPr>
          <w:rFonts w:eastAsiaTheme="minorEastAsia"/>
          <w:color w:val="000000" w:themeColor="text1"/>
          <w14:textFill>
            <w14:solidFill>
              <w14:schemeClr w14:val="tx1"/>
            </w14:solidFill>
          </w14:textFill>
        </w:rPr>
      </w:pPr>
      <w:r>
        <w:rPr>
          <w:color w:val="000000" w:themeColor="text1"/>
          <w14:textFill>
            <w14:solidFill>
              <w14:schemeClr w14:val="tx1"/>
            </w14:solidFill>
          </w14:textFill>
        </w:rPr>
        <w:t>Supplementary Material</w:t>
      </w:r>
    </w:p>
    <w:p w14:paraId="6A9DF929">
      <w:pPr>
        <w:spacing w:after="0" w:line="360" w:lineRule="auto"/>
        <w:ind w:left="-5"/>
        <w:jc w:val="both"/>
        <w:rPr>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S1 </w:t>
      </w:r>
      <w:r>
        <w:rPr>
          <w:color w:val="000000" w:themeColor="text1"/>
          <w14:textFill>
            <w14:solidFill>
              <w14:schemeClr w14:val="tx1"/>
            </w14:solidFill>
          </w14:textFill>
        </w:rPr>
        <w:t xml:space="preserve">Study Subjects and Methods </w:t>
      </w:r>
    </w:p>
    <w:p w14:paraId="496C7C0D">
      <w:pPr>
        <w:pStyle w:val="15"/>
        <w:spacing w:after="0" w:line="360" w:lineRule="auto"/>
        <w:ind w:left="-15" w:firstLine="0" w:firstLineChars="0"/>
        <w:jc w:val="both"/>
        <w:rPr>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S1.1 </w:t>
      </w:r>
      <w:r>
        <w:rPr>
          <w:color w:val="000000" w:themeColor="text1"/>
          <w14:textFill>
            <w14:solidFill>
              <w14:schemeClr w14:val="tx1"/>
            </w14:solidFill>
          </w14:textFill>
        </w:rPr>
        <w:t xml:space="preserve">Inclusion Criteria </w:t>
      </w:r>
    </w:p>
    <w:p w14:paraId="61DFD69D">
      <w:pPr>
        <w:numPr>
          <w:ilvl w:val="0"/>
          <w:numId w:val="1"/>
        </w:numPr>
        <w:spacing w:after="0" w:line="360" w:lineRule="auto"/>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Based on the eighth edition of the TNM staging system by the International Union Against Cancer (UICC), all patients were classified as having stage III or IV lung cancer; (2) Patients must have received at least three cycles of first-line therapy primarily consisting of PD-1 inhibitors; (3) Imaging assessments were conducted every 2-3 cycles to evaluate clinical treatment efficacy; (4) Patients had at least one measurable target lesion according to RECIST 1.1 criteria; (5) Patients had not undergone prolonged glucocorticoid therapy; (6) All patients had a Karnofsky Performance Status (KPS) score of ≥60; (7) Physiological functions were generally normal, with peripheral blood cell counts meeting the criteria for anticancer drug treatment. Total bilirubin was ≤2.0 times the upper limit of normal (ULN), aspartate aminotransferase and alanine aminotransferase were ≤3 times ULN, and serum creatinine was ≤1.6 times ULN. </w:t>
      </w:r>
    </w:p>
    <w:p w14:paraId="63392158">
      <w:pPr>
        <w:spacing w:after="0" w:line="360" w:lineRule="auto"/>
        <w:ind w:left="-5" w:hanging="11"/>
        <w:jc w:val="both"/>
        <w:rPr>
          <w:color w:val="auto"/>
        </w:rPr>
      </w:pPr>
    </w:p>
    <w:p w14:paraId="21C124C8">
      <w:pPr>
        <w:spacing w:after="0" w:line="360" w:lineRule="auto"/>
        <w:ind w:left="-5" w:hanging="11"/>
        <w:jc w:val="both"/>
        <w:rPr>
          <w:color w:val="auto"/>
        </w:rPr>
      </w:pPr>
      <w:r>
        <w:rPr>
          <w:color w:val="auto"/>
        </w:rPr>
        <w:t>S1.</w:t>
      </w:r>
      <w:r>
        <w:rPr>
          <w:rFonts w:eastAsia="宋体"/>
          <w:color w:val="auto"/>
        </w:rPr>
        <w:t xml:space="preserve">2 </w:t>
      </w:r>
      <w:r>
        <w:rPr>
          <w:color w:val="auto"/>
        </w:rPr>
        <w:t xml:space="preserve">Exclusion Criteria </w:t>
      </w:r>
    </w:p>
    <w:p w14:paraId="09ACD125">
      <w:pPr>
        <w:spacing w:after="0" w:line="360" w:lineRule="auto"/>
        <w:jc w:val="both"/>
        <w:rPr>
          <w:b w:val="0"/>
          <w:bCs/>
          <w:color w:val="auto"/>
        </w:rPr>
      </w:pPr>
      <w:r>
        <w:rPr>
          <w:b w:val="0"/>
          <w:bCs/>
          <w:color w:val="auto"/>
        </w:rPr>
        <w:t>(1) Pulmonary metastatic tumors or previously existing malignancies in other locations</w:t>
      </w:r>
      <w:r>
        <w:rPr>
          <w:rFonts w:eastAsia="宋体"/>
          <w:b w:val="0"/>
          <w:bCs/>
          <w:color w:val="auto"/>
        </w:rPr>
        <w:t xml:space="preserve"> </w:t>
      </w:r>
      <w:r>
        <w:rPr>
          <w:b w:val="0"/>
          <w:bCs/>
          <w:color w:val="auto"/>
        </w:rPr>
        <w:t>(n=2,</w:t>
      </w:r>
      <w:r>
        <w:rPr>
          <w:rFonts w:eastAsia="宋体"/>
          <w:b w:val="0"/>
          <w:bCs/>
          <w:color w:val="auto"/>
        </w:rPr>
        <w:t>6</w:t>
      </w:r>
      <w:r>
        <w:rPr>
          <w:b w:val="0"/>
          <w:bCs/>
          <w:color w:val="auto"/>
        </w:rPr>
        <w:t>4</w:t>
      </w:r>
      <w:r>
        <w:rPr>
          <w:rFonts w:eastAsia="宋体"/>
          <w:b w:val="0"/>
          <w:bCs/>
          <w:color w:val="auto"/>
        </w:rPr>
        <w:t>6</w:t>
      </w:r>
      <w:r>
        <w:rPr>
          <w:b w:val="0"/>
          <w:bCs/>
          <w:color w:val="auto"/>
        </w:rPr>
        <w:t>); (2) Concurrent acute infectious diseases, acute myocardial infarction, or severe hepatic and renal diseases</w:t>
      </w:r>
      <w:r>
        <w:rPr>
          <w:rFonts w:eastAsia="宋体"/>
          <w:b w:val="0"/>
          <w:bCs/>
          <w:color w:val="auto"/>
        </w:rPr>
        <w:t xml:space="preserve"> </w:t>
      </w:r>
      <w:r>
        <w:rPr>
          <w:b w:val="0"/>
          <w:bCs/>
          <w:color w:val="auto"/>
        </w:rPr>
        <w:t>(n=421); (3) Severe immune system diseases</w:t>
      </w:r>
      <w:r>
        <w:rPr>
          <w:rFonts w:eastAsia="宋体"/>
          <w:b w:val="0"/>
          <w:bCs/>
          <w:color w:val="auto"/>
        </w:rPr>
        <w:t xml:space="preserve"> </w:t>
      </w:r>
      <w:r>
        <w:rPr>
          <w:b w:val="0"/>
          <w:bCs/>
          <w:color w:val="auto"/>
        </w:rPr>
        <w:t>or hematologic disorders</w:t>
      </w:r>
      <w:r>
        <w:rPr>
          <w:rFonts w:eastAsia="宋体"/>
          <w:b w:val="0"/>
          <w:bCs/>
          <w:color w:val="auto"/>
        </w:rPr>
        <w:t xml:space="preserve"> </w:t>
      </w:r>
      <w:r>
        <w:rPr>
          <w:b w:val="0"/>
          <w:bCs/>
          <w:color w:val="auto"/>
        </w:rPr>
        <w:t>(n=238); (4) Intolerance or allergic reactions to the study drugs</w:t>
      </w:r>
      <w:r>
        <w:rPr>
          <w:rFonts w:eastAsia="宋体"/>
          <w:b w:val="0"/>
          <w:bCs/>
          <w:color w:val="auto"/>
        </w:rPr>
        <w:t xml:space="preserve"> </w:t>
      </w:r>
      <w:r>
        <w:rPr>
          <w:b w:val="0"/>
          <w:bCs/>
          <w:color w:val="auto"/>
        </w:rPr>
        <w:t>(n=165); (5) Recent anticoagulant therapy or major surgical procedures within the past month</w:t>
      </w:r>
      <w:r>
        <w:rPr>
          <w:rFonts w:eastAsia="宋体"/>
          <w:b w:val="0"/>
          <w:bCs/>
          <w:color w:val="auto"/>
        </w:rPr>
        <w:t xml:space="preserve"> </w:t>
      </w:r>
      <w:r>
        <w:rPr>
          <w:b w:val="0"/>
          <w:bCs/>
          <w:color w:val="auto"/>
        </w:rPr>
        <w:t>(n=300); (6) Untreated or unstable active brain metastases</w:t>
      </w:r>
      <w:r>
        <w:rPr>
          <w:rFonts w:eastAsia="宋体"/>
          <w:b w:val="0"/>
          <w:bCs/>
          <w:color w:val="auto"/>
        </w:rPr>
        <w:t xml:space="preserve"> </w:t>
      </w:r>
      <w:r>
        <w:rPr>
          <w:b w:val="0"/>
          <w:bCs/>
          <w:color w:val="auto"/>
        </w:rPr>
        <w:t>(n=200); (7) Patients lost to follow-up</w:t>
      </w:r>
      <w:r>
        <w:rPr>
          <w:rFonts w:eastAsia="宋体"/>
          <w:b w:val="0"/>
          <w:bCs/>
          <w:color w:val="auto"/>
        </w:rPr>
        <w:t xml:space="preserve"> </w:t>
      </w:r>
      <w:r>
        <w:rPr>
          <w:b w:val="0"/>
          <w:bCs/>
          <w:color w:val="auto"/>
        </w:rPr>
        <w:t xml:space="preserve">(n=110). </w:t>
      </w:r>
      <w:r>
        <w:rPr>
          <w:rFonts w:eastAsia="宋体"/>
          <w:b w:val="0"/>
          <w:bCs/>
          <w:color w:val="auto"/>
        </w:rPr>
        <w:t>(8)</w:t>
      </w:r>
      <w:r>
        <w:rPr>
          <w:b w:val="0"/>
          <w:bCs/>
          <w:color w:val="auto"/>
        </w:rPr>
        <w:t xml:space="preserve"> </w:t>
      </w:r>
      <w:r>
        <w:rPr>
          <w:rFonts w:eastAsia="宋体"/>
          <w:b w:val="0"/>
          <w:bCs/>
          <w:color w:val="auto"/>
        </w:rPr>
        <w:t>P</w:t>
      </w:r>
      <w:r>
        <w:rPr>
          <w:b w:val="0"/>
          <w:bCs/>
          <w:color w:val="auto"/>
        </w:rPr>
        <w:t>atients on long-term corticosteroids at baseline were excluded during data screening</w:t>
      </w:r>
      <w:r>
        <w:rPr>
          <w:rFonts w:eastAsia="宋体"/>
          <w:b w:val="0"/>
          <w:bCs/>
          <w:color w:val="auto"/>
        </w:rPr>
        <w:t xml:space="preserve"> </w:t>
      </w:r>
      <w:r>
        <w:rPr>
          <w:b w:val="0"/>
          <w:bCs/>
          <w:color w:val="auto"/>
        </w:rPr>
        <w:t>(n=20</w:t>
      </w:r>
      <w:r>
        <w:rPr>
          <w:rFonts w:eastAsia="宋体"/>
          <w:b w:val="0"/>
          <w:bCs/>
          <w:color w:val="auto"/>
        </w:rPr>
        <w:t>1</w:t>
      </w:r>
      <w:r>
        <w:rPr>
          <w:b w:val="0"/>
          <w:bCs/>
          <w:color w:val="auto"/>
        </w:rPr>
        <w:t xml:space="preserve">). </w:t>
      </w:r>
    </w:p>
    <w:p w14:paraId="45E02CAB">
      <w:pPr>
        <w:spacing w:after="0" w:line="360" w:lineRule="auto"/>
        <w:jc w:val="both"/>
        <w:rPr>
          <w:b w:val="0"/>
          <w:bCs/>
          <w:color w:val="000000" w:themeColor="text1"/>
          <w14:textFill>
            <w14:solidFill>
              <w14:schemeClr w14:val="tx1"/>
            </w14:solidFill>
          </w14:textFill>
        </w:rPr>
      </w:pPr>
    </w:p>
    <w:p w14:paraId="441E66C0">
      <w:pPr>
        <w:spacing w:after="0" w:line="360" w:lineRule="auto"/>
        <w:ind w:left="0" w:firstLine="0"/>
        <w:jc w:val="both"/>
        <w:rPr>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S1.3 </w:t>
      </w:r>
      <w:r>
        <w:rPr>
          <w:color w:val="000000" w:themeColor="text1"/>
          <w14:textFill>
            <w14:solidFill>
              <w14:schemeClr w14:val="tx1"/>
            </w14:solidFill>
          </w14:textFill>
        </w:rPr>
        <w:t xml:space="preserve">Laboratory Tests </w:t>
      </w:r>
    </w:p>
    <w:p w14:paraId="5D58AA4A">
      <w:pPr>
        <w:spacing w:after="0" w:line="360" w:lineRule="auto"/>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All blood tests were conducted using disposable human venous blood sample collection containers. The specifications and configurations are as follows: complete blood count (EDTA-K2 2</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w:t>
      </w:r>
      <w:r>
        <w:rPr>
          <w:rFonts w:eastAsiaTheme="minorEastAsia"/>
          <w:b w:val="0"/>
          <w:bCs/>
          <w:color w:val="000000" w:themeColor="text1"/>
          <w14:textFill>
            <w14:solidFill>
              <w14:schemeClr w14:val="tx1"/>
            </w14:solidFill>
          </w14:textFill>
        </w:rPr>
        <w:t>L</w:t>
      </w:r>
      <w:r>
        <w:rPr>
          <w:b w:val="0"/>
          <w:bCs/>
          <w:color w:val="000000" w:themeColor="text1"/>
          <w14:textFill>
            <w14:solidFill>
              <w14:schemeClr w14:val="tx1"/>
            </w14:solidFill>
          </w14:textFill>
        </w:rPr>
        <w:t>, configuration: K2E-020PXZGD01-10), liver and kidney function tests, and tumor marker tests (clot activator 5</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w:t>
      </w:r>
      <w:r>
        <w:rPr>
          <w:rFonts w:eastAsiaTheme="minorEastAsia"/>
          <w:b w:val="0"/>
          <w:bCs/>
          <w:color w:val="000000" w:themeColor="text1"/>
          <w14:textFill>
            <w14:solidFill>
              <w14:schemeClr w14:val="tx1"/>
            </w14:solidFill>
          </w14:textFill>
        </w:rPr>
        <w:t>L</w:t>
      </w:r>
      <w:r>
        <w:rPr>
          <w:b w:val="0"/>
          <w:bCs/>
          <w:color w:val="000000" w:themeColor="text1"/>
          <w14:textFill>
            <w14:solidFill>
              <w14:schemeClr w14:val="tx1"/>
            </w14:solidFill>
          </w14:textFill>
        </w:rPr>
        <w:t>, configuration: SCA-050PXRCG03-00), coagulation tests (sodium citrate 1:9 2</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w:t>
      </w:r>
      <w:r>
        <w:rPr>
          <w:rFonts w:eastAsiaTheme="minorEastAsia"/>
          <w:b w:val="0"/>
          <w:bCs/>
          <w:color w:val="000000" w:themeColor="text1"/>
          <w14:textFill>
            <w14:solidFill>
              <w14:schemeClr w14:val="tx1"/>
            </w14:solidFill>
          </w14:textFill>
        </w:rPr>
        <w:t>L</w:t>
      </w:r>
      <w:r>
        <w:rPr>
          <w:b w:val="0"/>
          <w:bCs/>
          <w:color w:val="000000" w:themeColor="text1"/>
          <w14:textFill>
            <w14:solidFill>
              <w14:schemeClr w14:val="tx1"/>
            </w14:solidFill>
          </w14:textFill>
        </w:rPr>
        <w:t>, configuration: 9NC020PXLGD01-10). These materials were procured from Weihai Wego Blood Collection Products Co., Ltd.</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Shandong, China</w:t>
      </w:r>
      <w:r>
        <w:rPr>
          <w:rFonts w:eastAsiaTheme="minorEastAsia"/>
          <w:b w:val="0"/>
          <w:bCs/>
          <w:color w:val="000000" w:themeColor="text1"/>
          <w14:textFill>
            <w14:solidFill>
              <w14:schemeClr w14:val="tx1"/>
            </w14:solidFill>
          </w14:textFill>
        </w:rPr>
        <w:t>)</w:t>
      </w:r>
      <w:r>
        <w:rPr>
          <w:b w:val="0"/>
          <w:bCs/>
          <w:color w:val="000000" w:themeColor="text1"/>
          <w14:textFill>
            <w14:solidFill>
              <w14:schemeClr w14:val="tx1"/>
            </w14:solidFill>
          </w14:textFill>
        </w:rPr>
        <w:t xml:space="preserve">. </w:t>
      </w:r>
    </w:p>
    <w:p w14:paraId="2D89D138">
      <w:pPr>
        <w:spacing w:after="0" w:line="360" w:lineRule="auto"/>
        <w:ind w:left="-5" w:firstLine="480" w:firstLineChars="20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Blood samples were collected in the early morning while patients were in a resting state. For the complete blood count and coagulation tests, 2</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w:t>
      </w:r>
      <w:r>
        <w:rPr>
          <w:rFonts w:eastAsiaTheme="minorEastAsia"/>
          <w:b w:val="0"/>
          <w:bCs/>
          <w:color w:val="000000" w:themeColor="text1"/>
          <w14:textFill>
            <w14:solidFill>
              <w14:schemeClr w14:val="tx1"/>
            </w14:solidFill>
          </w14:textFill>
        </w:rPr>
        <w:t>L</w:t>
      </w:r>
      <w:r>
        <w:rPr>
          <w:b w:val="0"/>
          <w:bCs/>
          <w:color w:val="000000" w:themeColor="text1"/>
          <w14:textFill>
            <w14:solidFill>
              <w14:schemeClr w14:val="tx1"/>
            </w14:solidFill>
          </w14:textFill>
        </w:rPr>
        <w:t xml:space="preserve"> of fasting venous blood was collected, and for liver, kidney function, and tumor marker tests, 3</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w:t>
      </w:r>
      <w:r>
        <w:rPr>
          <w:rFonts w:eastAsiaTheme="minorEastAsia"/>
          <w:b w:val="0"/>
          <w:bCs/>
          <w:color w:val="000000" w:themeColor="text1"/>
          <w14:textFill>
            <w14:solidFill>
              <w14:schemeClr w14:val="tx1"/>
            </w14:solidFill>
          </w14:textFill>
        </w:rPr>
        <w:t>L</w:t>
      </w:r>
      <w:r>
        <w:rPr>
          <w:b w:val="0"/>
          <w:bCs/>
          <w:color w:val="000000" w:themeColor="text1"/>
          <w14:textFill>
            <w14:solidFill>
              <w14:schemeClr w14:val="tx1"/>
            </w14:solidFill>
          </w14:textFill>
        </w:rPr>
        <w:t xml:space="preserve"> of fasting</w:t>
      </w:r>
      <w:r>
        <w:rPr>
          <w:b w:val="0"/>
          <w:bCs/>
          <w:color w:val="auto"/>
        </w:rPr>
        <w:t xml:space="preserve"> venous blood was collected. The samples were analyzed using a Sysmex XN-2800</w:t>
      </w:r>
      <w:r>
        <w:rPr>
          <w:rStyle w:val="4"/>
          <w:rFonts w:hint="eastAsia" w:eastAsia="宋体"/>
          <w:color w:val="auto"/>
        </w:rPr>
        <w:t xml:space="preserve"> </w:t>
      </w:r>
      <w:r>
        <w:rPr>
          <w:b w:val="0"/>
          <w:bCs/>
          <w:color w:val="auto"/>
        </w:rPr>
        <w:t>fully automated hematology analyzer</w:t>
      </w:r>
      <w:r>
        <w:rPr>
          <w:rFonts w:hint="eastAsia"/>
          <w:b w:val="0"/>
          <w:bCs/>
          <w:color w:val="auto"/>
        </w:rPr>
        <w:t xml:space="preserve"> </w:t>
      </w:r>
      <w:r>
        <w:rPr>
          <w:b w:val="0"/>
          <w:bCs/>
          <w:color w:val="auto"/>
        </w:rPr>
        <w:t xml:space="preserve">(Sysmex </w:t>
      </w:r>
      <w:r>
        <w:rPr>
          <w:rFonts w:hint="eastAsia" w:eastAsia="宋体"/>
          <w:b w:val="0"/>
          <w:bCs/>
          <w:color w:val="auto"/>
        </w:rPr>
        <w:t>c</w:t>
      </w:r>
      <w:r>
        <w:rPr>
          <w:b w:val="0"/>
          <w:bCs/>
          <w:color w:val="auto"/>
        </w:rPr>
        <w:t>orporation, Kobe, Hyogo, Japan), ensuring the instrument was in optimal working condition as per the standard operating procedu</w:t>
      </w:r>
      <w:r>
        <w:rPr>
          <w:b w:val="0"/>
          <w:bCs/>
          <w:color w:val="000000" w:themeColor="text1"/>
          <w14:textFill>
            <w14:solidFill>
              <w14:schemeClr w14:val="tx1"/>
            </w14:solidFill>
          </w14:textFill>
        </w:rPr>
        <w:t xml:space="preserve">res (SOP) for routine blood tests and clinical trial protocols. All blood samples were tested within 3 hours of collection. </w:t>
      </w:r>
    </w:p>
    <w:p w14:paraId="1B2C203F">
      <w:pPr>
        <w:spacing w:after="0" w:line="360" w:lineRule="auto"/>
        <w:ind w:left="-5"/>
        <w:jc w:val="both"/>
        <w:rPr>
          <w:b w:val="0"/>
          <w:bCs/>
          <w:color w:val="000000" w:themeColor="text1"/>
          <w14:textFill>
            <w14:solidFill>
              <w14:schemeClr w14:val="tx1"/>
            </w14:solidFill>
          </w14:textFill>
        </w:rPr>
      </w:pPr>
    </w:p>
    <w:p w14:paraId="06DDCEA2">
      <w:pPr>
        <w:spacing w:after="0" w:line="360" w:lineRule="auto"/>
        <w:ind w:left="-5"/>
        <w:jc w:val="both"/>
        <w:rPr>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S1.4 </w:t>
      </w:r>
      <w:r>
        <w:rPr>
          <w:color w:val="000000" w:themeColor="text1"/>
          <w14:textFill>
            <w14:solidFill>
              <w14:schemeClr w14:val="tx1"/>
            </w14:solidFill>
          </w14:textFill>
        </w:rPr>
        <w:t xml:space="preserve">Experimental Drugs </w:t>
      </w:r>
    </w:p>
    <w:p w14:paraId="064CC3BE">
      <w:pPr>
        <w:spacing w:after="0" w:line="360" w:lineRule="auto"/>
        <w:ind w:left="-5"/>
        <w:jc w:val="both"/>
        <w:rPr>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S1.4.1</w:t>
      </w:r>
      <w:r>
        <w:rPr>
          <w:b w:val="0"/>
          <w:bCs/>
          <w:color w:val="000000" w:themeColor="text1"/>
          <w14:textFill>
            <w14:solidFill>
              <w14:schemeClr w14:val="tx1"/>
            </w14:solidFill>
          </w14:textFill>
        </w:rPr>
        <w:t xml:space="preserve"> PD-1 Inhibitors </w:t>
      </w:r>
    </w:p>
    <w:p w14:paraId="49FE0DEA">
      <w:pPr>
        <w:spacing w:after="0" w:line="360" w:lineRule="auto"/>
        <w:jc w:val="both"/>
        <w:rPr>
          <w:b w:val="0"/>
          <w:bCs/>
          <w:color w:val="auto"/>
        </w:rPr>
      </w:pPr>
      <w:r>
        <w:rPr>
          <w:rFonts w:hint="eastAsia"/>
          <w:b w:val="0"/>
          <w:bCs/>
          <w:color w:val="auto"/>
        </w:rPr>
        <w:t xml:space="preserve">The PD-1 inhibitors used in this study for all enrolled patients are as follows: (1) Pembrolizumab (Merck Sharp &amp; Dohme (China) Ltd., SJ20180019, Shanghai, China); (2) Tislelizumab (Guangzhou BeiGene Biopharmaceutical Co., Ltd., S20190045, Guangzhou, Guangdong, China); (3) Camrelizumab (Suzhou Sinovent Pharmaceuticals Co., Ltd., S20190027, Suzhou, Jiangsu, China); (4) Toripalimab (Shanghai Junshi Biosciences Co., Ltd., S20180015, Shanghai, China); (5) Serplulimab (Shanghai Henlius Biotech Co., Ltd., </w:t>
      </w:r>
      <w:r>
        <w:rPr>
          <w:b w:val="0"/>
          <w:bCs/>
          <w:color w:val="auto"/>
        </w:rPr>
        <w:t>S20220013</w:t>
      </w:r>
      <w:r>
        <w:rPr>
          <w:rFonts w:hint="eastAsia"/>
          <w:b w:val="0"/>
          <w:bCs/>
          <w:color w:val="auto"/>
        </w:rPr>
        <w:t>, Shanghai, China); (6) Sintilimab (Innovent Biologics (Suzhou) Co., Ltd., S20180016, Suzhou, Jiangsu, China); (7) Penpulimab (Akeso Biopharma Co., Ltd., S20210033, Zhongshan, Guangdong, China).</w:t>
      </w:r>
    </w:p>
    <w:p w14:paraId="3268A532">
      <w:pPr>
        <w:spacing w:after="0" w:line="360" w:lineRule="auto"/>
        <w:ind w:left="0" w:firstLine="42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Standard dosage and administration: Toripalimab is administered at 240</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mg per dose, Serplulimab at 4.5</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mg/kg, and the others at 200</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mg per dose. The aforementioned</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drugs were</w:t>
      </w:r>
      <w:r>
        <w:rPr>
          <w:rFonts w:eastAsiaTheme="minorEastAsia"/>
          <w:b w:val="0"/>
          <w:bCs/>
          <w:color w:val="000000" w:themeColor="text1"/>
          <w14:textFill>
            <w14:solidFill>
              <w14:schemeClr w14:val="tx1"/>
            </w14:solidFill>
          </w14:textFill>
        </w:rPr>
        <w:t xml:space="preserve"> a</w:t>
      </w:r>
      <w:r>
        <w:rPr>
          <w:b w:val="0"/>
          <w:bCs/>
          <w:color w:val="000000" w:themeColor="text1"/>
          <w14:textFill>
            <w14:solidFill>
              <w14:schemeClr w14:val="tx1"/>
            </w14:solidFill>
          </w14:textFill>
        </w:rPr>
        <w:t xml:space="preserve">dministered via intravenous infusion once every three cycles, with a minimum of four cycles or more. </w:t>
      </w:r>
    </w:p>
    <w:p w14:paraId="73964B2C">
      <w:pPr>
        <w:spacing w:after="0" w:line="360" w:lineRule="auto"/>
        <w:ind w:left="-5"/>
        <w:jc w:val="both"/>
        <w:rPr>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S1.</w:t>
      </w:r>
      <w:r>
        <w:rPr>
          <w:b w:val="0"/>
          <w:bCs/>
          <w:color w:val="000000" w:themeColor="text1"/>
          <w14:textFill>
            <w14:solidFill>
              <w14:schemeClr w14:val="tx1"/>
            </w14:solidFill>
          </w14:textFill>
        </w:rPr>
        <w:t xml:space="preserve">4.2 Bevacizumab </w:t>
      </w:r>
    </w:p>
    <w:p w14:paraId="67CED948">
      <w:pPr>
        <w:spacing w:after="0" w:line="360" w:lineRule="auto"/>
        <w:jc w:val="both"/>
        <w:rPr>
          <w:rFonts w:eastAsiaTheme="minorEastAsia"/>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The bevacizumab used by all enrolled patients in this study falls into two categories: (1)Avastin [Manufacturer: Roche Diagnostics GmbH]; (2)Anke [Manufacturer: Qilu Pharmaceutical Co., Ltd.]. </w:t>
      </w:r>
    </w:p>
    <w:p w14:paraId="05729A91">
      <w:pPr>
        <w:spacing w:after="0" w:line="360" w:lineRule="auto"/>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The specific treatment regimen for these drugs is as follows: bevacizumab is administered via intravenous infusion on the first day of the treatment cycle, with a standard dosage of 15</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mg/kg of body weight, administered once every three weeks. All cases involve retrospective data, and due to individual differences and the unavoidable presence of TRAEs, the treatment cycle and dosage may vary among individuals. </w:t>
      </w:r>
    </w:p>
    <w:p w14:paraId="18A06660">
      <w:pPr>
        <w:spacing w:after="0" w:line="360" w:lineRule="auto"/>
        <w:ind w:left="-5"/>
        <w:jc w:val="both"/>
        <w:rPr>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S1.</w:t>
      </w:r>
      <w:r>
        <w:rPr>
          <w:b w:val="0"/>
          <w:bCs/>
          <w:color w:val="000000" w:themeColor="text1"/>
          <w14:textFill>
            <w14:solidFill>
              <w14:schemeClr w14:val="tx1"/>
            </w14:solidFill>
          </w14:textFill>
        </w:rPr>
        <w:t xml:space="preserve">4.3 Drug Administration </w:t>
      </w:r>
    </w:p>
    <w:p w14:paraId="5C841F1B">
      <w:pPr>
        <w:spacing w:after="0" w:line="360" w:lineRule="auto"/>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All cases were based on retrospective data. Due to individual variability and the inevitability of TRAE, drug dosages were adjusted after standard dosing according to the severity of the associated adverse reactions. Consequently, not all patients received subsequent treatment following the standard drug dosage and treatment schedule. </w:t>
      </w:r>
    </w:p>
    <w:p w14:paraId="53AA2B6B">
      <w:pPr>
        <w:spacing w:after="0" w:line="360" w:lineRule="auto"/>
        <w:ind w:left="0" w:firstLine="0"/>
        <w:jc w:val="both"/>
        <w:rPr>
          <w:b w:val="0"/>
          <w:bCs/>
          <w:color w:val="000000" w:themeColor="text1"/>
          <w14:textFill>
            <w14:solidFill>
              <w14:schemeClr w14:val="tx1"/>
            </w14:solidFill>
          </w14:textFill>
        </w:rPr>
      </w:pPr>
    </w:p>
    <w:p w14:paraId="42509531">
      <w:pPr>
        <w:spacing w:after="0" w:line="360" w:lineRule="auto"/>
        <w:ind w:left="0" w:firstLine="0"/>
        <w:jc w:val="both"/>
        <w:rPr>
          <w:b w:val="0"/>
          <w:bCs/>
          <w:color w:val="000000" w:themeColor="text1"/>
          <w14:textFill>
            <w14:solidFill>
              <w14:schemeClr w14:val="tx1"/>
            </w14:solidFill>
          </w14:textFill>
        </w:rPr>
      </w:pPr>
    </w:p>
    <w:p w14:paraId="2878532B">
      <w:pPr>
        <w:spacing w:after="0" w:line="360" w:lineRule="auto"/>
        <w:jc w:val="both"/>
        <w:rPr>
          <w:b w:val="0"/>
          <w:bCs/>
          <w:color w:val="000000" w:themeColor="text1"/>
          <w14:textFill>
            <w14:solidFill>
              <w14:schemeClr w14:val="tx1"/>
            </w14:solidFill>
          </w14:textFill>
        </w:rPr>
      </w:pPr>
    </w:p>
    <w:p w14:paraId="2B1B4E59">
      <w:pPr>
        <w:spacing w:after="0" w:line="360" w:lineRule="auto"/>
        <w:ind w:left="0" w:firstLine="0"/>
        <w:jc w:val="center"/>
        <w:rPr>
          <w:rFonts w:eastAsiaTheme="minorEastAsia"/>
          <w:b w:val="0"/>
          <w:bCs/>
          <w:color w:val="000000" w:themeColor="text1"/>
          <w14:textFill>
            <w14:solidFill>
              <w14:schemeClr w14:val="tx1"/>
            </w14:solidFill>
          </w14:textFill>
        </w:rPr>
      </w:pPr>
      <w:r>
        <w:rPr>
          <w:rFonts w:eastAsiaTheme="minorEastAsia"/>
          <w:b w:val="0"/>
          <w:bCs/>
          <w:color w:val="000000" w:themeColor="text1"/>
          <w14:textFill>
            <w14:solidFill>
              <w14:schemeClr w14:val="tx1"/>
            </w14:solidFill>
          </w14:textFill>
        </w:rPr>
        <w:drawing>
          <wp:inline distT="0" distB="0" distL="114300" distR="114300">
            <wp:extent cx="5313680" cy="3324225"/>
            <wp:effectExtent l="0" t="0" r="7620" b="3175"/>
            <wp:docPr id="2" name="图片 2" descr="未命名绘图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命名绘图 (3)"/>
                    <pic:cNvPicPr>
                      <a:picLocks noChangeAspect="1"/>
                    </pic:cNvPicPr>
                  </pic:nvPicPr>
                  <pic:blipFill>
                    <a:blip r:embed="rId6"/>
                    <a:stretch>
                      <a:fillRect/>
                    </a:stretch>
                  </pic:blipFill>
                  <pic:spPr>
                    <a:xfrm>
                      <a:off x="0" y="0"/>
                      <a:ext cx="5313680" cy="3324225"/>
                    </a:xfrm>
                    <a:prstGeom prst="rect">
                      <a:avLst/>
                    </a:prstGeom>
                  </pic:spPr>
                </pic:pic>
              </a:graphicData>
            </a:graphic>
          </wp:inline>
        </w:drawing>
      </w:r>
    </w:p>
    <w:p w14:paraId="519968E0">
      <w:pPr>
        <w:spacing w:after="0" w:line="360" w:lineRule="auto"/>
        <w:jc w:val="both"/>
        <w:rPr>
          <w:b w:val="0"/>
          <w:bCs/>
          <w:color w:val="auto"/>
        </w:rPr>
      </w:pPr>
      <w:r>
        <w:rPr>
          <w:b w:val="0"/>
          <w:bCs/>
          <w:color w:val="auto"/>
        </w:rPr>
        <w:t>Figure S1 Patient Selection Flowchart</w:t>
      </w:r>
    </w:p>
    <w:p w14:paraId="05592A3A">
      <w:pPr>
        <w:tabs>
          <w:tab w:val="center" w:pos="908"/>
        </w:tabs>
        <w:spacing w:after="0" w:line="360" w:lineRule="auto"/>
        <w:ind w:left="-15" w:firstLine="0"/>
        <w:jc w:val="both"/>
        <w:rPr>
          <w:b w:val="0"/>
          <w:bCs/>
          <w:color w:val="000000" w:themeColor="text1"/>
          <w14:textFill>
            <w14:solidFill>
              <w14:schemeClr w14:val="tx1"/>
            </w14:solidFill>
          </w14:textFill>
        </w:rPr>
      </w:pPr>
    </w:p>
    <w:p w14:paraId="48B5A62C">
      <w:pPr>
        <w:spacing w:after="0" w:line="360" w:lineRule="auto"/>
        <w:ind w:left="-5"/>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Table S1  Norris Drug Adverse Reaction Evaluation Criteria </w:t>
      </w:r>
    </w:p>
    <w:tbl>
      <w:tblPr>
        <w:tblStyle w:val="12"/>
        <w:tblW w:w="0" w:type="auto"/>
        <w:jc w:val="center"/>
        <w:tblLayout w:type="autofit"/>
        <w:tblCellMar>
          <w:top w:w="73" w:type="dxa"/>
          <w:left w:w="0" w:type="dxa"/>
          <w:bottom w:w="0" w:type="dxa"/>
          <w:right w:w="80" w:type="dxa"/>
        </w:tblCellMar>
      </w:tblPr>
      <w:tblGrid>
        <w:gridCol w:w="9129"/>
        <w:gridCol w:w="430"/>
        <w:gridCol w:w="374"/>
        <w:gridCol w:w="1027"/>
      </w:tblGrid>
      <w:tr w14:paraId="70BD4B51">
        <w:tblPrEx>
          <w:tblCellMar>
            <w:top w:w="73" w:type="dxa"/>
            <w:left w:w="0" w:type="dxa"/>
            <w:bottom w:w="0" w:type="dxa"/>
            <w:right w:w="80" w:type="dxa"/>
          </w:tblCellMar>
        </w:tblPrEx>
        <w:trPr>
          <w:jc w:val="center"/>
        </w:trPr>
        <w:tc>
          <w:tcPr>
            <w:tcW w:w="0" w:type="auto"/>
            <w:vMerge w:val="restart"/>
            <w:tcBorders>
              <w:top w:val="single" w:color="000000" w:sz="12" w:space="0"/>
              <w:left w:val="nil"/>
              <w:bottom w:val="single" w:color="000000" w:sz="12" w:space="0"/>
              <w:right w:val="nil"/>
            </w:tcBorders>
            <w:vAlign w:val="center"/>
          </w:tcPr>
          <w:p w14:paraId="7BB4BB2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Evaluation Criteria </w:t>
            </w:r>
          </w:p>
        </w:tc>
        <w:tc>
          <w:tcPr>
            <w:tcW w:w="0" w:type="auto"/>
            <w:gridSpan w:val="3"/>
            <w:tcBorders>
              <w:top w:val="single" w:color="000000" w:sz="12" w:space="0"/>
              <w:left w:val="nil"/>
              <w:bottom w:val="single" w:color="000000" w:sz="4" w:space="0"/>
              <w:right w:val="nil"/>
            </w:tcBorders>
            <w:vAlign w:val="center"/>
          </w:tcPr>
          <w:p w14:paraId="5F7D9B5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Issue Score </w:t>
            </w:r>
          </w:p>
        </w:tc>
      </w:tr>
      <w:tr w14:paraId="5442C5E3">
        <w:tblPrEx>
          <w:tblCellMar>
            <w:top w:w="73" w:type="dxa"/>
            <w:left w:w="0" w:type="dxa"/>
            <w:bottom w:w="0" w:type="dxa"/>
            <w:right w:w="80" w:type="dxa"/>
          </w:tblCellMar>
        </w:tblPrEx>
        <w:trPr>
          <w:jc w:val="center"/>
        </w:trPr>
        <w:tc>
          <w:tcPr>
            <w:tcW w:w="0" w:type="auto"/>
            <w:vMerge w:val="continue"/>
            <w:tcBorders>
              <w:top w:val="nil"/>
              <w:left w:val="nil"/>
              <w:bottom w:val="single" w:color="000000" w:sz="12" w:space="0"/>
              <w:right w:val="nil"/>
            </w:tcBorders>
            <w:vAlign w:val="center"/>
          </w:tcPr>
          <w:p w14:paraId="28FF6627">
            <w:pPr>
              <w:spacing w:after="0" w:line="360" w:lineRule="auto"/>
              <w:ind w:left="0" w:firstLine="0"/>
              <w:jc w:val="both"/>
              <w:rPr>
                <w:b w:val="0"/>
                <w:bCs/>
                <w:color w:val="000000" w:themeColor="text1"/>
                <w14:textFill>
                  <w14:solidFill>
                    <w14:schemeClr w14:val="tx1"/>
                  </w14:solidFill>
                </w14:textFill>
              </w:rPr>
            </w:pPr>
          </w:p>
        </w:tc>
        <w:tc>
          <w:tcPr>
            <w:tcW w:w="0" w:type="auto"/>
            <w:tcBorders>
              <w:top w:val="single" w:color="000000" w:sz="4" w:space="0"/>
              <w:left w:val="nil"/>
              <w:bottom w:val="single" w:color="000000" w:sz="12" w:space="0"/>
              <w:right w:val="nil"/>
            </w:tcBorders>
            <w:vAlign w:val="center"/>
          </w:tcPr>
          <w:p w14:paraId="68FEA63B">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Yes</w:t>
            </w:r>
          </w:p>
        </w:tc>
        <w:tc>
          <w:tcPr>
            <w:tcW w:w="0" w:type="auto"/>
            <w:tcBorders>
              <w:top w:val="single" w:color="000000" w:sz="4" w:space="0"/>
              <w:left w:val="nil"/>
              <w:bottom w:val="single" w:color="000000" w:sz="12" w:space="0"/>
              <w:right w:val="nil"/>
            </w:tcBorders>
            <w:vAlign w:val="center"/>
          </w:tcPr>
          <w:p w14:paraId="0C3C0AE4">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No</w:t>
            </w:r>
          </w:p>
        </w:tc>
        <w:tc>
          <w:tcPr>
            <w:tcW w:w="0" w:type="auto"/>
            <w:tcBorders>
              <w:top w:val="single" w:color="000000" w:sz="4" w:space="0"/>
              <w:left w:val="nil"/>
              <w:bottom w:val="single" w:color="000000" w:sz="12" w:space="0"/>
              <w:right w:val="nil"/>
            </w:tcBorders>
            <w:vAlign w:val="center"/>
          </w:tcPr>
          <w:p w14:paraId="767A7E0E">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Unknown</w:t>
            </w:r>
          </w:p>
        </w:tc>
      </w:tr>
      <w:tr w14:paraId="2A206B3B">
        <w:tblPrEx>
          <w:tblCellMar>
            <w:top w:w="73" w:type="dxa"/>
            <w:left w:w="0" w:type="dxa"/>
            <w:bottom w:w="0" w:type="dxa"/>
            <w:right w:w="80" w:type="dxa"/>
          </w:tblCellMar>
        </w:tblPrEx>
        <w:trPr>
          <w:jc w:val="center"/>
        </w:trPr>
        <w:tc>
          <w:tcPr>
            <w:tcW w:w="0" w:type="auto"/>
            <w:tcBorders>
              <w:top w:val="single" w:color="000000" w:sz="12" w:space="0"/>
              <w:left w:val="nil"/>
              <w:bottom w:val="nil"/>
              <w:right w:val="nil"/>
            </w:tcBorders>
            <w:vAlign w:val="center"/>
          </w:tcPr>
          <w:p w14:paraId="20AE7766">
            <w:pPr>
              <w:pStyle w:val="15"/>
              <w:numPr>
                <w:ilvl w:val="0"/>
                <w:numId w:val="2"/>
              </w:numPr>
              <w:spacing w:after="0" w:line="360" w:lineRule="auto"/>
              <w:ind w:left="0" w:firstLine="0" w:firstLineChars="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Was there a comprehensive report prior to the occurrence of this adverse reaction? </w:t>
            </w:r>
          </w:p>
        </w:tc>
        <w:tc>
          <w:tcPr>
            <w:tcW w:w="0" w:type="auto"/>
            <w:tcBorders>
              <w:top w:val="single" w:color="000000" w:sz="12" w:space="0"/>
              <w:left w:val="nil"/>
              <w:bottom w:val="nil"/>
              <w:right w:val="nil"/>
            </w:tcBorders>
            <w:vAlign w:val="center"/>
          </w:tcPr>
          <w:p w14:paraId="6027470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single" w:color="000000" w:sz="12" w:space="0"/>
              <w:left w:val="nil"/>
              <w:bottom w:val="nil"/>
              <w:right w:val="nil"/>
            </w:tcBorders>
            <w:vAlign w:val="center"/>
          </w:tcPr>
          <w:p w14:paraId="5DDD334E">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c>
          <w:tcPr>
            <w:tcW w:w="0" w:type="auto"/>
            <w:tcBorders>
              <w:top w:val="single" w:color="000000" w:sz="12" w:space="0"/>
              <w:left w:val="nil"/>
              <w:bottom w:val="nil"/>
              <w:right w:val="nil"/>
            </w:tcBorders>
            <w:vAlign w:val="center"/>
          </w:tcPr>
          <w:p w14:paraId="0A062E0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76F5411A">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38BE821D">
            <w:pPr>
              <w:pStyle w:val="15"/>
              <w:numPr>
                <w:ilvl w:val="0"/>
                <w:numId w:val="2"/>
              </w:numPr>
              <w:spacing w:after="0" w:line="360" w:lineRule="auto"/>
              <w:ind w:left="0" w:firstLine="0" w:firstLineChars="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Did this adverse reaction occur after the administration of the suspected medication? </w:t>
            </w:r>
          </w:p>
        </w:tc>
        <w:tc>
          <w:tcPr>
            <w:tcW w:w="0" w:type="auto"/>
            <w:tcBorders>
              <w:top w:val="nil"/>
              <w:left w:val="nil"/>
              <w:bottom w:val="nil"/>
              <w:right w:val="nil"/>
            </w:tcBorders>
            <w:vAlign w:val="center"/>
          </w:tcPr>
          <w:p w14:paraId="7F92578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+2</w:t>
            </w:r>
          </w:p>
        </w:tc>
        <w:tc>
          <w:tcPr>
            <w:tcW w:w="0" w:type="auto"/>
            <w:tcBorders>
              <w:top w:val="nil"/>
              <w:left w:val="nil"/>
              <w:bottom w:val="nil"/>
              <w:right w:val="nil"/>
            </w:tcBorders>
            <w:vAlign w:val="center"/>
          </w:tcPr>
          <w:p w14:paraId="2C355480">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14F786A6">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105CB135">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39CF887E">
            <w:pPr>
              <w:pStyle w:val="15"/>
              <w:numPr>
                <w:ilvl w:val="0"/>
                <w:numId w:val="2"/>
              </w:numPr>
              <w:spacing w:after="0" w:line="360" w:lineRule="auto"/>
              <w:ind w:left="0" w:firstLine="0" w:firstLineChars="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Did the adverse reaction improve after discontinuing the medication or using other antagonists? </w:t>
            </w:r>
          </w:p>
        </w:tc>
        <w:tc>
          <w:tcPr>
            <w:tcW w:w="0" w:type="auto"/>
            <w:tcBorders>
              <w:top w:val="nil"/>
              <w:left w:val="nil"/>
              <w:bottom w:val="nil"/>
              <w:right w:val="nil"/>
            </w:tcBorders>
            <w:vAlign w:val="center"/>
          </w:tcPr>
          <w:p w14:paraId="69B421F6">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3E87D28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c>
          <w:tcPr>
            <w:tcW w:w="0" w:type="auto"/>
            <w:tcBorders>
              <w:top w:val="nil"/>
              <w:left w:val="nil"/>
              <w:bottom w:val="nil"/>
              <w:right w:val="nil"/>
            </w:tcBorders>
            <w:vAlign w:val="center"/>
          </w:tcPr>
          <w:p w14:paraId="7BA5528C">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403C9159">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4F070AE8">
            <w:pPr>
              <w:pStyle w:val="15"/>
              <w:numPr>
                <w:ilvl w:val="0"/>
                <w:numId w:val="2"/>
              </w:numPr>
              <w:spacing w:after="0" w:line="360" w:lineRule="auto"/>
              <w:ind w:left="0" w:right="79" w:firstLine="0" w:firstLineChars="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Did the adverse reaction recur upon readministration of the medication? </w:t>
            </w:r>
          </w:p>
        </w:tc>
        <w:tc>
          <w:tcPr>
            <w:tcW w:w="0" w:type="auto"/>
            <w:tcBorders>
              <w:top w:val="nil"/>
              <w:left w:val="nil"/>
              <w:bottom w:val="nil"/>
              <w:right w:val="nil"/>
            </w:tcBorders>
            <w:vAlign w:val="center"/>
          </w:tcPr>
          <w:p w14:paraId="5C3A392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+2</w:t>
            </w:r>
          </w:p>
        </w:tc>
        <w:tc>
          <w:tcPr>
            <w:tcW w:w="0" w:type="auto"/>
            <w:tcBorders>
              <w:top w:val="nil"/>
              <w:left w:val="nil"/>
              <w:bottom w:val="nil"/>
              <w:right w:val="nil"/>
            </w:tcBorders>
            <w:vAlign w:val="center"/>
          </w:tcPr>
          <w:p w14:paraId="40AF62F6">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23745062">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35152E9D">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6EA0E3B0">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5.</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Are there any other potential causes for the adverse reaction? </w:t>
            </w:r>
          </w:p>
        </w:tc>
        <w:tc>
          <w:tcPr>
            <w:tcW w:w="0" w:type="auto"/>
            <w:tcBorders>
              <w:top w:val="nil"/>
              <w:left w:val="nil"/>
              <w:bottom w:val="nil"/>
              <w:right w:val="nil"/>
            </w:tcBorders>
            <w:vAlign w:val="center"/>
          </w:tcPr>
          <w:p w14:paraId="2D4BC768">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4F2DACFC">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+2</w:t>
            </w:r>
          </w:p>
        </w:tc>
        <w:tc>
          <w:tcPr>
            <w:tcW w:w="0" w:type="auto"/>
            <w:tcBorders>
              <w:top w:val="nil"/>
              <w:left w:val="nil"/>
              <w:bottom w:val="nil"/>
              <w:right w:val="nil"/>
            </w:tcBorders>
            <w:vAlign w:val="center"/>
          </w:tcPr>
          <w:p w14:paraId="26520EF9">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5EA29D84">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08AA13CE">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6.</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Does the adverse reaction recur upon administration of a placebo? </w:t>
            </w:r>
          </w:p>
        </w:tc>
        <w:tc>
          <w:tcPr>
            <w:tcW w:w="0" w:type="auto"/>
            <w:tcBorders>
              <w:top w:val="nil"/>
              <w:left w:val="nil"/>
              <w:bottom w:val="nil"/>
              <w:right w:val="nil"/>
            </w:tcBorders>
            <w:vAlign w:val="center"/>
          </w:tcPr>
          <w:p w14:paraId="7FC68658">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7E1CED3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36C5D5A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74930376">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1F81CB1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7.</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Is the blood drug concentration at a toxic level? </w:t>
            </w:r>
          </w:p>
        </w:tc>
        <w:tc>
          <w:tcPr>
            <w:tcW w:w="0" w:type="auto"/>
            <w:tcBorders>
              <w:top w:val="nil"/>
              <w:left w:val="nil"/>
              <w:bottom w:val="nil"/>
              <w:right w:val="nil"/>
            </w:tcBorders>
            <w:vAlign w:val="center"/>
          </w:tcPr>
          <w:p w14:paraId="5158E7AE">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5ABCCC23">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c>
          <w:tcPr>
            <w:tcW w:w="0" w:type="auto"/>
            <w:tcBorders>
              <w:top w:val="nil"/>
              <w:left w:val="nil"/>
              <w:bottom w:val="nil"/>
              <w:right w:val="nil"/>
            </w:tcBorders>
            <w:vAlign w:val="center"/>
          </w:tcPr>
          <w:p w14:paraId="17F030F6">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1229D2E8">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46F8CB9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8.</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Is the severity of the adverse reaction related to changes in the dosage of the suspected drug? </w:t>
            </w:r>
          </w:p>
        </w:tc>
        <w:tc>
          <w:tcPr>
            <w:tcW w:w="0" w:type="auto"/>
            <w:tcBorders>
              <w:top w:val="nil"/>
              <w:left w:val="nil"/>
              <w:bottom w:val="nil"/>
              <w:right w:val="nil"/>
            </w:tcBorders>
            <w:vAlign w:val="center"/>
          </w:tcPr>
          <w:p w14:paraId="51A828B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3B2ED6C9">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c>
          <w:tcPr>
            <w:tcW w:w="0" w:type="auto"/>
            <w:tcBorders>
              <w:top w:val="nil"/>
              <w:left w:val="nil"/>
              <w:bottom w:val="nil"/>
              <w:right w:val="nil"/>
            </w:tcBorders>
            <w:vAlign w:val="center"/>
          </w:tcPr>
          <w:p w14:paraId="0EF2C2D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135DBC72">
        <w:tblPrEx>
          <w:tblCellMar>
            <w:top w:w="73" w:type="dxa"/>
            <w:left w:w="0" w:type="dxa"/>
            <w:bottom w:w="0" w:type="dxa"/>
            <w:right w:w="80" w:type="dxa"/>
          </w:tblCellMar>
        </w:tblPrEx>
        <w:trPr>
          <w:jc w:val="center"/>
        </w:trPr>
        <w:tc>
          <w:tcPr>
            <w:tcW w:w="0" w:type="auto"/>
            <w:tcBorders>
              <w:top w:val="nil"/>
              <w:left w:val="nil"/>
              <w:bottom w:val="nil"/>
              <w:right w:val="nil"/>
            </w:tcBorders>
            <w:vAlign w:val="center"/>
          </w:tcPr>
          <w:p w14:paraId="698CBA1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9.</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Did the patient experience adverse reactions with this drug or similar drugs in the past? </w:t>
            </w:r>
          </w:p>
        </w:tc>
        <w:tc>
          <w:tcPr>
            <w:tcW w:w="0" w:type="auto"/>
            <w:tcBorders>
              <w:top w:val="nil"/>
              <w:left w:val="nil"/>
              <w:bottom w:val="nil"/>
              <w:right w:val="nil"/>
            </w:tcBorders>
            <w:vAlign w:val="center"/>
          </w:tcPr>
          <w:p w14:paraId="56CCCE5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nil"/>
              <w:right w:val="nil"/>
            </w:tcBorders>
            <w:vAlign w:val="center"/>
          </w:tcPr>
          <w:p w14:paraId="0A14B75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c>
          <w:tcPr>
            <w:tcW w:w="0" w:type="auto"/>
            <w:tcBorders>
              <w:top w:val="nil"/>
              <w:left w:val="nil"/>
              <w:bottom w:val="nil"/>
              <w:right w:val="nil"/>
            </w:tcBorders>
            <w:vAlign w:val="center"/>
          </w:tcPr>
          <w:p w14:paraId="57CA9FB5">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r w14:paraId="5826A7FC">
        <w:tblPrEx>
          <w:tblCellMar>
            <w:top w:w="73" w:type="dxa"/>
            <w:left w:w="0" w:type="dxa"/>
            <w:bottom w:w="0" w:type="dxa"/>
            <w:right w:w="80" w:type="dxa"/>
          </w:tblCellMar>
        </w:tblPrEx>
        <w:trPr>
          <w:jc w:val="center"/>
        </w:trPr>
        <w:tc>
          <w:tcPr>
            <w:tcW w:w="0" w:type="auto"/>
            <w:tcBorders>
              <w:top w:val="nil"/>
              <w:left w:val="nil"/>
              <w:bottom w:val="single" w:color="000000" w:sz="12" w:space="0"/>
              <w:right w:val="nil"/>
            </w:tcBorders>
            <w:vAlign w:val="center"/>
          </w:tcPr>
          <w:p w14:paraId="0E13252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10.</w:t>
            </w:r>
            <w:r>
              <w:rPr>
                <w:rFonts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 xml:space="preserve">Has the adverse reaction been confirmed through objective examination? </w:t>
            </w:r>
          </w:p>
        </w:tc>
        <w:tc>
          <w:tcPr>
            <w:tcW w:w="0" w:type="auto"/>
            <w:tcBorders>
              <w:top w:val="nil"/>
              <w:left w:val="nil"/>
              <w:bottom w:val="single" w:color="000000" w:sz="12" w:space="0"/>
              <w:right w:val="nil"/>
            </w:tcBorders>
            <w:vAlign w:val="center"/>
          </w:tcPr>
          <w:p w14:paraId="0F85047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p>
        </w:tc>
        <w:tc>
          <w:tcPr>
            <w:tcW w:w="0" w:type="auto"/>
            <w:tcBorders>
              <w:top w:val="nil"/>
              <w:left w:val="nil"/>
              <w:bottom w:val="single" w:color="000000" w:sz="12" w:space="0"/>
              <w:right w:val="nil"/>
            </w:tcBorders>
            <w:vAlign w:val="center"/>
          </w:tcPr>
          <w:p w14:paraId="7D080A29">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c>
          <w:tcPr>
            <w:tcW w:w="0" w:type="auto"/>
            <w:tcBorders>
              <w:top w:val="nil"/>
              <w:left w:val="nil"/>
              <w:bottom w:val="single" w:color="000000" w:sz="12" w:space="0"/>
              <w:right w:val="nil"/>
            </w:tcBorders>
            <w:vAlign w:val="center"/>
          </w:tcPr>
          <w:p w14:paraId="387AC00E">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p>
        </w:tc>
      </w:tr>
    </w:tbl>
    <w:p w14:paraId="5E0752A6">
      <w:pPr>
        <w:spacing w:after="0" w:line="360" w:lineRule="auto"/>
        <w:ind w:left="-5"/>
        <w:jc w:val="both"/>
        <w:rPr>
          <w:rFonts w:eastAsiaTheme="minorEastAsia"/>
          <w:b w:val="0"/>
          <w:bCs/>
          <w:color w:val="000000" w:themeColor="text1"/>
          <w14:textFill>
            <w14:solidFill>
              <w14:schemeClr w14:val="tx1"/>
            </w14:solidFill>
          </w14:textFill>
        </w:rPr>
      </w:pPr>
      <w:r>
        <w:rPr>
          <w:b w:val="0"/>
          <w:bCs/>
          <w:color w:val="000000" w:themeColor="text1"/>
          <w14:textFill>
            <w14:solidFill>
              <w14:schemeClr w14:val="tx1"/>
            </w14:solidFill>
          </w14:textFill>
        </w:rPr>
        <w:t>A total NCI score of ≥5 indicates a definite or highly probable relationship between the drug and the adverse reaction, supported by objective evidence or quantitative test results</w:t>
      </w:r>
      <w:r>
        <w:rPr>
          <w:b w:val="0"/>
          <w:bCs/>
          <w:color w:val="000000" w:themeColor="text1"/>
          <w:vertAlign w:val="superscript"/>
          <w14:textFill>
            <w14:solidFill>
              <w14:schemeClr w14:val="tx1"/>
            </w14:solidFill>
          </w14:textFill>
        </w:rPr>
        <w:t>[14]</w:t>
      </w:r>
      <w:r>
        <w:rPr>
          <w:b w:val="0"/>
          <w:bCs/>
          <w:color w:val="000000" w:themeColor="text1"/>
          <w14:textFill>
            <w14:solidFill>
              <w14:schemeClr w14:val="tx1"/>
            </w14:solidFill>
          </w14:textFill>
        </w:rPr>
        <w:t xml:space="preserve">. </w:t>
      </w:r>
    </w:p>
    <w:p w14:paraId="59FA9DEB">
      <w:pPr>
        <w:spacing w:after="0" w:line="360" w:lineRule="auto"/>
        <w:ind w:left="0" w:firstLine="0"/>
        <w:jc w:val="both"/>
        <w:rPr>
          <w:rFonts w:eastAsiaTheme="minorEastAsia"/>
          <w:b w:val="0"/>
          <w:bCs/>
          <w:color w:val="000000" w:themeColor="text1"/>
          <w14:textFill>
            <w14:solidFill>
              <w14:schemeClr w14:val="tx1"/>
            </w14:solidFill>
          </w14:textFill>
        </w:rPr>
      </w:pPr>
    </w:p>
    <w:p w14:paraId="7E89249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S2  Incidence and Grading Statistics of irAEs in Each Patient Group</w:t>
      </w:r>
    </w:p>
    <w:tbl>
      <w:tblPr>
        <w:tblStyle w:val="16"/>
        <w:tblW w:w="10915"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9"/>
        <w:gridCol w:w="850"/>
        <w:gridCol w:w="851"/>
        <w:gridCol w:w="756"/>
        <w:gridCol w:w="803"/>
        <w:gridCol w:w="709"/>
        <w:gridCol w:w="850"/>
        <w:gridCol w:w="851"/>
        <w:gridCol w:w="1134"/>
        <w:gridCol w:w="992"/>
      </w:tblGrid>
      <w:tr w14:paraId="7955EF1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Merge w:val="restart"/>
            <w:tcBorders>
              <w:top w:val="single" w:color="auto" w:sz="12" w:space="0"/>
            </w:tcBorders>
            <w:vAlign w:val="center"/>
          </w:tcPr>
          <w:p w14:paraId="6E4EE94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ymptoms</w:t>
            </w:r>
          </w:p>
        </w:tc>
        <w:tc>
          <w:tcPr>
            <w:tcW w:w="2457" w:type="dxa"/>
            <w:gridSpan w:val="3"/>
            <w:tcBorders>
              <w:top w:val="single" w:color="auto" w:sz="12" w:space="0"/>
              <w:bottom w:val="single" w:color="auto" w:sz="12" w:space="0"/>
            </w:tcBorders>
            <w:vAlign w:val="center"/>
          </w:tcPr>
          <w:p w14:paraId="64597E26">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Grade 1-5</w:t>
            </w:r>
            <w:r>
              <w:rPr>
                <w:rFonts w:hint="eastAsia" w:eastAsia="宋体"/>
                <w:b w:val="0"/>
                <w:bCs/>
                <w:color w:val="000000" w:themeColor="text1"/>
                <w:kern w:val="0"/>
                <w14:textFill>
                  <w14:solidFill>
                    <w14:schemeClr w14:val="tx1"/>
                  </w14:solidFill>
                </w14:textFill>
              </w:rPr>
              <w:t xml:space="preserve"> </w:t>
            </w:r>
            <w:r>
              <w:rPr>
                <w:rFonts w:eastAsia="宋体"/>
                <w:b w:val="0"/>
                <w:bCs/>
                <w:color w:val="000000" w:themeColor="text1"/>
                <w:kern w:val="0"/>
                <w14:textFill>
                  <w14:solidFill>
                    <w14:schemeClr w14:val="tx1"/>
                  </w14:solidFill>
                </w14:textFill>
              </w:rPr>
              <w:t>Group</w:t>
            </w:r>
          </w:p>
        </w:tc>
        <w:tc>
          <w:tcPr>
            <w:tcW w:w="2362" w:type="dxa"/>
            <w:gridSpan w:val="3"/>
            <w:tcBorders>
              <w:top w:val="single" w:color="auto" w:sz="12" w:space="0"/>
            </w:tcBorders>
            <w:vAlign w:val="center"/>
          </w:tcPr>
          <w:p w14:paraId="58495AC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Grade≥3</w:t>
            </w:r>
            <w:r>
              <w:rPr>
                <w:rFonts w:hint="eastAsia" w:eastAsia="宋体"/>
                <w:b w:val="0"/>
                <w:bCs/>
                <w:color w:val="000000" w:themeColor="text1"/>
                <w:kern w:val="0"/>
                <w14:textFill>
                  <w14:solidFill>
                    <w14:schemeClr w14:val="tx1"/>
                  </w14:solidFill>
                </w14:textFill>
              </w:rPr>
              <w:t xml:space="preserve"> </w:t>
            </w:r>
            <w:r>
              <w:rPr>
                <w:rFonts w:eastAsia="宋体"/>
                <w:b w:val="0"/>
                <w:bCs/>
                <w:color w:val="000000" w:themeColor="text1"/>
                <w:kern w:val="0"/>
                <w14:textFill>
                  <w14:solidFill>
                    <w14:schemeClr w14:val="tx1"/>
                  </w14:solidFill>
                </w14:textFill>
              </w:rPr>
              <w:t>Group</w:t>
            </w:r>
          </w:p>
        </w:tc>
        <w:tc>
          <w:tcPr>
            <w:tcW w:w="2977" w:type="dxa"/>
            <w:gridSpan w:val="3"/>
            <w:tcBorders>
              <w:top w:val="single" w:color="auto" w:sz="12" w:space="0"/>
            </w:tcBorders>
            <w:vAlign w:val="center"/>
          </w:tcPr>
          <w:p w14:paraId="112CA8D7">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Discontinuation</w:t>
            </w:r>
            <w:r>
              <w:rPr>
                <w:rFonts w:hint="eastAsia" w:eastAsia="宋体"/>
                <w:b w:val="0"/>
                <w:bCs/>
                <w:color w:val="000000" w:themeColor="text1"/>
                <w:kern w:val="0"/>
                <w14:textFill>
                  <w14:solidFill>
                    <w14:schemeClr w14:val="tx1"/>
                  </w14:solidFill>
                </w14:textFill>
              </w:rPr>
              <w:t xml:space="preserve"> </w:t>
            </w:r>
            <w:r>
              <w:rPr>
                <w:rFonts w:eastAsia="宋体"/>
                <w:b w:val="0"/>
                <w:bCs/>
                <w:color w:val="000000" w:themeColor="text1"/>
                <w:kern w:val="0"/>
                <w14:textFill>
                  <w14:solidFill>
                    <w14:schemeClr w14:val="tx1"/>
                  </w14:solidFill>
                </w14:textFill>
              </w:rPr>
              <w:t>Group</w:t>
            </w:r>
          </w:p>
        </w:tc>
      </w:tr>
      <w:tr w14:paraId="3F0F0A8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Merge w:val="continue"/>
            <w:tcBorders>
              <w:bottom w:val="single" w:color="auto" w:sz="12" w:space="0"/>
            </w:tcBorders>
            <w:vAlign w:val="center"/>
          </w:tcPr>
          <w:p w14:paraId="70C1F48F">
            <w:pPr>
              <w:spacing w:after="0" w:line="360" w:lineRule="auto"/>
              <w:ind w:left="0" w:firstLine="0"/>
              <w:jc w:val="both"/>
              <w:rPr>
                <w:rFonts w:eastAsia="宋体"/>
                <w:b w:val="0"/>
                <w:bCs/>
                <w:color w:val="000000" w:themeColor="text1"/>
                <w:kern w:val="0"/>
                <w14:textFill>
                  <w14:solidFill>
                    <w14:schemeClr w14:val="tx1"/>
                  </w14:solidFill>
                </w14:textFill>
              </w:rPr>
            </w:pPr>
          </w:p>
        </w:tc>
        <w:tc>
          <w:tcPr>
            <w:tcW w:w="850" w:type="dxa"/>
            <w:tcBorders>
              <w:top w:val="single" w:color="auto" w:sz="12" w:space="0"/>
              <w:bottom w:val="single" w:color="auto" w:sz="12" w:space="0"/>
            </w:tcBorders>
            <w:vAlign w:val="center"/>
          </w:tcPr>
          <w:p w14:paraId="5BCFFC9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A</w:t>
            </w:r>
          </w:p>
        </w:tc>
        <w:tc>
          <w:tcPr>
            <w:tcW w:w="851" w:type="dxa"/>
            <w:tcBorders>
              <w:bottom w:val="single" w:color="auto" w:sz="12" w:space="0"/>
            </w:tcBorders>
            <w:vAlign w:val="center"/>
          </w:tcPr>
          <w:p w14:paraId="5519592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B</w:t>
            </w:r>
          </w:p>
        </w:tc>
        <w:tc>
          <w:tcPr>
            <w:tcW w:w="756" w:type="dxa"/>
            <w:tcBorders>
              <w:bottom w:val="single" w:color="auto" w:sz="12" w:space="0"/>
            </w:tcBorders>
            <w:vAlign w:val="center"/>
          </w:tcPr>
          <w:p w14:paraId="487E57D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C</w:t>
            </w:r>
          </w:p>
        </w:tc>
        <w:tc>
          <w:tcPr>
            <w:tcW w:w="803" w:type="dxa"/>
            <w:tcBorders>
              <w:bottom w:val="single" w:color="auto" w:sz="12" w:space="0"/>
            </w:tcBorders>
            <w:vAlign w:val="center"/>
          </w:tcPr>
          <w:p w14:paraId="31FD3DD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A</w:t>
            </w:r>
          </w:p>
        </w:tc>
        <w:tc>
          <w:tcPr>
            <w:tcW w:w="709" w:type="dxa"/>
            <w:tcBorders>
              <w:bottom w:val="single" w:color="auto" w:sz="12" w:space="0"/>
            </w:tcBorders>
            <w:vAlign w:val="center"/>
          </w:tcPr>
          <w:p w14:paraId="5B3AD77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B</w:t>
            </w:r>
          </w:p>
        </w:tc>
        <w:tc>
          <w:tcPr>
            <w:tcW w:w="850" w:type="dxa"/>
            <w:tcBorders>
              <w:bottom w:val="single" w:color="auto" w:sz="12" w:space="0"/>
            </w:tcBorders>
            <w:vAlign w:val="center"/>
          </w:tcPr>
          <w:p w14:paraId="7B68F96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C</w:t>
            </w:r>
          </w:p>
        </w:tc>
        <w:tc>
          <w:tcPr>
            <w:tcW w:w="851" w:type="dxa"/>
            <w:tcBorders>
              <w:bottom w:val="single" w:color="auto" w:sz="12" w:space="0"/>
            </w:tcBorders>
            <w:vAlign w:val="center"/>
          </w:tcPr>
          <w:p w14:paraId="0535947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A</w:t>
            </w:r>
          </w:p>
        </w:tc>
        <w:tc>
          <w:tcPr>
            <w:tcW w:w="1134" w:type="dxa"/>
            <w:tcBorders>
              <w:bottom w:val="single" w:color="auto" w:sz="12" w:space="0"/>
            </w:tcBorders>
            <w:vAlign w:val="center"/>
          </w:tcPr>
          <w:p w14:paraId="738DEA0E">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B</w:t>
            </w:r>
          </w:p>
        </w:tc>
        <w:tc>
          <w:tcPr>
            <w:tcW w:w="992" w:type="dxa"/>
            <w:tcBorders>
              <w:bottom w:val="single" w:color="auto" w:sz="12" w:space="0"/>
            </w:tcBorders>
            <w:vAlign w:val="center"/>
          </w:tcPr>
          <w:p w14:paraId="2658FDD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C</w:t>
            </w:r>
          </w:p>
        </w:tc>
      </w:tr>
      <w:tr w14:paraId="25E0005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tcBorders>
              <w:top w:val="single" w:color="auto" w:sz="12" w:space="0"/>
            </w:tcBorders>
            <w:vAlign w:val="center"/>
          </w:tcPr>
          <w:p w14:paraId="3F13CCB0">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Dermatitis</w:t>
            </w:r>
          </w:p>
        </w:tc>
        <w:tc>
          <w:tcPr>
            <w:tcW w:w="850" w:type="dxa"/>
            <w:tcBorders>
              <w:top w:val="single" w:color="auto" w:sz="12" w:space="0"/>
            </w:tcBorders>
            <w:vAlign w:val="center"/>
          </w:tcPr>
          <w:p w14:paraId="75A0482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20</w:t>
            </w:r>
          </w:p>
        </w:tc>
        <w:tc>
          <w:tcPr>
            <w:tcW w:w="851" w:type="dxa"/>
            <w:tcBorders>
              <w:top w:val="single" w:color="auto" w:sz="12" w:space="0"/>
            </w:tcBorders>
            <w:vAlign w:val="center"/>
          </w:tcPr>
          <w:p w14:paraId="20FC5C8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3</w:t>
            </w:r>
          </w:p>
        </w:tc>
        <w:tc>
          <w:tcPr>
            <w:tcW w:w="756" w:type="dxa"/>
            <w:tcBorders>
              <w:top w:val="single" w:color="auto" w:sz="12" w:space="0"/>
            </w:tcBorders>
            <w:vAlign w:val="center"/>
          </w:tcPr>
          <w:p w14:paraId="0C758906">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3</w:t>
            </w:r>
          </w:p>
        </w:tc>
        <w:tc>
          <w:tcPr>
            <w:tcW w:w="803" w:type="dxa"/>
            <w:tcBorders>
              <w:top w:val="single" w:color="auto" w:sz="12" w:space="0"/>
            </w:tcBorders>
            <w:vAlign w:val="center"/>
          </w:tcPr>
          <w:p w14:paraId="14165B96">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8</w:t>
            </w:r>
          </w:p>
        </w:tc>
        <w:tc>
          <w:tcPr>
            <w:tcW w:w="709" w:type="dxa"/>
            <w:tcBorders>
              <w:top w:val="single" w:color="auto" w:sz="12" w:space="0"/>
            </w:tcBorders>
            <w:vAlign w:val="center"/>
          </w:tcPr>
          <w:p w14:paraId="38C44A0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tcBorders>
              <w:top w:val="single" w:color="auto" w:sz="12" w:space="0"/>
            </w:tcBorders>
            <w:vAlign w:val="center"/>
          </w:tcPr>
          <w:p w14:paraId="5D57F14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51" w:type="dxa"/>
            <w:tcBorders>
              <w:top w:val="single" w:color="auto" w:sz="12" w:space="0"/>
            </w:tcBorders>
            <w:vAlign w:val="center"/>
          </w:tcPr>
          <w:p w14:paraId="11CF7C9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5</w:t>
            </w:r>
          </w:p>
        </w:tc>
        <w:tc>
          <w:tcPr>
            <w:tcW w:w="1134" w:type="dxa"/>
            <w:tcBorders>
              <w:top w:val="single" w:color="auto" w:sz="12" w:space="0"/>
            </w:tcBorders>
            <w:vAlign w:val="center"/>
          </w:tcPr>
          <w:p w14:paraId="5FEAAFB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tcBorders>
              <w:top w:val="single" w:color="auto" w:sz="12" w:space="0"/>
            </w:tcBorders>
            <w:vAlign w:val="center"/>
          </w:tcPr>
          <w:p w14:paraId="49643F5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r>
      <w:tr w14:paraId="11D7B60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3119" w:type="dxa"/>
            <w:vAlign w:val="center"/>
          </w:tcPr>
          <w:p w14:paraId="1D79175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Anemia</w:t>
            </w:r>
          </w:p>
        </w:tc>
        <w:tc>
          <w:tcPr>
            <w:tcW w:w="850" w:type="dxa"/>
            <w:vAlign w:val="center"/>
          </w:tcPr>
          <w:p w14:paraId="49813E5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51" w:type="dxa"/>
            <w:vAlign w:val="center"/>
          </w:tcPr>
          <w:p w14:paraId="7E428D36">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5A30547D">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03" w:type="dxa"/>
            <w:vAlign w:val="center"/>
          </w:tcPr>
          <w:p w14:paraId="0B2633A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09" w:type="dxa"/>
            <w:vAlign w:val="center"/>
          </w:tcPr>
          <w:p w14:paraId="53975066">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6EF439A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2A54013A">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1134" w:type="dxa"/>
            <w:vAlign w:val="center"/>
          </w:tcPr>
          <w:p w14:paraId="73BFCDD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2048545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74BBED8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3119" w:type="dxa"/>
            <w:vAlign w:val="center"/>
          </w:tcPr>
          <w:p w14:paraId="1B6E845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Fever</w:t>
            </w:r>
          </w:p>
        </w:tc>
        <w:tc>
          <w:tcPr>
            <w:tcW w:w="850" w:type="dxa"/>
            <w:vAlign w:val="center"/>
          </w:tcPr>
          <w:p w14:paraId="79D7724A">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3</w:t>
            </w:r>
          </w:p>
        </w:tc>
        <w:tc>
          <w:tcPr>
            <w:tcW w:w="851" w:type="dxa"/>
            <w:vAlign w:val="center"/>
          </w:tcPr>
          <w:p w14:paraId="594870AD">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4B1776F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3</w:t>
            </w:r>
          </w:p>
        </w:tc>
        <w:tc>
          <w:tcPr>
            <w:tcW w:w="803" w:type="dxa"/>
            <w:vAlign w:val="center"/>
          </w:tcPr>
          <w:p w14:paraId="5E3C8F17">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544A54A0">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429D4DD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27C061DD">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1A77219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674FA00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r>
      <w:tr w14:paraId="5046B92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6894804D">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Pneumonia</w:t>
            </w:r>
          </w:p>
        </w:tc>
        <w:tc>
          <w:tcPr>
            <w:tcW w:w="850" w:type="dxa"/>
            <w:vAlign w:val="center"/>
          </w:tcPr>
          <w:p w14:paraId="240AFA9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11</w:t>
            </w:r>
          </w:p>
        </w:tc>
        <w:tc>
          <w:tcPr>
            <w:tcW w:w="851" w:type="dxa"/>
            <w:vAlign w:val="center"/>
          </w:tcPr>
          <w:p w14:paraId="543C4CE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56" w:type="dxa"/>
            <w:vAlign w:val="center"/>
          </w:tcPr>
          <w:p w14:paraId="285FB9F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03" w:type="dxa"/>
            <w:vAlign w:val="center"/>
          </w:tcPr>
          <w:p w14:paraId="7B6D6C4D">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709" w:type="dxa"/>
            <w:vAlign w:val="center"/>
          </w:tcPr>
          <w:p w14:paraId="2FE0BBB0">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5B8D103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4DB3566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6</w:t>
            </w:r>
          </w:p>
        </w:tc>
        <w:tc>
          <w:tcPr>
            <w:tcW w:w="1134" w:type="dxa"/>
            <w:vAlign w:val="center"/>
          </w:tcPr>
          <w:p w14:paraId="7405CFF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1E08BCF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r>
      <w:tr w14:paraId="5C8D639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44391FE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Fatigue</w:t>
            </w:r>
          </w:p>
        </w:tc>
        <w:tc>
          <w:tcPr>
            <w:tcW w:w="850" w:type="dxa"/>
            <w:vAlign w:val="center"/>
          </w:tcPr>
          <w:p w14:paraId="5E8A8104">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02845FF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56" w:type="dxa"/>
            <w:vAlign w:val="center"/>
          </w:tcPr>
          <w:p w14:paraId="2B61E3E4">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03" w:type="dxa"/>
            <w:vAlign w:val="center"/>
          </w:tcPr>
          <w:p w14:paraId="657069E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09" w:type="dxa"/>
            <w:vAlign w:val="center"/>
          </w:tcPr>
          <w:p w14:paraId="249BF67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0E4A555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54B8FA5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5767DE1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46C05BC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7FE542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37337014">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Leukopenia</w:t>
            </w:r>
          </w:p>
        </w:tc>
        <w:tc>
          <w:tcPr>
            <w:tcW w:w="850" w:type="dxa"/>
            <w:vAlign w:val="center"/>
          </w:tcPr>
          <w:p w14:paraId="4B5F7446">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27FC866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3</w:t>
            </w:r>
          </w:p>
        </w:tc>
        <w:tc>
          <w:tcPr>
            <w:tcW w:w="756" w:type="dxa"/>
            <w:vAlign w:val="center"/>
          </w:tcPr>
          <w:p w14:paraId="1DBE247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03" w:type="dxa"/>
            <w:vAlign w:val="center"/>
          </w:tcPr>
          <w:p w14:paraId="2289E8C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1FB33A2A">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39CB0F0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3E0BB0F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618FF8F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6B503A9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728FDE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193C803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Neutropenia</w:t>
            </w:r>
          </w:p>
        </w:tc>
        <w:tc>
          <w:tcPr>
            <w:tcW w:w="850" w:type="dxa"/>
            <w:vAlign w:val="center"/>
          </w:tcPr>
          <w:p w14:paraId="410F272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7D5CE777">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4</w:t>
            </w:r>
          </w:p>
        </w:tc>
        <w:tc>
          <w:tcPr>
            <w:tcW w:w="756" w:type="dxa"/>
            <w:vAlign w:val="center"/>
          </w:tcPr>
          <w:p w14:paraId="7028AF3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03" w:type="dxa"/>
            <w:vAlign w:val="center"/>
          </w:tcPr>
          <w:p w14:paraId="63D611D0">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2676541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2485F0E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41774D8B">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18E6AAD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643579D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7B36C6C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144E69D0">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Thrombocytopenia</w:t>
            </w:r>
          </w:p>
        </w:tc>
        <w:tc>
          <w:tcPr>
            <w:tcW w:w="850" w:type="dxa"/>
            <w:vAlign w:val="center"/>
          </w:tcPr>
          <w:p w14:paraId="1F3E1054">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2B053019">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0112F0C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03" w:type="dxa"/>
            <w:vAlign w:val="center"/>
          </w:tcPr>
          <w:p w14:paraId="4EAC810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4ADF996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7F0BF26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085E72C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2A65A90A">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1912A453">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1F23A10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7F74130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Liver dysfunction</w:t>
            </w:r>
          </w:p>
        </w:tc>
        <w:tc>
          <w:tcPr>
            <w:tcW w:w="850" w:type="dxa"/>
            <w:vAlign w:val="center"/>
          </w:tcPr>
          <w:p w14:paraId="230B2533">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51" w:type="dxa"/>
            <w:vAlign w:val="center"/>
          </w:tcPr>
          <w:p w14:paraId="7D9EE2C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56" w:type="dxa"/>
            <w:vAlign w:val="center"/>
          </w:tcPr>
          <w:p w14:paraId="536ED08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03" w:type="dxa"/>
            <w:vAlign w:val="center"/>
          </w:tcPr>
          <w:p w14:paraId="5D43663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7DB4761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0" w:type="dxa"/>
            <w:vAlign w:val="center"/>
          </w:tcPr>
          <w:p w14:paraId="0F240A3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74A94F3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1E513D1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2DA146BE">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66BC0A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34E506E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Dysphagia</w:t>
            </w:r>
          </w:p>
        </w:tc>
        <w:tc>
          <w:tcPr>
            <w:tcW w:w="850" w:type="dxa"/>
            <w:vAlign w:val="center"/>
          </w:tcPr>
          <w:p w14:paraId="514757D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390281BE">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756" w:type="dxa"/>
            <w:vAlign w:val="center"/>
          </w:tcPr>
          <w:p w14:paraId="3038224D">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03" w:type="dxa"/>
            <w:vAlign w:val="center"/>
          </w:tcPr>
          <w:p w14:paraId="7488BA5D">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3C626C2F">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26DD1E3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0BDD0757">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396F428A">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7C5868DE">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63E46BB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56E9DD14">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Gastrointestinal reactions</w:t>
            </w:r>
          </w:p>
        </w:tc>
        <w:tc>
          <w:tcPr>
            <w:tcW w:w="850" w:type="dxa"/>
            <w:vAlign w:val="center"/>
          </w:tcPr>
          <w:p w14:paraId="64D3396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164E2F43">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4</w:t>
            </w:r>
          </w:p>
        </w:tc>
        <w:tc>
          <w:tcPr>
            <w:tcW w:w="756" w:type="dxa"/>
            <w:vAlign w:val="center"/>
          </w:tcPr>
          <w:p w14:paraId="5077E71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3</w:t>
            </w:r>
          </w:p>
        </w:tc>
        <w:tc>
          <w:tcPr>
            <w:tcW w:w="803" w:type="dxa"/>
            <w:vAlign w:val="center"/>
          </w:tcPr>
          <w:p w14:paraId="22E86D31">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09" w:type="dxa"/>
            <w:vAlign w:val="center"/>
          </w:tcPr>
          <w:p w14:paraId="49B1A780">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3F73A3E7">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5263BCEB">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575361B4">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34D82A8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r>
      <w:tr w14:paraId="6557763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4D0509D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Blurred vision</w:t>
            </w:r>
          </w:p>
        </w:tc>
        <w:tc>
          <w:tcPr>
            <w:tcW w:w="850" w:type="dxa"/>
            <w:vAlign w:val="center"/>
          </w:tcPr>
          <w:p w14:paraId="55569BE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51" w:type="dxa"/>
            <w:vAlign w:val="center"/>
          </w:tcPr>
          <w:p w14:paraId="76A89661">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3C9E0BC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03" w:type="dxa"/>
            <w:vAlign w:val="center"/>
          </w:tcPr>
          <w:p w14:paraId="1637044D">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57ACAF20">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16C73E7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74B3F48E">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36B9D490">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121C5E3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r>
      <w:tr w14:paraId="7DD8F8C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675FF194">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Thyroid dysfunction</w:t>
            </w:r>
          </w:p>
        </w:tc>
        <w:tc>
          <w:tcPr>
            <w:tcW w:w="850" w:type="dxa"/>
            <w:vAlign w:val="center"/>
          </w:tcPr>
          <w:p w14:paraId="66C3986D">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11</w:t>
            </w:r>
          </w:p>
        </w:tc>
        <w:tc>
          <w:tcPr>
            <w:tcW w:w="851" w:type="dxa"/>
            <w:vAlign w:val="center"/>
          </w:tcPr>
          <w:p w14:paraId="78BB696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56" w:type="dxa"/>
            <w:vAlign w:val="center"/>
          </w:tcPr>
          <w:p w14:paraId="48C6C1FF">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4</w:t>
            </w:r>
          </w:p>
        </w:tc>
        <w:tc>
          <w:tcPr>
            <w:tcW w:w="803" w:type="dxa"/>
            <w:vAlign w:val="center"/>
          </w:tcPr>
          <w:p w14:paraId="0C0D34F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71B5E60F">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6A47B0BA">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5B53C355">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1134" w:type="dxa"/>
            <w:vAlign w:val="center"/>
          </w:tcPr>
          <w:p w14:paraId="3779861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4C19337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7C9193A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07CDF21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Capillary hyperplasia</w:t>
            </w:r>
          </w:p>
        </w:tc>
        <w:tc>
          <w:tcPr>
            <w:tcW w:w="850" w:type="dxa"/>
            <w:vAlign w:val="center"/>
          </w:tcPr>
          <w:p w14:paraId="02CD54EB">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4</w:t>
            </w:r>
          </w:p>
        </w:tc>
        <w:tc>
          <w:tcPr>
            <w:tcW w:w="851" w:type="dxa"/>
            <w:vAlign w:val="center"/>
          </w:tcPr>
          <w:p w14:paraId="1A3F78D1">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756" w:type="dxa"/>
            <w:vAlign w:val="center"/>
          </w:tcPr>
          <w:p w14:paraId="100A9B4F">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03" w:type="dxa"/>
            <w:vAlign w:val="center"/>
          </w:tcPr>
          <w:p w14:paraId="01F4E4B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709" w:type="dxa"/>
            <w:vAlign w:val="center"/>
          </w:tcPr>
          <w:p w14:paraId="2AF7111B">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6357FD5E">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419FF7B5">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1134" w:type="dxa"/>
            <w:vAlign w:val="center"/>
          </w:tcPr>
          <w:p w14:paraId="30EEBE8F">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52114BB1">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r>
      <w:tr w14:paraId="738568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77DB2D8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Telangiectasia</w:t>
            </w:r>
          </w:p>
        </w:tc>
        <w:tc>
          <w:tcPr>
            <w:tcW w:w="850" w:type="dxa"/>
            <w:vAlign w:val="center"/>
          </w:tcPr>
          <w:p w14:paraId="2E6ECAF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6B6C6839">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38E74965">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03" w:type="dxa"/>
            <w:vAlign w:val="center"/>
          </w:tcPr>
          <w:p w14:paraId="1BF776BE">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7F9322B3">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4AA7186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075FE623">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1134" w:type="dxa"/>
            <w:vAlign w:val="center"/>
          </w:tcPr>
          <w:p w14:paraId="050C817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4BCF874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5394C03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60065801">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Oral mucositis</w:t>
            </w:r>
          </w:p>
        </w:tc>
        <w:tc>
          <w:tcPr>
            <w:tcW w:w="850" w:type="dxa"/>
            <w:vAlign w:val="center"/>
          </w:tcPr>
          <w:p w14:paraId="6E6AFB0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1" w:type="dxa"/>
            <w:vAlign w:val="center"/>
          </w:tcPr>
          <w:p w14:paraId="192DEFA7">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124F898D">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4</w:t>
            </w:r>
          </w:p>
        </w:tc>
        <w:tc>
          <w:tcPr>
            <w:tcW w:w="803" w:type="dxa"/>
            <w:vAlign w:val="center"/>
          </w:tcPr>
          <w:p w14:paraId="105C9C53">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4BE5D52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4B2FDB97">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06080B3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1134" w:type="dxa"/>
            <w:vAlign w:val="center"/>
          </w:tcPr>
          <w:p w14:paraId="7DA240BF">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549AD97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4B8CB79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0C9E8A4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Myocarditis</w:t>
            </w:r>
          </w:p>
        </w:tc>
        <w:tc>
          <w:tcPr>
            <w:tcW w:w="850" w:type="dxa"/>
            <w:vAlign w:val="center"/>
          </w:tcPr>
          <w:p w14:paraId="392B4AD0">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1" w:type="dxa"/>
            <w:vAlign w:val="center"/>
          </w:tcPr>
          <w:p w14:paraId="4CE1EDEB">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56" w:type="dxa"/>
            <w:vAlign w:val="center"/>
          </w:tcPr>
          <w:p w14:paraId="127140D7">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03" w:type="dxa"/>
            <w:vAlign w:val="center"/>
          </w:tcPr>
          <w:p w14:paraId="1DD1443C">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709" w:type="dxa"/>
            <w:vAlign w:val="center"/>
          </w:tcPr>
          <w:p w14:paraId="00337A42">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850" w:type="dxa"/>
            <w:vAlign w:val="center"/>
          </w:tcPr>
          <w:p w14:paraId="51E5DBE4">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w:t>
            </w:r>
          </w:p>
        </w:tc>
        <w:tc>
          <w:tcPr>
            <w:tcW w:w="851" w:type="dxa"/>
            <w:vAlign w:val="center"/>
          </w:tcPr>
          <w:p w14:paraId="7A319038">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1134" w:type="dxa"/>
            <w:vAlign w:val="center"/>
          </w:tcPr>
          <w:p w14:paraId="5A76AD20">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15DC9D56">
            <w:pPr>
              <w:spacing w:after="0" w:line="360" w:lineRule="auto"/>
              <w:ind w:left="0" w:firstLine="0"/>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r>
      <w:tr w14:paraId="26B525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9" w:type="dxa"/>
            <w:vAlign w:val="center"/>
          </w:tcPr>
          <w:p w14:paraId="706D1E4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Total</w:t>
            </w:r>
          </w:p>
        </w:tc>
        <w:tc>
          <w:tcPr>
            <w:tcW w:w="850" w:type="dxa"/>
            <w:vAlign w:val="center"/>
          </w:tcPr>
          <w:p w14:paraId="252EBF77">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60</w:t>
            </w:r>
          </w:p>
        </w:tc>
        <w:tc>
          <w:tcPr>
            <w:tcW w:w="851" w:type="dxa"/>
            <w:vAlign w:val="center"/>
          </w:tcPr>
          <w:p w14:paraId="0D740AE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22</w:t>
            </w:r>
          </w:p>
        </w:tc>
        <w:tc>
          <w:tcPr>
            <w:tcW w:w="756" w:type="dxa"/>
            <w:vAlign w:val="center"/>
          </w:tcPr>
          <w:p w14:paraId="37D21AA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27</w:t>
            </w:r>
          </w:p>
        </w:tc>
        <w:tc>
          <w:tcPr>
            <w:tcW w:w="803" w:type="dxa"/>
            <w:vAlign w:val="center"/>
          </w:tcPr>
          <w:p w14:paraId="12545182">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14</w:t>
            </w:r>
          </w:p>
        </w:tc>
        <w:tc>
          <w:tcPr>
            <w:tcW w:w="709" w:type="dxa"/>
            <w:vAlign w:val="center"/>
          </w:tcPr>
          <w:p w14:paraId="47C7927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w:t>
            </w:r>
          </w:p>
        </w:tc>
        <w:tc>
          <w:tcPr>
            <w:tcW w:w="850" w:type="dxa"/>
            <w:vAlign w:val="center"/>
          </w:tcPr>
          <w:p w14:paraId="4E4B89F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10</w:t>
            </w:r>
          </w:p>
        </w:tc>
        <w:tc>
          <w:tcPr>
            <w:tcW w:w="851" w:type="dxa"/>
            <w:vAlign w:val="center"/>
          </w:tcPr>
          <w:p w14:paraId="42F8D0A7">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16</w:t>
            </w:r>
          </w:p>
        </w:tc>
        <w:tc>
          <w:tcPr>
            <w:tcW w:w="1134" w:type="dxa"/>
            <w:vAlign w:val="center"/>
          </w:tcPr>
          <w:p w14:paraId="5E695D2D">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0</w:t>
            </w:r>
          </w:p>
        </w:tc>
        <w:tc>
          <w:tcPr>
            <w:tcW w:w="992" w:type="dxa"/>
            <w:vAlign w:val="center"/>
          </w:tcPr>
          <w:p w14:paraId="0B285E4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6</w:t>
            </w:r>
          </w:p>
        </w:tc>
      </w:tr>
    </w:tbl>
    <w:p w14:paraId="0E5F29D4">
      <w:pPr>
        <w:spacing w:after="0" w:line="360" w:lineRule="auto"/>
        <w:ind w:left="0" w:firstLine="0"/>
        <w:jc w:val="both"/>
        <w:rPr>
          <w:rFonts w:eastAsiaTheme="minorEastAsia"/>
          <w:b w:val="0"/>
          <w:bCs/>
          <w:color w:val="000000" w:themeColor="text1"/>
          <w14:textFill>
            <w14:solidFill>
              <w14:schemeClr w14:val="tx1"/>
            </w14:solidFill>
          </w14:textFill>
        </w:rPr>
      </w:pPr>
    </w:p>
    <w:p w14:paraId="73D469A0">
      <w:pPr>
        <w:spacing w:after="0" w:line="360" w:lineRule="auto"/>
        <w:ind w:left="0" w:firstLine="0"/>
        <w:jc w:val="both"/>
        <w:rPr>
          <w:rFonts w:eastAsiaTheme="minorEastAsia"/>
          <w:b w:val="0"/>
          <w:bCs/>
          <w:color w:val="000000" w:themeColor="text1"/>
          <w14:textFill>
            <w14:solidFill>
              <w14:schemeClr w14:val="tx1"/>
            </w14:solidFill>
          </w14:textFill>
        </w:rPr>
      </w:pPr>
    </w:p>
    <w:p w14:paraId="36E5277F">
      <w:pPr>
        <w:spacing w:after="0" w:line="360" w:lineRule="auto"/>
        <w:ind w:left="0" w:firstLine="0"/>
        <w:jc w:val="both"/>
        <w:rPr>
          <w:rFonts w:eastAsiaTheme="minorEastAsia"/>
          <w:b w:val="0"/>
          <w:bCs/>
          <w:color w:val="000000" w:themeColor="text1"/>
          <w14:textFill>
            <w14:solidFill>
              <w14:schemeClr w14:val="tx1"/>
            </w14:solidFill>
          </w14:textFill>
        </w:rPr>
      </w:pPr>
    </w:p>
    <w:p w14:paraId="1028FD18">
      <w:pPr>
        <w:spacing w:after="0" w:line="360" w:lineRule="auto"/>
        <w:ind w:left="-5"/>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Table S3  ROC tables evaluating various grades of irAEs based on inflammatory markers </w:t>
      </w:r>
    </w:p>
    <w:tbl>
      <w:tblPr>
        <w:tblStyle w:val="3"/>
        <w:tblW w:w="0" w:type="auto"/>
        <w:jc w:val="center"/>
        <w:tblLayout w:type="autofit"/>
        <w:tblCellMar>
          <w:top w:w="0" w:type="dxa"/>
          <w:left w:w="108" w:type="dxa"/>
          <w:bottom w:w="0" w:type="dxa"/>
          <w:right w:w="108" w:type="dxa"/>
        </w:tblCellMar>
      </w:tblPr>
      <w:tblGrid>
        <w:gridCol w:w="1310"/>
        <w:gridCol w:w="850"/>
        <w:gridCol w:w="1843"/>
        <w:gridCol w:w="2693"/>
        <w:gridCol w:w="2127"/>
        <w:gridCol w:w="1949"/>
      </w:tblGrid>
      <w:tr w14:paraId="23134BEB">
        <w:tblPrEx>
          <w:tblCellMar>
            <w:top w:w="0" w:type="dxa"/>
            <w:left w:w="108" w:type="dxa"/>
            <w:bottom w:w="0" w:type="dxa"/>
            <w:right w:w="108" w:type="dxa"/>
          </w:tblCellMar>
        </w:tblPrEx>
        <w:trPr>
          <w:trHeight w:val="330" w:hRule="atLeast"/>
          <w:jc w:val="center"/>
        </w:trPr>
        <w:tc>
          <w:tcPr>
            <w:tcW w:w="1310" w:type="dxa"/>
            <w:vMerge w:val="restart"/>
            <w:tcBorders>
              <w:top w:val="single" w:color="auto" w:sz="12" w:space="0"/>
              <w:left w:val="nil"/>
              <w:bottom w:val="single" w:color="000000" w:sz="8" w:space="0"/>
              <w:right w:val="nil"/>
            </w:tcBorders>
            <w:noWrap/>
            <w:vAlign w:val="center"/>
          </w:tcPr>
          <w:p w14:paraId="0F823FEA">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szCs w:val="24"/>
                <w14:textFill>
                  <w14:solidFill>
                    <w14:schemeClr w14:val="tx1"/>
                  </w14:solidFill>
                </w14:textFill>
              </w:rPr>
              <w:t>Variables</w:t>
            </w:r>
          </w:p>
        </w:tc>
        <w:tc>
          <w:tcPr>
            <w:tcW w:w="850" w:type="dxa"/>
            <w:vMerge w:val="restart"/>
            <w:tcBorders>
              <w:top w:val="single" w:color="auto" w:sz="12" w:space="0"/>
              <w:left w:val="nil"/>
              <w:bottom w:val="single" w:color="000000" w:sz="8" w:space="0"/>
              <w:right w:val="nil"/>
            </w:tcBorders>
            <w:noWrap/>
            <w:vAlign w:val="center"/>
          </w:tcPr>
          <w:p w14:paraId="12DA9E58">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Area</w:t>
            </w:r>
          </w:p>
        </w:tc>
        <w:tc>
          <w:tcPr>
            <w:tcW w:w="1843" w:type="dxa"/>
            <w:vMerge w:val="restart"/>
            <w:tcBorders>
              <w:top w:val="single" w:color="auto" w:sz="12" w:space="0"/>
              <w:left w:val="nil"/>
              <w:bottom w:val="single" w:color="000000" w:sz="8" w:space="0"/>
              <w:right w:val="nil"/>
            </w:tcBorders>
            <w:noWrap/>
            <w:vAlign w:val="center"/>
          </w:tcPr>
          <w:p w14:paraId="67F9617F">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Standard Error</w:t>
            </w:r>
          </w:p>
        </w:tc>
        <w:tc>
          <w:tcPr>
            <w:tcW w:w="2693" w:type="dxa"/>
            <w:vMerge w:val="restart"/>
            <w:tcBorders>
              <w:top w:val="single" w:color="auto" w:sz="12" w:space="0"/>
              <w:left w:val="nil"/>
              <w:bottom w:val="single" w:color="000000" w:sz="8" w:space="0"/>
              <w:right w:val="nil"/>
            </w:tcBorders>
            <w:noWrap/>
            <w:vAlign w:val="center"/>
          </w:tcPr>
          <w:p w14:paraId="651E2292">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 xml:space="preserve">Asymptotic Significance </w:t>
            </w:r>
          </w:p>
        </w:tc>
        <w:tc>
          <w:tcPr>
            <w:tcW w:w="4076" w:type="dxa"/>
            <w:gridSpan w:val="2"/>
            <w:tcBorders>
              <w:top w:val="single" w:color="auto" w:sz="12" w:space="0"/>
              <w:left w:val="nil"/>
              <w:bottom w:val="single" w:color="auto" w:sz="8" w:space="0"/>
              <w:right w:val="nil"/>
            </w:tcBorders>
            <w:noWrap/>
            <w:vAlign w:val="center"/>
          </w:tcPr>
          <w:p w14:paraId="50212849">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Asymptotic 95% Confidence Interval</w:t>
            </w:r>
          </w:p>
        </w:tc>
      </w:tr>
      <w:tr w14:paraId="63AC3B90">
        <w:tblPrEx>
          <w:tblCellMar>
            <w:top w:w="0" w:type="dxa"/>
            <w:left w:w="108" w:type="dxa"/>
            <w:bottom w:w="0" w:type="dxa"/>
            <w:right w:w="108" w:type="dxa"/>
          </w:tblCellMar>
        </w:tblPrEx>
        <w:trPr>
          <w:trHeight w:val="323" w:hRule="atLeast"/>
          <w:jc w:val="center"/>
        </w:trPr>
        <w:tc>
          <w:tcPr>
            <w:tcW w:w="1310" w:type="dxa"/>
            <w:vMerge w:val="continue"/>
            <w:tcBorders>
              <w:top w:val="single" w:color="auto" w:sz="12" w:space="0"/>
              <w:left w:val="nil"/>
              <w:bottom w:val="single" w:color="auto" w:sz="12" w:space="0"/>
              <w:right w:val="nil"/>
            </w:tcBorders>
            <w:vAlign w:val="center"/>
          </w:tcPr>
          <w:p w14:paraId="36543037">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850" w:type="dxa"/>
            <w:vMerge w:val="continue"/>
            <w:tcBorders>
              <w:top w:val="single" w:color="auto" w:sz="12" w:space="0"/>
              <w:left w:val="nil"/>
              <w:bottom w:val="single" w:color="auto" w:sz="12" w:space="0"/>
              <w:right w:val="nil"/>
            </w:tcBorders>
            <w:vAlign w:val="center"/>
          </w:tcPr>
          <w:p w14:paraId="56CA9083">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1843" w:type="dxa"/>
            <w:vMerge w:val="continue"/>
            <w:tcBorders>
              <w:top w:val="single" w:color="auto" w:sz="12" w:space="0"/>
              <w:left w:val="nil"/>
              <w:bottom w:val="single" w:color="auto" w:sz="12" w:space="0"/>
              <w:right w:val="nil"/>
            </w:tcBorders>
            <w:vAlign w:val="center"/>
          </w:tcPr>
          <w:p w14:paraId="3416C5F6">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2693" w:type="dxa"/>
            <w:vMerge w:val="continue"/>
            <w:tcBorders>
              <w:top w:val="single" w:color="auto" w:sz="12" w:space="0"/>
              <w:left w:val="nil"/>
              <w:bottom w:val="single" w:color="auto" w:sz="12" w:space="0"/>
              <w:right w:val="nil"/>
            </w:tcBorders>
            <w:vAlign w:val="center"/>
          </w:tcPr>
          <w:p w14:paraId="68B53612">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2127" w:type="dxa"/>
            <w:tcBorders>
              <w:top w:val="nil"/>
              <w:left w:val="nil"/>
              <w:bottom w:val="single" w:color="auto" w:sz="12" w:space="0"/>
              <w:right w:val="nil"/>
            </w:tcBorders>
            <w:noWrap/>
            <w:vAlign w:val="center"/>
          </w:tcPr>
          <w:p w14:paraId="0AE84A3A">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upper limit</w:t>
            </w:r>
          </w:p>
        </w:tc>
        <w:tc>
          <w:tcPr>
            <w:tcW w:w="1949" w:type="dxa"/>
            <w:tcBorders>
              <w:top w:val="nil"/>
              <w:left w:val="nil"/>
              <w:bottom w:val="single" w:color="auto" w:sz="12" w:space="0"/>
              <w:right w:val="nil"/>
            </w:tcBorders>
            <w:noWrap/>
            <w:vAlign w:val="center"/>
          </w:tcPr>
          <w:p w14:paraId="0C7445F3">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lower limit</w:t>
            </w:r>
          </w:p>
        </w:tc>
      </w:tr>
      <w:tr w14:paraId="16761417">
        <w:tblPrEx>
          <w:tblCellMar>
            <w:top w:w="0" w:type="dxa"/>
            <w:left w:w="108" w:type="dxa"/>
            <w:bottom w:w="0" w:type="dxa"/>
            <w:right w:w="108" w:type="dxa"/>
          </w:tblCellMar>
        </w:tblPrEx>
        <w:trPr>
          <w:trHeight w:val="315" w:hRule="atLeast"/>
          <w:jc w:val="center"/>
        </w:trPr>
        <w:tc>
          <w:tcPr>
            <w:tcW w:w="1310" w:type="dxa"/>
            <w:tcBorders>
              <w:top w:val="single" w:color="auto" w:sz="12" w:space="0"/>
              <w:left w:val="nil"/>
              <w:bottom w:val="nil"/>
              <w:right w:val="nil"/>
            </w:tcBorders>
            <w:noWrap/>
            <w:vAlign w:val="center"/>
          </w:tcPr>
          <w:p w14:paraId="6175FDA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AFR</w:t>
            </w:r>
          </w:p>
        </w:tc>
        <w:tc>
          <w:tcPr>
            <w:tcW w:w="850" w:type="dxa"/>
            <w:tcBorders>
              <w:top w:val="single" w:color="auto" w:sz="12" w:space="0"/>
              <w:left w:val="nil"/>
              <w:bottom w:val="nil"/>
              <w:right w:val="nil"/>
            </w:tcBorders>
            <w:noWrap/>
            <w:vAlign w:val="center"/>
          </w:tcPr>
          <w:p w14:paraId="06917AB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0.710</w:t>
            </w:r>
          </w:p>
        </w:tc>
        <w:tc>
          <w:tcPr>
            <w:tcW w:w="1843" w:type="dxa"/>
            <w:tcBorders>
              <w:top w:val="single" w:color="auto" w:sz="12" w:space="0"/>
              <w:left w:val="nil"/>
              <w:bottom w:val="nil"/>
              <w:right w:val="nil"/>
            </w:tcBorders>
            <w:noWrap/>
            <w:vAlign w:val="center"/>
          </w:tcPr>
          <w:p w14:paraId="161D800C">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0.040</w:t>
            </w:r>
          </w:p>
        </w:tc>
        <w:tc>
          <w:tcPr>
            <w:tcW w:w="2693" w:type="dxa"/>
            <w:tcBorders>
              <w:top w:val="single" w:color="auto" w:sz="12" w:space="0"/>
              <w:left w:val="nil"/>
              <w:bottom w:val="nil"/>
              <w:right w:val="nil"/>
            </w:tcBorders>
            <w:noWrap/>
            <w:vAlign w:val="center"/>
          </w:tcPr>
          <w:p w14:paraId="04C5FD5E">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0.047</w:t>
            </w:r>
            <w:r>
              <w:rPr>
                <w:rFonts w:eastAsia="宋体"/>
                <w:b w:val="0"/>
                <w:bCs/>
                <w:color w:val="000000" w:themeColor="text1"/>
                <w:kern w:val="0"/>
                <w:szCs w:val="24"/>
                <w:vertAlign w:val="superscript"/>
                <w14:textFill>
                  <w14:solidFill>
                    <w14:schemeClr w14:val="tx1"/>
                  </w14:solidFill>
                </w14:textFill>
              </w:rPr>
              <w:t>*</w:t>
            </w:r>
          </w:p>
        </w:tc>
        <w:tc>
          <w:tcPr>
            <w:tcW w:w="2127" w:type="dxa"/>
            <w:tcBorders>
              <w:top w:val="single" w:color="auto" w:sz="12" w:space="0"/>
              <w:left w:val="nil"/>
              <w:bottom w:val="nil"/>
              <w:right w:val="nil"/>
            </w:tcBorders>
            <w:noWrap/>
            <w:vAlign w:val="center"/>
          </w:tcPr>
          <w:p w14:paraId="3A95AAA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0.636</w:t>
            </w:r>
          </w:p>
        </w:tc>
        <w:tc>
          <w:tcPr>
            <w:tcW w:w="1949" w:type="dxa"/>
            <w:tcBorders>
              <w:top w:val="single" w:color="auto" w:sz="12" w:space="0"/>
              <w:left w:val="nil"/>
              <w:bottom w:val="nil"/>
              <w:right w:val="nil"/>
            </w:tcBorders>
            <w:noWrap/>
            <w:vAlign w:val="center"/>
          </w:tcPr>
          <w:p w14:paraId="1AC1C382">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0.777</w:t>
            </w:r>
          </w:p>
        </w:tc>
      </w:tr>
      <w:tr w14:paraId="1722E269">
        <w:tblPrEx>
          <w:tblCellMar>
            <w:top w:w="0" w:type="dxa"/>
            <w:left w:w="108" w:type="dxa"/>
            <w:bottom w:w="0" w:type="dxa"/>
            <w:right w:w="108" w:type="dxa"/>
          </w:tblCellMar>
        </w:tblPrEx>
        <w:trPr>
          <w:trHeight w:val="315" w:hRule="atLeast"/>
          <w:jc w:val="center"/>
        </w:trPr>
        <w:tc>
          <w:tcPr>
            <w:tcW w:w="1310" w:type="dxa"/>
            <w:tcBorders>
              <w:top w:val="nil"/>
              <w:left w:val="nil"/>
              <w:bottom w:val="nil"/>
              <w:right w:val="nil"/>
            </w:tcBorders>
            <w:noWrap/>
            <w:vAlign w:val="center"/>
          </w:tcPr>
          <w:p w14:paraId="4AED833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CAR</w:t>
            </w:r>
          </w:p>
        </w:tc>
        <w:tc>
          <w:tcPr>
            <w:tcW w:w="850" w:type="dxa"/>
            <w:tcBorders>
              <w:top w:val="nil"/>
              <w:left w:val="nil"/>
              <w:bottom w:val="nil"/>
              <w:right w:val="nil"/>
            </w:tcBorders>
            <w:noWrap/>
            <w:vAlign w:val="center"/>
          </w:tcPr>
          <w:p w14:paraId="14D05636">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0.510</w:t>
            </w:r>
          </w:p>
        </w:tc>
        <w:tc>
          <w:tcPr>
            <w:tcW w:w="1843" w:type="dxa"/>
            <w:tcBorders>
              <w:top w:val="nil"/>
              <w:left w:val="nil"/>
              <w:bottom w:val="nil"/>
              <w:right w:val="nil"/>
            </w:tcBorders>
            <w:noWrap/>
            <w:vAlign w:val="center"/>
          </w:tcPr>
          <w:p w14:paraId="17881F0D">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0.045</w:t>
            </w:r>
          </w:p>
        </w:tc>
        <w:tc>
          <w:tcPr>
            <w:tcW w:w="2693" w:type="dxa"/>
            <w:tcBorders>
              <w:top w:val="nil"/>
              <w:left w:val="nil"/>
              <w:bottom w:val="nil"/>
              <w:right w:val="nil"/>
            </w:tcBorders>
            <w:noWrap/>
            <w:vAlign w:val="center"/>
          </w:tcPr>
          <w:p w14:paraId="5C1BE97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0.833</w:t>
            </w:r>
          </w:p>
        </w:tc>
        <w:tc>
          <w:tcPr>
            <w:tcW w:w="2127" w:type="dxa"/>
            <w:tcBorders>
              <w:top w:val="nil"/>
              <w:left w:val="nil"/>
              <w:bottom w:val="nil"/>
              <w:right w:val="nil"/>
            </w:tcBorders>
            <w:noWrap/>
            <w:vAlign w:val="center"/>
          </w:tcPr>
          <w:p w14:paraId="35D99AA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0.432</w:t>
            </w:r>
          </w:p>
        </w:tc>
        <w:tc>
          <w:tcPr>
            <w:tcW w:w="1949" w:type="dxa"/>
            <w:tcBorders>
              <w:top w:val="nil"/>
              <w:left w:val="nil"/>
              <w:bottom w:val="nil"/>
              <w:right w:val="nil"/>
            </w:tcBorders>
            <w:noWrap/>
            <w:vAlign w:val="center"/>
          </w:tcPr>
          <w:p w14:paraId="780FF47A">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0.587</w:t>
            </w:r>
          </w:p>
        </w:tc>
      </w:tr>
      <w:tr w14:paraId="2A899DA7">
        <w:tblPrEx>
          <w:tblCellMar>
            <w:top w:w="0" w:type="dxa"/>
            <w:left w:w="108" w:type="dxa"/>
            <w:bottom w:w="0" w:type="dxa"/>
            <w:right w:w="108" w:type="dxa"/>
          </w:tblCellMar>
        </w:tblPrEx>
        <w:trPr>
          <w:trHeight w:val="315" w:hRule="atLeast"/>
          <w:jc w:val="center"/>
        </w:trPr>
        <w:tc>
          <w:tcPr>
            <w:tcW w:w="1310" w:type="dxa"/>
            <w:tcBorders>
              <w:top w:val="nil"/>
              <w:left w:val="nil"/>
              <w:bottom w:val="nil"/>
              <w:right w:val="nil"/>
            </w:tcBorders>
            <w:noWrap/>
            <w:vAlign w:val="center"/>
          </w:tcPr>
          <w:p w14:paraId="305493D0">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PIV</w:t>
            </w:r>
          </w:p>
        </w:tc>
        <w:tc>
          <w:tcPr>
            <w:tcW w:w="850" w:type="dxa"/>
            <w:tcBorders>
              <w:top w:val="nil"/>
              <w:left w:val="nil"/>
              <w:bottom w:val="nil"/>
              <w:right w:val="nil"/>
            </w:tcBorders>
            <w:noWrap/>
            <w:vAlign w:val="center"/>
          </w:tcPr>
          <w:p w14:paraId="37B758D9">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0.915</w:t>
            </w:r>
          </w:p>
        </w:tc>
        <w:tc>
          <w:tcPr>
            <w:tcW w:w="1843" w:type="dxa"/>
            <w:tcBorders>
              <w:top w:val="nil"/>
              <w:left w:val="nil"/>
              <w:bottom w:val="nil"/>
              <w:right w:val="nil"/>
            </w:tcBorders>
            <w:noWrap/>
            <w:vAlign w:val="center"/>
          </w:tcPr>
          <w:p w14:paraId="0FD83ED9">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0.022</w:t>
            </w:r>
          </w:p>
        </w:tc>
        <w:tc>
          <w:tcPr>
            <w:tcW w:w="2693" w:type="dxa"/>
            <w:tcBorders>
              <w:top w:val="nil"/>
              <w:left w:val="nil"/>
              <w:bottom w:val="nil"/>
              <w:right w:val="nil"/>
            </w:tcBorders>
            <w:noWrap/>
            <w:vAlign w:val="center"/>
          </w:tcPr>
          <w:p w14:paraId="75EFBF4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hint="eastAsia" w:eastAsia="宋体"/>
                <w:b w:val="0"/>
                <w:bCs/>
                <w:color w:val="000000" w:themeColor="text1"/>
                <w:kern w:val="0"/>
                <w:szCs w:val="24"/>
                <w14:textFill>
                  <w14:solidFill>
                    <w14:schemeClr w14:val="tx1"/>
                  </w14:solidFill>
                </w14:textFill>
              </w:rPr>
              <w:t xml:space="preserve">&lt; </w:t>
            </w:r>
            <w:r>
              <w:rPr>
                <w:rFonts w:eastAsia="宋体"/>
                <w:b w:val="0"/>
                <w:bCs/>
                <w:color w:val="000000" w:themeColor="text1"/>
                <w:kern w:val="0"/>
                <w:szCs w:val="24"/>
                <w14:textFill>
                  <w14:solidFill>
                    <w14:schemeClr w14:val="tx1"/>
                  </w14:solidFill>
                </w14:textFill>
              </w:rPr>
              <w:t>0.01</w:t>
            </w:r>
            <w:r>
              <w:rPr>
                <w:rFonts w:eastAsia="宋体"/>
                <w:b w:val="0"/>
                <w:bCs/>
                <w:color w:val="000000" w:themeColor="text1"/>
                <w:kern w:val="0"/>
                <w:szCs w:val="24"/>
                <w:vertAlign w:val="superscript"/>
                <w14:textFill>
                  <w14:solidFill>
                    <w14:schemeClr w14:val="tx1"/>
                  </w14:solidFill>
                </w14:textFill>
              </w:rPr>
              <w:t>*</w:t>
            </w:r>
            <w:r>
              <w:rPr>
                <w:rFonts w:hint="eastAsia" w:eastAsia="宋体"/>
                <w:b w:val="0"/>
                <w:bCs/>
                <w:color w:val="000000" w:themeColor="text1"/>
                <w:kern w:val="0"/>
                <w:szCs w:val="24"/>
                <w:vertAlign w:val="superscript"/>
                <w14:textFill>
                  <w14:solidFill>
                    <w14:schemeClr w14:val="tx1"/>
                  </w14:solidFill>
                </w14:textFill>
              </w:rPr>
              <w:t>*</w:t>
            </w:r>
          </w:p>
        </w:tc>
        <w:tc>
          <w:tcPr>
            <w:tcW w:w="2127" w:type="dxa"/>
            <w:tcBorders>
              <w:top w:val="nil"/>
              <w:left w:val="nil"/>
              <w:bottom w:val="nil"/>
              <w:right w:val="nil"/>
            </w:tcBorders>
            <w:noWrap/>
            <w:vAlign w:val="center"/>
          </w:tcPr>
          <w:p w14:paraId="098A0CB2">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0.863</w:t>
            </w:r>
          </w:p>
        </w:tc>
        <w:tc>
          <w:tcPr>
            <w:tcW w:w="1949" w:type="dxa"/>
            <w:tcBorders>
              <w:top w:val="nil"/>
              <w:left w:val="nil"/>
              <w:bottom w:val="nil"/>
              <w:right w:val="nil"/>
            </w:tcBorders>
            <w:noWrap/>
            <w:vAlign w:val="center"/>
          </w:tcPr>
          <w:p w14:paraId="1015AC8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0.953</w:t>
            </w:r>
          </w:p>
        </w:tc>
      </w:tr>
      <w:tr w14:paraId="5B7DC11D">
        <w:tblPrEx>
          <w:tblCellMar>
            <w:top w:w="0" w:type="dxa"/>
            <w:left w:w="108" w:type="dxa"/>
            <w:bottom w:w="0" w:type="dxa"/>
            <w:right w:w="108" w:type="dxa"/>
          </w:tblCellMar>
        </w:tblPrEx>
        <w:trPr>
          <w:trHeight w:val="315" w:hRule="atLeast"/>
          <w:jc w:val="center"/>
        </w:trPr>
        <w:tc>
          <w:tcPr>
            <w:tcW w:w="1310" w:type="dxa"/>
            <w:tcBorders>
              <w:top w:val="nil"/>
              <w:left w:val="nil"/>
              <w:bottom w:val="nil"/>
              <w:right w:val="nil"/>
            </w:tcBorders>
            <w:noWrap/>
            <w:vAlign w:val="center"/>
          </w:tcPr>
          <w:p w14:paraId="7C71CFE1">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NLR</w:t>
            </w:r>
          </w:p>
        </w:tc>
        <w:tc>
          <w:tcPr>
            <w:tcW w:w="850" w:type="dxa"/>
            <w:tcBorders>
              <w:top w:val="nil"/>
              <w:left w:val="nil"/>
              <w:bottom w:val="nil"/>
              <w:right w:val="nil"/>
            </w:tcBorders>
            <w:noWrap/>
            <w:vAlign w:val="center"/>
          </w:tcPr>
          <w:p w14:paraId="3540DE21">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0.511</w:t>
            </w:r>
          </w:p>
        </w:tc>
        <w:tc>
          <w:tcPr>
            <w:tcW w:w="1843" w:type="dxa"/>
            <w:tcBorders>
              <w:top w:val="nil"/>
              <w:left w:val="nil"/>
              <w:bottom w:val="nil"/>
              <w:right w:val="nil"/>
            </w:tcBorders>
            <w:noWrap/>
            <w:vAlign w:val="center"/>
          </w:tcPr>
          <w:p w14:paraId="1496675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0.045</w:t>
            </w:r>
          </w:p>
        </w:tc>
        <w:tc>
          <w:tcPr>
            <w:tcW w:w="2693" w:type="dxa"/>
            <w:tcBorders>
              <w:top w:val="nil"/>
              <w:left w:val="nil"/>
              <w:bottom w:val="nil"/>
              <w:right w:val="nil"/>
            </w:tcBorders>
            <w:noWrap/>
            <w:vAlign w:val="center"/>
          </w:tcPr>
          <w:p w14:paraId="690735CA">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0.813</w:t>
            </w:r>
          </w:p>
        </w:tc>
        <w:tc>
          <w:tcPr>
            <w:tcW w:w="2127" w:type="dxa"/>
            <w:tcBorders>
              <w:top w:val="nil"/>
              <w:left w:val="nil"/>
              <w:bottom w:val="nil"/>
              <w:right w:val="nil"/>
            </w:tcBorders>
            <w:noWrap/>
            <w:vAlign w:val="center"/>
          </w:tcPr>
          <w:p w14:paraId="54A787A2">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0.433</w:t>
            </w:r>
          </w:p>
        </w:tc>
        <w:tc>
          <w:tcPr>
            <w:tcW w:w="1949" w:type="dxa"/>
            <w:tcBorders>
              <w:top w:val="nil"/>
              <w:left w:val="nil"/>
              <w:bottom w:val="nil"/>
              <w:right w:val="nil"/>
            </w:tcBorders>
            <w:noWrap/>
            <w:vAlign w:val="center"/>
          </w:tcPr>
          <w:p w14:paraId="3A0B385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0.588</w:t>
            </w:r>
          </w:p>
        </w:tc>
      </w:tr>
      <w:tr w14:paraId="054F78D4">
        <w:tblPrEx>
          <w:tblCellMar>
            <w:top w:w="0" w:type="dxa"/>
            <w:left w:w="108" w:type="dxa"/>
            <w:bottom w:w="0" w:type="dxa"/>
            <w:right w:w="108" w:type="dxa"/>
          </w:tblCellMar>
        </w:tblPrEx>
        <w:trPr>
          <w:trHeight w:val="323" w:hRule="atLeast"/>
          <w:jc w:val="center"/>
        </w:trPr>
        <w:tc>
          <w:tcPr>
            <w:tcW w:w="1310" w:type="dxa"/>
            <w:tcBorders>
              <w:top w:val="nil"/>
              <w:left w:val="nil"/>
              <w:right w:val="nil"/>
            </w:tcBorders>
            <w:noWrap/>
            <w:vAlign w:val="center"/>
          </w:tcPr>
          <w:p w14:paraId="02666F5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PLR</w:t>
            </w:r>
          </w:p>
        </w:tc>
        <w:tc>
          <w:tcPr>
            <w:tcW w:w="850" w:type="dxa"/>
            <w:tcBorders>
              <w:top w:val="nil"/>
              <w:left w:val="nil"/>
              <w:right w:val="nil"/>
            </w:tcBorders>
            <w:noWrap/>
            <w:vAlign w:val="center"/>
          </w:tcPr>
          <w:p w14:paraId="2ECB5053">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0.545</w:t>
            </w:r>
          </w:p>
        </w:tc>
        <w:tc>
          <w:tcPr>
            <w:tcW w:w="1843" w:type="dxa"/>
            <w:tcBorders>
              <w:top w:val="nil"/>
              <w:left w:val="nil"/>
              <w:right w:val="nil"/>
            </w:tcBorders>
            <w:noWrap/>
            <w:vAlign w:val="center"/>
          </w:tcPr>
          <w:p w14:paraId="48D55E90">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0.045</w:t>
            </w:r>
          </w:p>
        </w:tc>
        <w:tc>
          <w:tcPr>
            <w:tcW w:w="2693" w:type="dxa"/>
            <w:tcBorders>
              <w:top w:val="nil"/>
              <w:left w:val="nil"/>
              <w:right w:val="nil"/>
            </w:tcBorders>
            <w:noWrap/>
            <w:vAlign w:val="center"/>
          </w:tcPr>
          <w:p w14:paraId="3C99A60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0.317</w:t>
            </w:r>
          </w:p>
        </w:tc>
        <w:tc>
          <w:tcPr>
            <w:tcW w:w="2127" w:type="dxa"/>
            <w:tcBorders>
              <w:top w:val="nil"/>
              <w:left w:val="nil"/>
              <w:right w:val="nil"/>
            </w:tcBorders>
            <w:noWrap/>
            <w:vAlign w:val="center"/>
          </w:tcPr>
          <w:p w14:paraId="6D846EEE">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0.466</w:t>
            </w:r>
          </w:p>
        </w:tc>
        <w:tc>
          <w:tcPr>
            <w:tcW w:w="1949" w:type="dxa"/>
            <w:tcBorders>
              <w:top w:val="nil"/>
              <w:left w:val="nil"/>
              <w:right w:val="nil"/>
            </w:tcBorders>
            <w:noWrap/>
            <w:vAlign w:val="center"/>
          </w:tcPr>
          <w:p w14:paraId="0CA0865E">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0.621</w:t>
            </w:r>
          </w:p>
        </w:tc>
      </w:tr>
      <w:tr w14:paraId="705A2C4C">
        <w:tblPrEx>
          <w:tblCellMar>
            <w:top w:w="0" w:type="dxa"/>
            <w:left w:w="108" w:type="dxa"/>
            <w:bottom w:w="0" w:type="dxa"/>
            <w:right w:w="108" w:type="dxa"/>
          </w:tblCellMar>
        </w:tblPrEx>
        <w:trPr>
          <w:trHeight w:val="323" w:hRule="atLeast"/>
          <w:jc w:val="center"/>
        </w:trPr>
        <w:tc>
          <w:tcPr>
            <w:tcW w:w="1310" w:type="dxa"/>
            <w:tcBorders>
              <w:top w:val="nil"/>
              <w:left w:val="nil"/>
              <w:bottom w:val="single" w:color="auto" w:sz="12" w:space="0"/>
              <w:right w:val="nil"/>
            </w:tcBorders>
            <w:noWrap/>
            <w:vAlign w:val="center"/>
          </w:tcPr>
          <w:p w14:paraId="54DB04BA">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LMR</w:t>
            </w:r>
          </w:p>
        </w:tc>
        <w:tc>
          <w:tcPr>
            <w:tcW w:w="850" w:type="dxa"/>
            <w:tcBorders>
              <w:top w:val="nil"/>
              <w:left w:val="nil"/>
              <w:bottom w:val="single" w:color="auto" w:sz="12" w:space="0"/>
              <w:right w:val="nil"/>
            </w:tcBorders>
            <w:noWrap/>
            <w:vAlign w:val="center"/>
          </w:tcPr>
          <w:p w14:paraId="715137B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0.516</w:t>
            </w:r>
          </w:p>
        </w:tc>
        <w:tc>
          <w:tcPr>
            <w:tcW w:w="1843" w:type="dxa"/>
            <w:tcBorders>
              <w:top w:val="nil"/>
              <w:left w:val="nil"/>
              <w:bottom w:val="single" w:color="auto" w:sz="12" w:space="0"/>
              <w:right w:val="nil"/>
            </w:tcBorders>
            <w:noWrap/>
            <w:vAlign w:val="center"/>
          </w:tcPr>
          <w:p w14:paraId="53D494F8">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0.045</w:t>
            </w:r>
          </w:p>
        </w:tc>
        <w:tc>
          <w:tcPr>
            <w:tcW w:w="2693" w:type="dxa"/>
            <w:tcBorders>
              <w:top w:val="nil"/>
              <w:left w:val="nil"/>
              <w:bottom w:val="single" w:color="auto" w:sz="12" w:space="0"/>
              <w:right w:val="nil"/>
            </w:tcBorders>
            <w:noWrap/>
            <w:vAlign w:val="center"/>
          </w:tcPr>
          <w:p w14:paraId="1D63CE3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0.728</w:t>
            </w:r>
          </w:p>
        </w:tc>
        <w:tc>
          <w:tcPr>
            <w:tcW w:w="2127" w:type="dxa"/>
            <w:tcBorders>
              <w:top w:val="nil"/>
              <w:left w:val="nil"/>
              <w:bottom w:val="single" w:color="auto" w:sz="12" w:space="0"/>
              <w:right w:val="nil"/>
            </w:tcBorders>
            <w:noWrap/>
            <w:vAlign w:val="center"/>
          </w:tcPr>
          <w:p w14:paraId="18EB62A3">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0.438</w:t>
            </w:r>
          </w:p>
        </w:tc>
        <w:tc>
          <w:tcPr>
            <w:tcW w:w="1949" w:type="dxa"/>
            <w:tcBorders>
              <w:top w:val="nil"/>
              <w:left w:val="nil"/>
              <w:bottom w:val="single" w:color="auto" w:sz="12" w:space="0"/>
              <w:right w:val="nil"/>
            </w:tcBorders>
            <w:noWrap/>
            <w:vAlign w:val="center"/>
          </w:tcPr>
          <w:p w14:paraId="1933B958">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0.593</w:t>
            </w:r>
          </w:p>
        </w:tc>
      </w:tr>
    </w:tbl>
    <w:p w14:paraId="4E625CD0">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 xml:space="preserve">* </w:t>
      </w:r>
      <w:r>
        <w:rPr>
          <w:rFonts w:hint="eastAsia" w:eastAsiaTheme="minorEastAsia"/>
          <w:b w:val="0"/>
          <w:bCs/>
          <w:i/>
          <w:iCs/>
          <w:color w:val="000000" w:themeColor="text1"/>
          <w14:textFill>
            <w14:solidFill>
              <w14:schemeClr w14:val="tx1"/>
            </w14:solidFill>
          </w14:textFill>
        </w:rPr>
        <w:t>P</w:t>
      </w:r>
      <w:r>
        <w:rPr>
          <w:rFonts w:hint="eastAsia" w:eastAsiaTheme="minorEastAsia"/>
          <w:b w:val="0"/>
          <w:bCs/>
          <w:color w:val="000000" w:themeColor="text1"/>
          <w14:textFill>
            <w14:solidFill>
              <w14:schemeClr w14:val="tx1"/>
            </w14:solidFill>
          </w14:textFill>
        </w:rPr>
        <w:t>&lt;0.05, **</w:t>
      </w:r>
      <w:r>
        <w:rPr>
          <w:rFonts w:hint="eastAsia" w:eastAsiaTheme="minorEastAsia"/>
          <w:b w:val="0"/>
          <w:bCs/>
          <w:i/>
          <w:iCs/>
          <w:color w:val="000000" w:themeColor="text1"/>
          <w14:textFill>
            <w14:solidFill>
              <w14:schemeClr w14:val="tx1"/>
            </w14:solidFill>
          </w14:textFill>
        </w:rPr>
        <w:t>P</w:t>
      </w:r>
      <w:r>
        <w:rPr>
          <w:rFonts w:hint="eastAsia" w:eastAsiaTheme="minorEastAsia"/>
          <w:b w:val="0"/>
          <w:bCs/>
          <w:color w:val="000000" w:themeColor="text1"/>
          <w14:textFill>
            <w14:solidFill>
              <w14:schemeClr w14:val="tx1"/>
            </w14:solidFill>
          </w14:textFill>
        </w:rPr>
        <w:t xml:space="preserve">&lt;0.01. ROC, Receiver Operating Characteristic. AFR, ALB/FIB, </w:t>
      </w:r>
      <w:r>
        <w:rPr>
          <w:rFonts w:eastAsiaTheme="minorEastAsia"/>
          <w:b w:val="0"/>
          <w:bCs/>
          <w:color w:val="000000" w:themeColor="text1"/>
          <w14:textFill>
            <w14:solidFill>
              <w14:schemeClr w14:val="tx1"/>
            </w14:solidFill>
          </w14:textFill>
        </w:rPr>
        <w:t>albumin/fibrinogen ratio</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CAR</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CRP/ALB</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C-reactive protein/albumin ratio</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PIV</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(NEUT×PLT×MONO)/LYMPH</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(neutrophils×platelets×monocytes) / lymphocytes ratio</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NLR</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NEUT/LYMPH, neutrophils/lymphocytes ratio</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PLR</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PLT/LYMPH, platelets/lymphocytes ratio; LMR</w:t>
      </w:r>
      <w:r>
        <w:rPr>
          <w:rFonts w:hint="eastAsia" w:eastAsiaTheme="minorEastAsia"/>
          <w:b w:val="0"/>
          <w:bCs/>
          <w:color w:val="000000" w:themeColor="text1"/>
          <w14:textFill>
            <w14:solidFill>
              <w14:schemeClr w14:val="tx1"/>
            </w14:solidFill>
          </w14:textFill>
        </w:rPr>
        <w:t xml:space="preserve">, </w:t>
      </w:r>
      <w:r>
        <w:rPr>
          <w:rFonts w:eastAsiaTheme="minorEastAsia"/>
          <w:b w:val="0"/>
          <w:bCs/>
          <w:color w:val="000000" w:themeColor="text1"/>
          <w14:textFill>
            <w14:solidFill>
              <w14:schemeClr w14:val="tx1"/>
            </w14:solidFill>
          </w14:textFill>
        </w:rPr>
        <w:t>LYMPH/MONO, lymphocytes/monocytes ratio</w:t>
      </w:r>
      <w:r>
        <w:rPr>
          <w:rFonts w:hint="eastAsia" w:eastAsiaTheme="minorEastAsia"/>
          <w:b w:val="0"/>
          <w:bCs/>
          <w:color w:val="000000" w:themeColor="text1"/>
          <w14:textFill>
            <w14:solidFill>
              <w14:schemeClr w14:val="tx1"/>
            </w14:solidFill>
          </w14:textFill>
        </w:rPr>
        <w:t>.</w:t>
      </w:r>
    </w:p>
    <w:p w14:paraId="2E8F857C">
      <w:pPr>
        <w:spacing w:after="0" w:line="360" w:lineRule="auto"/>
        <w:ind w:left="0" w:firstLine="0"/>
        <w:jc w:val="both"/>
        <w:rPr>
          <w:rFonts w:eastAsiaTheme="minorEastAsia"/>
          <w:b w:val="0"/>
          <w:bCs/>
          <w:color w:val="000000" w:themeColor="text1"/>
          <w14:textFill>
            <w14:solidFill>
              <w14:schemeClr w14:val="tx1"/>
            </w14:solidFill>
          </w14:textFill>
        </w:rPr>
      </w:pPr>
    </w:p>
    <w:p w14:paraId="5300AB6E">
      <w:pPr>
        <w:spacing w:after="0" w:line="360" w:lineRule="auto"/>
        <w:ind w:left="-5"/>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Table S4  ROC tables evaluating grade</w:t>
      </w:r>
      <w:r>
        <w:rPr>
          <w:rFonts w:eastAsia="宋体"/>
          <w:b w:val="0"/>
          <w:bCs/>
          <w:color w:val="000000" w:themeColor="text1"/>
          <w14:textFill>
            <w14:solidFill>
              <w14:schemeClr w14:val="tx1"/>
            </w14:solidFill>
          </w14:textFill>
        </w:rPr>
        <w:t>≥</w:t>
      </w:r>
      <w:r>
        <w:rPr>
          <w:b w:val="0"/>
          <w:bCs/>
          <w:color w:val="000000" w:themeColor="text1"/>
          <w14:textFill>
            <w14:solidFill>
              <w14:schemeClr w14:val="tx1"/>
            </w14:solidFill>
          </w14:textFill>
        </w:rPr>
        <w:t xml:space="preserve">3 irAEs based on inflammatory markers </w:t>
      </w:r>
    </w:p>
    <w:tbl>
      <w:tblPr>
        <w:tblStyle w:val="3"/>
        <w:tblW w:w="0" w:type="auto"/>
        <w:jc w:val="center"/>
        <w:tblLayout w:type="autofit"/>
        <w:tblCellMar>
          <w:top w:w="0" w:type="dxa"/>
          <w:left w:w="108" w:type="dxa"/>
          <w:bottom w:w="0" w:type="dxa"/>
          <w:right w:w="108" w:type="dxa"/>
        </w:tblCellMar>
      </w:tblPr>
      <w:tblGrid>
        <w:gridCol w:w="1310"/>
        <w:gridCol w:w="850"/>
        <w:gridCol w:w="1843"/>
        <w:gridCol w:w="2693"/>
        <w:gridCol w:w="2127"/>
        <w:gridCol w:w="1949"/>
      </w:tblGrid>
      <w:tr w14:paraId="369C4B3F">
        <w:tblPrEx>
          <w:tblCellMar>
            <w:top w:w="0" w:type="dxa"/>
            <w:left w:w="108" w:type="dxa"/>
            <w:bottom w:w="0" w:type="dxa"/>
            <w:right w:w="108" w:type="dxa"/>
          </w:tblCellMar>
        </w:tblPrEx>
        <w:trPr>
          <w:trHeight w:val="330" w:hRule="atLeast"/>
          <w:jc w:val="center"/>
        </w:trPr>
        <w:tc>
          <w:tcPr>
            <w:tcW w:w="1310" w:type="dxa"/>
            <w:vMerge w:val="restart"/>
            <w:tcBorders>
              <w:top w:val="single" w:color="auto" w:sz="12" w:space="0"/>
              <w:left w:val="nil"/>
              <w:bottom w:val="single" w:color="000000" w:sz="8" w:space="0"/>
              <w:right w:val="nil"/>
            </w:tcBorders>
            <w:noWrap/>
            <w:vAlign w:val="center"/>
          </w:tcPr>
          <w:p w14:paraId="5BBD7C71">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szCs w:val="24"/>
                <w14:textFill>
                  <w14:solidFill>
                    <w14:schemeClr w14:val="tx1"/>
                  </w14:solidFill>
                </w14:textFill>
              </w:rPr>
              <w:t>Variables</w:t>
            </w:r>
          </w:p>
        </w:tc>
        <w:tc>
          <w:tcPr>
            <w:tcW w:w="850" w:type="dxa"/>
            <w:vMerge w:val="restart"/>
            <w:tcBorders>
              <w:top w:val="single" w:color="auto" w:sz="12" w:space="0"/>
              <w:left w:val="nil"/>
              <w:bottom w:val="single" w:color="000000" w:sz="8" w:space="0"/>
              <w:right w:val="nil"/>
            </w:tcBorders>
            <w:noWrap/>
            <w:vAlign w:val="center"/>
          </w:tcPr>
          <w:p w14:paraId="0F5BE0F5">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Area</w:t>
            </w:r>
          </w:p>
        </w:tc>
        <w:tc>
          <w:tcPr>
            <w:tcW w:w="1843" w:type="dxa"/>
            <w:vMerge w:val="restart"/>
            <w:tcBorders>
              <w:top w:val="single" w:color="auto" w:sz="12" w:space="0"/>
              <w:left w:val="nil"/>
              <w:bottom w:val="single" w:color="000000" w:sz="8" w:space="0"/>
              <w:right w:val="nil"/>
            </w:tcBorders>
            <w:noWrap/>
            <w:vAlign w:val="center"/>
          </w:tcPr>
          <w:p w14:paraId="52D1CBAD">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Standard Error</w:t>
            </w:r>
          </w:p>
        </w:tc>
        <w:tc>
          <w:tcPr>
            <w:tcW w:w="2693" w:type="dxa"/>
            <w:vMerge w:val="restart"/>
            <w:tcBorders>
              <w:top w:val="single" w:color="auto" w:sz="12" w:space="0"/>
              <w:left w:val="nil"/>
              <w:bottom w:val="single" w:color="000000" w:sz="8" w:space="0"/>
              <w:right w:val="nil"/>
            </w:tcBorders>
            <w:noWrap/>
            <w:vAlign w:val="center"/>
          </w:tcPr>
          <w:p w14:paraId="557FA049">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 xml:space="preserve">Asymptotic Significance </w:t>
            </w:r>
          </w:p>
        </w:tc>
        <w:tc>
          <w:tcPr>
            <w:tcW w:w="4076" w:type="dxa"/>
            <w:gridSpan w:val="2"/>
            <w:tcBorders>
              <w:top w:val="single" w:color="auto" w:sz="12" w:space="0"/>
              <w:left w:val="nil"/>
              <w:bottom w:val="single" w:color="auto" w:sz="8" w:space="0"/>
              <w:right w:val="nil"/>
            </w:tcBorders>
            <w:noWrap/>
            <w:vAlign w:val="center"/>
          </w:tcPr>
          <w:p w14:paraId="1C34F4B3">
            <w:pPr>
              <w:spacing w:after="0" w:line="360" w:lineRule="auto"/>
              <w:ind w:left="0" w:firstLine="0"/>
              <w:jc w:val="both"/>
              <w:rPr>
                <w:rFonts w:eastAsia="宋体"/>
                <w:b w:val="0"/>
                <w:bCs/>
                <w:color w:val="000000" w:themeColor="text1"/>
                <w:kern w:val="0"/>
                <w:szCs w:val="24"/>
                <w14:textFill>
                  <w14:solidFill>
                    <w14:schemeClr w14:val="tx1"/>
                  </w14:solidFill>
                </w14:textFill>
              </w:rPr>
            </w:pPr>
            <w:r>
              <w:rPr>
                <w:b w:val="0"/>
                <w:bCs/>
                <w:color w:val="000000" w:themeColor="text1"/>
                <w14:textFill>
                  <w14:solidFill>
                    <w14:schemeClr w14:val="tx1"/>
                  </w14:solidFill>
                </w14:textFill>
              </w:rPr>
              <w:t>Asymptotic 95% Confidence Interval</w:t>
            </w:r>
          </w:p>
        </w:tc>
      </w:tr>
      <w:tr w14:paraId="146BF897">
        <w:tblPrEx>
          <w:tblCellMar>
            <w:top w:w="0" w:type="dxa"/>
            <w:left w:w="108" w:type="dxa"/>
            <w:bottom w:w="0" w:type="dxa"/>
            <w:right w:w="108" w:type="dxa"/>
          </w:tblCellMar>
        </w:tblPrEx>
        <w:trPr>
          <w:trHeight w:val="323" w:hRule="atLeast"/>
          <w:jc w:val="center"/>
        </w:trPr>
        <w:tc>
          <w:tcPr>
            <w:tcW w:w="1310" w:type="dxa"/>
            <w:vMerge w:val="continue"/>
            <w:tcBorders>
              <w:top w:val="single" w:color="auto" w:sz="12" w:space="0"/>
              <w:left w:val="nil"/>
              <w:bottom w:val="single" w:color="auto" w:sz="12" w:space="0"/>
              <w:right w:val="nil"/>
            </w:tcBorders>
            <w:vAlign w:val="center"/>
          </w:tcPr>
          <w:p w14:paraId="24FF9006">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850" w:type="dxa"/>
            <w:vMerge w:val="continue"/>
            <w:tcBorders>
              <w:top w:val="single" w:color="auto" w:sz="12" w:space="0"/>
              <w:left w:val="nil"/>
              <w:bottom w:val="single" w:color="auto" w:sz="12" w:space="0"/>
              <w:right w:val="nil"/>
            </w:tcBorders>
            <w:vAlign w:val="center"/>
          </w:tcPr>
          <w:p w14:paraId="7B44EB60">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1843" w:type="dxa"/>
            <w:vMerge w:val="continue"/>
            <w:tcBorders>
              <w:top w:val="single" w:color="auto" w:sz="12" w:space="0"/>
              <w:left w:val="nil"/>
              <w:bottom w:val="single" w:color="auto" w:sz="12" w:space="0"/>
              <w:right w:val="nil"/>
            </w:tcBorders>
            <w:vAlign w:val="center"/>
          </w:tcPr>
          <w:p w14:paraId="1E06C0BB">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2693" w:type="dxa"/>
            <w:vMerge w:val="continue"/>
            <w:tcBorders>
              <w:top w:val="single" w:color="auto" w:sz="12" w:space="0"/>
              <w:left w:val="nil"/>
              <w:bottom w:val="single" w:color="auto" w:sz="12" w:space="0"/>
              <w:right w:val="nil"/>
            </w:tcBorders>
            <w:vAlign w:val="center"/>
          </w:tcPr>
          <w:p w14:paraId="041C8D58">
            <w:pPr>
              <w:spacing w:after="0" w:line="360" w:lineRule="auto"/>
              <w:ind w:left="0" w:firstLine="0"/>
              <w:jc w:val="both"/>
              <w:rPr>
                <w:rFonts w:eastAsia="宋体"/>
                <w:b w:val="0"/>
                <w:bCs/>
                <w:color w:val="000000" w:themeColor="text1"/>
                <w:kern w:val="0"/>
                <w:szCs w:val="24"/>
                <w14:textFill>
                  <w14:solidFill>
                    <w14:schemeClr w14:val="tx1"/>
                  </w14:solidFill>
                </w14:textFill>
              </w:rPr>
            </w:pPr>
          </w:p>
        </w:tc>
        <w:tc>
          <w:tcPr>
            <w:tcW w:w="2127" w:type="dxa"/>
            <w:tcBorders>
              <w:top w:val="nil"/>
              <w:left w:val="nil"/>
              <w:bottom w:val="single" w:color="auto" w:sz="12" w:space="0"/>
              <w:right w:val="nil"/>
            </w:tcBorders>
            <w:noWrap/>
            <w:vAlign w:val="center"/>
          </w:tcPr>
          <w:p w14:paraId="5667206A">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upper limit</w:t>
            </w:r>
          </w:p>
        </w:tc>
        <w:tc>
          <w:tcPr>
            <w:tcW w:w="1949" w:type="dxa"/>
            <w:tcBorders>
              <w:top w:val="nil"/>
              <w:left w:val="nil"/>
              <w:bottom w:val="single" w:color="auto" w:sz="12" w:space="0"/>
              <w:right w:val="nil"/>
            </w:tcBorders>
            <w:noWrap/>
            <w:vAlign w:val="center"/>
          </w:tcPr>
          <w:p w14:paraId="4D536C3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lower limit</w:t>
            </w:r>
          </w:p>
        </w:tc>
      </w:tr>
      <w:tr w14:paraId="77944D7A">
        <w:tblPrEx>
          <w:tblCellMar>
            <w:top w:w="0" w:type="dxa"/>
            <w:left w:w="108" w:type="dxa"/>
            <w:bottom w:w="0" w:type="dxa"/>
            <w:right w:w="108" w:type="dxa"/>
          </w:tblCellMar>
        </w:tblPrEx>
        <w:trPr>
          <w:trHeight w:val="315" w:hRule="atLeast"/>
          <w:jc w:val="center"/>
        </w:trPr>
        <w:tc>
          <w:tcPr>
            <w:tcW w:w="1310" w:type="dxa"/>
            <w:tcBorders>
              <w:top w:val="single" w:color="auto" w:sz="12" w:space="0"/>
              <w:left w:val="nil"/>
              <w:bottom w:val="nil"/>
              <w:right w:val="nil"/>
            </w:tcBorders>
            <w:noWrap/>
            <w:vAlign w:val="center"/>
          </w:tcPr>
          <w:p w14:paraId="0D2C7494">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AFR</w:t>
            </w:r>
          </w:p>
        </w:tc>
        <w:tc>
          <w:tcPr>
            <w:tcW w:w="850" w:type="dxa"/>
            <w:tcBorders>
              <w:top w:val="single" w:color="auto" w:sz="12" w:space="0"/>
              <w:left w:val="nil"/>
              <w:bottom w:val="nil"/>
              <w:right w:val="nil"/>
            </w:tcBorders>
            <w:noWrap/>
            <w:vAlign w:val="center"/>
          </w:tcPr>
          <w:p w14:paraId="7D80FC52">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0.577</w:t>
            </w:r>
          </w:p>
        </w:tc>
        <w:tc>
          <w:tcPr>
            <w:tcW w:w="1843" w:type="dxa"/>
            <w:tcBorders>
              <w:top w:val="single" w:color="auto" w:sz="12" w:space="0"/>
              <w:left w:val="nil"/>
              <w:bottom w:val="nil"/>
              <w:right w:val="nil"/>
            </w:tcBorders>
            <w:noWrap/>
            <w:vAlign w:val="center"/>
          </w:tcPr>
          <w:p w14:paraId="585CDC95">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0.063</w:t>
            </w:r>
          </w:p>
        </w:tc>
        <w:tc>
          <w:tcPr>
            <w:tcW w:w="2693" w:type="dxa"/>
            <w:tcBorders>
              <w:top w:val="single" w:color="auto" w:sz="12" w:space="0"/>
              <w:left w:val="nil"/>
              <w:bottom w:val="nil"/>
              <w:right w:val="nil"/>
            </w:tcBorders>
            <w:noWrap/>
            <w:vAlign w:val="center"/>
          </w:tcPr>
          <w:p w14:paraId="7D8737A3">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0.931</w:t>
            </w:r>
          </w:p>
        </w:tc>
        <w:tc>
          <w:tcPr>
            <w:tcW w:w="2127" w:type="dxa"/>
            <w:tcBorders>
              <w:top w:val="single" w:color="auto" w:sz="12" w:space="0"/>
              <w:left w:val="nil"/>
              <w:bottom w:val="nil"/>
              <w:right w:val="nil"/>
            </w:tcBorders>
            <w:noWrap/>
            <w:vAlign w:val="center"/>
          </w:tcPr>
          <w:p w14:paraId="476E5D8D">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0.498</w:t>
            </w:r>
          </w:p>
        </w:tc>
        <w:tc>
          <w:tcPr>
            <w:tcW w:w="1949" w:type="dxa"/>
            <w:tcBorders>
              <w:top w:val="single" w:color="auto" w:sz="12" w:space="0"/>
              <w:left w:val="nil"/>
              <w:bottom w:val="nil"/>
              <w:right w:val="nil"/>
            </w:tcBorders>
            <w:noWrap/>
            <w:vAlign w:val="center"/>
          </w:tcPr>
          <w:p w14:paraId="7007D571">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0.652</w:t>
            </w:r>
          </w:p>
        </w:tc>
      </w:tr>
      <w:tr w14:paraId="63433734">
        <w:tblPrEx>
          <w:tblCellMar>
            <w:top w:w="0" w:type="dxa"/>
            <w:left w:w="108" w:type="dxa"/>
            <w:bottom w:w="0" w:type="dxa"/>
            <w:right w:w="108" w:type="dxa"/>
          </w:tblCellMar>
        </w:tblPrEx>
        <w:trPr>
          <w:trHeight w:val="315" w:hRule="atLeast"/>
          <w:jc w:val="center"/>
        </w:trPr>
        <w:tc>
          <w:tcPr>
            <w:tcW w:w="1310" w:type="dxa"/>
            <w:tcBorders>
              <w:top w:val="nil"/>
              <w:left w:val="nil"/>
              <w:bottom w:val="nil"/>
              <w:right w:val="nil"/>
            </w:tcBorders>
            <w:noWrap/>
            <w:vAlign w:val="center"/>
          </w:tcPr>
          <w:p w14:paraId="0F6D4439">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CAR</w:t>
            </w:r>
          </w:p>
        </w:tc>
        <w:tc>
          <w:tcPr>
            <w:tcW w:w="850" w:type="dxa"/>
            <w:tcBorders>
              <w:top w:val="nil"/>
              <w:left w:val="nil"/>
              <w:bottom w:val="nil"/>
              <w:right w:val="nil"/>
            </w:tcBorders>
            <w:noWrap/>
            <w:vAlign w:val="center"/>
          </w:tcPr>
          <w:p w14:paraId="6DDEFEC5">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0.510</w:t>
            </w:r>
          </w:p>
        </w:tc>
        <w:tc>
          <w:tcPr>
            <w:tcW w:w="1843" w:type="dxa"/>
            <w:tcBorders>
              <w:top w:val="nil"/>
              <w:left w:val="nil"/>
              <w:bottom w:val="nil"/>
              <w:right w:val="nil"/>
            </w:tcBorders>
            <w:noWrap/>
            <w:vAlign w:val="center"/>
          </w:tcPr>
          <w:p w14:paraId="1EE0B106">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0.072</w:t>
            </w:r>
          </w:p>
        </w:tc>
        <w:tc>
          <w:tcPr>
            <w:tcW w:w="2693" w:type="dxa"/>
            <w:tcBorders>
              <w:top w:val="nil"/>
              <w:left w:val="nil"/>
              <w:bottom w:val="nil"/>
              <w:right w:val="nil"/>
            </w:tcBorders>
            <w:noWrap/>
            <w:vAlign w:val="center"/>
          </w:tcPr>
          <w:p w14:paraId="2CF3E48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0.862</w:t>
            </w:r>
          </w:p>
        </w:tc>
        <w:tc>
          <w:tcPr>
            <w:tcW w:w="2127" w:type="dxa"/>
            <w:tcBorders>
              <w:top w:val="nil"/>
              <w:left w:val="nil"/>
              <w:bottom w:val="nil"/>
              <w:right w:val="nil"/>
            </w:tcBorders>
            <w:noWrap/>
            <w:vAlign w:val="center"/>
          </w:tcPr>
          <w:p w14:paraId="23941054">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0.432</w:t>
            </w:r>
          </w:p>
        </w:tc>
        <w:tc>
          <w:tcPr>
            <w:tcW w:w="1949" w:type="dxa"/>
            <w:tcBorders>
              <w:top w:val="nil"/>
              <w:left w:val="nil"/>
              <w:bottom w:val="nil"/>
              <w:right w:val="nil"/>
            </w:tcBorders>
            <w:noWrap/>
            <w:vAlign w:val="center"/>
          </w:tcPr>
          <w:p w14:paraId="024319D8">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0.588</w:t>
            </w:r>
          </w:p>
        </w:tc>
      </w:tr>
      <w:tr w14:paraId="53A947BD">
        <w:tblPrEx>
          <w:tblCellMar>
            <w:top w:w="0" w:type="dxa"/>
            <w:left w:w="108" w:type="dxa"/>
            <w:bottom w:w="0" w:type="dxa"/>
            <w:right w:w="108" w:type="dxa"/>
          </w:tblCellMar>
        </w:tblPrEx>
        <w:trPr>
          <w:trHeight w:val="315" w:hRule="atLeast"/>
          <w:jc w:val="center"/>
        </w:trPr>
        <w:tc>
          <w:tcPr>
            <w:tcW w:w="1310" w:type="dxa"/>
            <w:tcBorders>
              <w:top w:val="nil"/>
              <w:left w:val="nil"/>
              <w:bottom w:val="nil"/>
              <w:right w:val="nil"/>
            </w:tcBorders>
            <w:noWrap/>
            <w:vAlign w:val="center"/>
          </w:tcPr>
          <w:p w14:paraId="24A9A78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PIV</w:t>
            </w:r>
          </w:p>
        </w:tc>
        <w:tc>
          <w:tcPr>
            <w:tcW w:w="850" w:type="dxa"/>
            <w:tcBorders>
              <w:top w:val="nil"/>
              <w:left w:val="nil"/>
              <w:bottom w:val="nil"/>
              <w:right w:val="nil"/>
            </w:tcBorders>
            <w:noWrap/>
            <w:vAlign w:val="center"/>
          </w:tcPr>
          <w:p w14:paraId="1B8CA429">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0.719</w:t>
            </w:r>
          </w:p>
        </w:tc>
        <w:tc>
          <w:tcPr>
            <w:tcW w:w="1843" w:type="dxa"/>
            <w:tcBorders>
              <w:top w:val="nil"/>
              <w:left w:val="nil"/>
              <w:bottom w:val="nil"/>
              <w:right w:val="nil"/>
            </w:tcBorders>
            <w:noWrap/>
            <w:vAlign w:val="center"/>
          </w:tcPr>
          <w:p w14:paraId="7D82829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0.050</w:t>
            </w:r>
          </w:p>
        </w:tc>
        <w:tc>
          <w:tcPr>
            <w:tcW w:w="2693" w:type="dxa"/>
            <w:tcBorders>
              <w:top w:val="nil"/>
              <w:left w:val="nil"/>
              <w:bottom w:val="nil"/>
              <w:right w:val="nil"/>
            </w:tcBorders>
            <w:noWrap/>
            <w:vAlign w:val="center"/>
          </w:tcPr>
          <w:p w14:paraId="12DA03C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hint="eastAsia" w:eastAsia="宋体"/>
                <w:b w:val="0"/>
                <w:bCs/>
                <w:color w:val="000000" w:themeColor="text1"/>
                <w:kern w:val="0"/>
                <w:szCs w:val="24"/>
                <w14:textFill>
                  <w14:solidFill>
                    <w14:schemeClr w14:val="tx1"/>
                  </w14:solidFill>
                </w14:textFill>
              </w:rPr>
              <w:t xml:space="preserve">&lt; </w:t>
            </w:r>
            <w:r>
              <w:rPr>
                <w:rFonts w:eastAsia="宋体"/>
                <w:b w:val="0"/>
                <w:bCs/>
                <w:color w:val="000000" w:themeColor="text1"/>
                <w:kern w:val="0"/>
                <w:szCs w:val="24"/>
                <w14:textFill>
                  <w14:solidFill>
                    <w14:schemeClr w14:val="tx1"/>
                  </w14:solidFill>
                </w14:textFill>
              </w:rPr>
              <w:t>0.001</w:t>
            </w:r>
            <w:r>
              <w:rPr>
                <w:rFonts w:eastAsia="宋体"/>
                <w:b w:val="0"/>
                <w:bCs/>
                <w:color w:val="000000" w:themeColor="text1"/>
                <w:kern w:val="0"/>
                <w:szCs w:val="24"/>
                <w:vertAlign w:val="superscript"/>
                <w14:textFill>
                  <w14:solidFill>
                    <w14:schemeClr w14:val="tx1"/>
                  </w14:solidFill>
                </w14:textFill>
              </w:rPr>
              <w:t>*</w:t>
            </w:r>
            <w:r>
              <w:rPr>
                <w:rFonts w:hint="eastAsia" w:eastAsia="宋体"/>
                <w:b w:val="0"/>
                <w:bCs/>
                <w:color w:val="000000" w:themeColor="text1"/>
                <w:kern w:val="0"/>
                <w:szCs w:val="24"/>
                <w:vertAlign w:val="superscript"/>
                <w14:textFill>
                  <w14:solidFill>
                    <w14:schemeClr w14:val="tx1"/>
                  </w14:solidFill>
                </w14:textFill>
              </w:rPr>
              <w:t>**</w:t>
            </w:r>
          </w:p>
        </w:tc>
        <w:tc>
          <w:tcPr>
            <w:tcW w:w="2127" w:type="dxa"/>
            <w:tcBorders>
              <w:top w:val="nil"/>
              <w:left w:val="nil"/>
              <w:bottom w:val="nil"/>
              <w:right w:val="nil"/>
            </w:tcBorders>
            <w:noWrap/>
            <w:vAlign w:val="center"/>
          </w:tcPr>
          <w:p w14:paraId="50CFA011">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0.645</w:t>
            </w:r>
          </w:p>
        </w:tc>
        <w:tc>
          <w:tcPr>
            <w:tcW w:w="1949" w:type="dxa"/>
            <w:tcBorders>
              <w:top w:val="nil"/>
              <w:left w:val="nil"/>
              <w:bottom w:val="nil"/>
              <w:right w:val="nil"/>
            </w:tcBorders>
            <w:noWrap/>
            <w:vAlign w:val="center"/>
          </w:tcPr>
          <w:p w14:paraId="483C7D8C">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0.785</w:t>
            </w:r>
          </w:p>
        </w:tc>
      </w:tr>
      <w:tr w14:paraId="3F90FDC9">
        <w:tblPrEx>
          <w:tblCellMar>
            <w:top w:w="0" w:type="dxa"/>
            <w:left w:w="108" w:type="dxa"/>
            <w:bottom w:w="0" w:type="dxa"/>
            <w:right w:w="108" w:type="dxa"/>
          </w:tblCellMar>
        </w:tblPrEx>
        <w:trPr>
          <w:trHeight w:val="315" w:hRule="atLeast"/>
          <w:jc w:val="center"/>
        </w:trPr>
        <w:tc>
          <w:tcPr>
            <w:tcW w:w="1310" w:type="dxa"/>
            <w:tcBorders>
              <w:top w:val="nil"/>
              <w:left w:val="nil"/>
              <w:bottom w:val="nil"/>
              <w:right w:val="nil"/>
            </w:tcBorders>
            <w:noWrap/>
            <w:vAlign w:val="center"/>
          </w:tcPr>
          <w:p w14:paraId="2031FC5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NLR</w:t>
            </w:r>
          </w:p>
        </w:tc>
        <w:tc>
          <w:tcPr>
            <w:tcW w:w="850" w:type="dxa"/>
            <w:tcBorders>
              <w:top w:val="nil"/>
              <w:left w:val="nil"/>
              <w:bottom w:val="nil"/>
              <w:right w:val="nil"/>
            </w:tcBorders>
            <w:noWrap/>
            <w:vAlign w:val="center"/>
          </w:tcPr>
          <w:p w14:paraId="38AB92C4">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0.510</w:t>
            </w:r>
          </w:p>
        </w:tc>
        <w:tc>
          <w:tcPr>
            <w:tcW w:w="1843" w:type="dxa"/>
            <w:tcBorders>
              <w:top w:val="nil"/>
              <w:left w:val="nil"/>
              <w:bottom w:val="nil"/>
              <w:right w:val="nil"/>
            </w:tcBorders>
            <w:noWrap/>
            <w:vAlign w:val="center"/>
          </w:tcPr>
          <w:p w14:paraId="292A4345">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0.075</w:t>
            </w:r>
          </w:p>
        </w:tc>
        <w:tc>
          <w:tcPr>
            <w:tcW w:w="2693" w:type="dxa"/>
            <w:tcBorders>
              <w:top w:val="nil"/>
              <w:left w:val="nil"/>
              <w:bottom w:val="nil"/>
              <w:right w:val="nil"/>
            </w:tcBorders>
            <w:noWrap/>
            <w:vAlign w:val="center"/>
          </w:tcPr>
          <w:p w14:paraId="55636E4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0.883</w:t>
            </w:r>
          </w:p>
        </w:tc>
        <w:tc>
          <w:tcPr>
            <w:tcW w:w="2127" w:type="dxa"/>
            <w:tcBorders>
              <w:top w:val="nil"/>
              <w:left w:val="nil"/>
              <w:bottom w:val="nil"/>
              <w:right w:val="nil"/>
            </w:tcBorders>
            <w:noWrap/>
            <w:vAlign w:val="center"/>
          </w:tcPr>
          <w:p w14:paraId="628A8D2E">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0.432</w:t>
            </w:r>
          </w:p>
        </w:tc>
        <w:tc>
          <w:tcPr>
            <w:tcW w:w="1949" w:type="dxa"/>
            <w:tcBorders>
              <w:top w:val="nil"/>
              <w:left w:val="nil"/>
              <w:bottom w:val="nil"/>
              <w:right w:val="nil"/>
            </w:tcBorders>
            <w:noWrap/>
            <w:vAlign w:val="center"/>
          </w:tcPr>
          <w:p w14:paraId="7857136C">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0.587</w:t>
            </w:r>
          </w:p>
        </w:tc>
      </w:tr>
      <w:tr w14:paraId="7DCAB925">
        <w:tblPrEx>
          <w:tblCellMar>
            <w:top w:w="0" w:type="dxa"/>
            <w:left w:w="108" w:type="dxa"/>
            <w:bottom w:w="0" w:type="dxa"/>
            <w:right w:w="108" w:type="dxa"/>
          </w:tblCellMar>
        </w:tblPrEx>
        <w:trPr>
          <w:trHeight w:val="323" w:hRule="atLeast"/>
          <w:jc w:val="center"/>
        </w:trPr>
        <w:tc>
          <w:tcPr>
            <w:tcW w:w="1310" w:type="dxa"/>
            <w:tcBorders>
              <w:top w:val="nil"/>
              <w:left w:val="nil"/>
              <w:right w:val="nil"/>
            </w:tcBorders>
            <w:noWrap/>
            <w:vAlign w:val="center"/>
          </w:tcPr>
          <w:p w14:paraId="3864E30F">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PLR</w:t>
            </w:r>
          </w:p>
        </w:tc>
        <w:tc>
          <w:tcPr>
            <w:tcW w:w="850" w:type="dxa"/>
            <w:tcBorders>
              <w:top w:val="nil"/>
              <w:left w:val="nil"/>
              <w:right w:val="nil"/>
            </w:tcBorders>
            <w:noWrap/>
            <w:vAlign w:val="center"/>
          </w:tcPr>
          <w:p w14:paraId="11678487">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0.530</w:t>
            </w:r>
          </w:p>
        </w:tc>
        <w:tc>
          <w:tcPr>
            <w:tcW w:w="1843" w:type="dxa"/>
            <w:tcBorders>
              <w:top w:val="nil"/>
              <w:left w:val="nil"/>
              <w:right w:val="nil"/>
            </w:tcBorders>
            <w:noWrap/>
            <w:vAlign w:val="center"/>
          </w:tcPr>
          <w:p w14:paraId="4B53ECDC">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0.066</w:t>
            </w:r>
          </w:p>
        </w:tc>
        <w:tc>
          <w:tcPr>
            <w:tcW w:w="2693" w:type="dxa"/>
            <w:tcBorders>
              <w:top w:val="nil"/>
              <w:left w:val="nil"/>
              <w:right w:val="nil"/>
            </w:tcBorders>
            <w:noWrap/>
            <w:vAlign w:val="center"/>
          </w:tcPr>
          <w:p w14:paraId="6DB28824">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0.647</w:t>
            </w:r>
          </w:p>
        </w:tc>
        <w:tc>
          <w:tcPr>
            <w:tcW w:w="2127" w:type="dxa"/>
            <w:tcBorders>
              <w:top w:val="nil"/>
              <w:left w:val="nil"/>
              <w:right w:val="nil"/>
            </w:tcBorders>
            <w:noWrap/>
            <w:vAlign w:val="center"/>
          </w:tcPr>
          <w:p w14:paraId="751DAD35">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0.452</w:t>
            </w:r>
          </w:p>
        </w:tc>
        <w:tc>
          <w:tcPr>
            <w:tcW w:w="1949" w:type="dxa"/>
            <w:tcBorders>
              <w:top w:val="nil"/>
              <w:left w:val="nil"/>
              <w:right w:val="nil"/>
            </w:tcBorders>
            <w:noWrap/>
            <w:vAlign w:val="center"/>
          </w:tcPr>
          <w:p w14:paraId="0E8ACC42">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0.607</w:t>
            </w:r>
          </w:p>
        </w:tc>
      </w:tr>
      <w:tr w14:paraId="4EABF7C8">
        <w:tblPrEx>
          <w:tblCellMar>
            <w:top w:w="0" w:type="dxa"/>
            <w:left w:w="108" w:type="dxa"/>
            <w:bottom w:w="0" w:type="dxa"/>
            <w:right w:w="108" w:type="dxa"/>
          </w:tblCellMar>
        </w:tblPrEx>
        <w:trPr>
          <w:trHeight w:val="323" w:hRule="atLeast"/>
          <w:jc w:val="center"/>
        </w:trPr>
        <w:tc>
          <w:tcPr>
            <w:tcW w:w="1310" w:type="dxa"/>
            <w:tcBorders>
              <w:top w:val="nil"/>
              <w:left w:val="nil"/>
              <w:bottom w:val="single" w:color="auto" w:sz="12" w:space="0"/>
              <w:right w:val="nil"/>
            </w:tcBorders>
            <w:noWrap/>
            <w:vAlign w:val="center"/>
          </w:tcPr>
          <w:p w14:paraId="652DB0F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LMR</w:t>
            </w:r>
          </w:p>
        </w:tc>
        <w:tc>
          <w:tcPr>
            <w:tcW w:w="850" w:type="dxa"/>
            <w:tcBorders>
              <w:top w:val="nil"/>
              <w:left w:val="nil"/>
              <w:bottom w:val="single" w:color="auto" w:sz="12" w:space="0"/>
              <w:right w:val="nil"/>
            </w:tcBorders>
            <w:noWrap/>
            <w:vAlign w:val="center"/>
          </w:tcPr>
          <w:p w14:paraId="24EB86C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0.548</w:t>
            </w:r>
          </w:p>
        </w:tc>
        <w:tc>
          <w:tcPr>
            <w:tcW w:w="1843" w:type="dxa"/>
            <w:tcBorders>
              <w:top w:val="nil"/>
              <w:left w:val="nil"/>
              <w:bottom w:val="single" w:color="auto" w:sz="12" w:space="0"/>
              <w:right w:val="nil"/>
            </w:tcBorders>
            <w:noWrap/>
            <w:vAlign w:val="center"/>
          </w:tcPr>
          <w:p w14:paraId="7A9EEC04">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0.067</w:t>
            </w:r>
          </w:p>
        </w:tc>
        <w:tc>
          <w:tcPr>
            <w:tcW w:w="2693" w:type="dxa"/>
            <w:tcBorders>
              <w:top w:val="nil"/>
              <w:left w:val="nil"/>
              <w:bottom w:val="single" w:color="auto" w:sz="12" w:space="0"/>
              <w:right w:val="nil"/>
            </w:tcBorders>
            <w:noWrap/>
            <w:vAlign w:val="center"/>
          </w:tcPr>
          <w:p w14:paraId="3DD1403A">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0.463</w:t>
            </w:r>
          </w:p>
        </w:tc>
        <w:tc>
          <w:tcPr>
            <w:tcW w:w="2127" w:type="dxa"/>
            <w:tcBorders>
              <w:top w:val="nil"/>
              <w:left w:val="nil"/>
              <w:bottom w:val="single" w:color="auto" w:sz="12" w:space="0"/>
              <w:right w:val="nil"/>
            </w:tcBorders>
            <w:noWrap/>
            <w:vAlign w:val="center"/>
          </w:tcPr>
          <w:p w14:paraId="1F99C4C4">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0.469</w:t>
            </w:r>
          </w:p>
        </w:tc>
        <w:tc>
          <w:tcPr>
            <w:tcW w:w="1949" w:type="dxa"/>
            <w:tcBorders>
              <w:top w:val="nil"/>
              <w:left w:val="nil"/>
              <w:bottom w:val="single" w:color="auto" w:sz="12" w:space="0"/>
              <w:right w:val="nil"/>
            </w:tcBorders>
            <w:noWrap/>
            <w:vAlign w:val="center"/>
          </w:tcPr>
          <w:p w14:paraId="691E68EB">
            <w:pPr>
              <w:spacing w:after="0" w:line="360" w:lineRule="auto"/>
              <w:ind w:left="0" w:firstLine="0"/>
              <w:jc w:val="both"/>
              <w:rPr>
                <w:rFonts w:eastAsia="宋体"/>
                <w:b w:val="0"/>
                <w:bCs/>
                <w:color w:val="000000" w:themeColor="text1"/>
                <w:kern w:val="0"/>
                <w:szCs w:val="24"/>
                <w14:textFill>
                  <w14:solidFill>
                    <w14:schemeClr w14:val="tx1"/>
                  </w14:solidFill>
                </w14:textFill>
              </w:rPr>
            </w:pPr>
            <w:r>
              <w:rPr>
                <w:rFonts w:eastAsia="宋体"/>
                <w:b w:val="0"/>
                <w:bCs/>
                <w:color w:val="000000" w:themeColor="text1"/>
                <w:kern w:val="0"/>
                <w:szCs w:val="24"/>
                <w14:textFill>
                  <w14:solidFill>
                    <w14:schemeClr w14:val="tx1"/>
                  </w14:solidFill>
                </w14:textFill>
              </w:rPr>
              <w:t>0.624</w:t>
            </w:r>
          </w:p>
        </w:tc>
      </w:tr>
    </w:tbl>
    <w:p w14:paraId="364D8986">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 P&lt;0.001.</w:t>
      </w:r>
    </w:p>
    <w:p w14:paraId="57A1B9A9">
      <w:pPr>
        <w:spacing w:after="0" w:line="360" w:lineRule="auto"/>
        <w:ind w:left="0" w:firstLine="0"/>
        <w:jc w:val="both"/>
        <w:rPr>
          <w:rFonts w:eastAsiaTheme="minorEastAsia"/>
          <w:b w:val="0"/>
          <w:bCs/>
          <w:color w:val="000000" w:themeColor="text1"/>
          <w14:textFill>
            <w14:solidFill>
              <w14:schemeClr w14:val="tx1"/>
            </w14:solidFill>
          </w14:textFill>
        </w:rPr>
      </w:pPr>
    </w:p>
    <w:p w14:paraId="725C7C6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Table S5  Comparison of the incidence of common irAEs between Group A and Group C patient</w:t>
      </w:r>
    </w:p>
    <w:tbl>
      <w:tblPr>
        <w:tblStyle w:val="12"/>
        <w:tblW w:w="0" w:type="auto"/>
        <w:jc w:val="center"/>
        <w:tblLayout w:type="autofit"/>
        <w:tblCellMar>
          <w:top w:w="57" w:type="dxa"/>
          <w:left w:w="0" w:type="dxa"/>
          <w:bottom w:w="57" w:type="dxa"/>
          <w:right w:w="49" w:type="dxa"/>
        </w:tblCellMar>
      </w:tblPr>
      <w:tblGrid>
        <w:gridCol w:w="3337"/>
        <w:gridCol w:w="1049"/>
        <w:gridCol w:w="883"/>
        <w:gridCol w:w="1669"/>
        <w:gridCol w:w="769"/>
      </w:tblGrid>
      <w:tr w14:paraId="11C02D62">
        <w:tblPrEx>
          <w:tblCellMar>
            <w:top w:w="57" w:type="dxa"/>
            <w:left w:w="0" w:type="dxa"/>
            <w:bottom w:w="57" w:type="dxa"/>
            <w:right w:w="49" w:type="dxa"/>
          </w:tblCellMar>
        </w:tblPrEx>
        <w:trPr>
          <w:jc w:val="center"/>
        </w:trPr>
        <w:tc>
          <w:tcPr>
            <w:tcW w:w="0" w:type="auto"/>
            <w:vMerge w:val="restart"/>
            <w:tcBorders>
              <w:top w:val="single" w:color="000000" w:sz="12" w:space="0"/>
              <w:left w:val="nil"/>
              <w:right w:val="nil"/>
            </w:tcBorders>
            <w:vAlign w:val="center"/>
          </w:tcPr>
          <w:p w14:paraId="611C9C55">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Adverse reactions </w:t>
            </w:r>
          </w:p>
        </w:tc>
        <w:tc>
          <w:tcPr>
            <w:tcW w:w="0" w:type="auto"/>
            <w:tcBorders>
              <w:top w:val="single" w:color="000000" w:sz="12" w:space="0"/>
              <w:left w:val="nil"/>
              <w:bottom w:val="nil"/>
              <w:right w:val="nil"/>
            </w:tcBorders>
            <w:vAlign w:val="center"/>
          </w:tcPr>
          <w:p w14:paraId="21A655E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Group A</w:t>
            </w:r>
          </w:p>
        </w:tc>
        <w:tc>
          <w:tcPr>
            <w:tcW w:w="0" w:type="auto"/>
            <w:tcBorders>
              <w:top w:val="single" w:color="000000" w:sz="12" w:space="0"/>
              <w:left w:val="nil"/>
              <w:bottom w:val="nil"/>
              <w:right w:val="nil"/>
            </w:tcBorders>
            <w:vAlign w:val="center"/>
          </w:tcPr>
          <w:p w14:paraId="053A3D69">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Group C</w:t>
            </w:r>
          </w:p>
        </w:tc>
        <w:tc>
          <w:tcPr>
            <w:tcW w:w="0" w:type="auto"/>
            <w:vMerge w:val="restart"/>
            <w:tcBorders>
              <w:top w:val="single" w:color="000000" w:sz="12" w:space="0"/>
              <w:left w:val="nil"/>
              <w:right w:val="nil"/>
            </w:tcBorders>
            <w:vAlign w:val="center"/>
          </w:tcPr>
          <w:p w14:paraId="2652AB5B">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Statistical values</w:t>
            </w:r>
          </w:p>
        </w:tc>
        <w:tc>
          <w:tcPr>
            <w:tcW w:w="0" w:type="auto"/>
            <w:vMerge w:val="restart"/>
            <w:tcBorders>
              <w:top w:val="single" w:color="000000" w:sz="12" w:space="0"/>
              <w:left w:val="nil"/>
              <w:right w:val="nil"/>
            </w:tcBorders>
            <w:vAlign w:val="center"/>
          </w:tcPr>
          <w:p w14:paraId="4C847D1A">
            <w:pPr>
              <w:spacing w:after="0" w:line="360" w:lineRule="auto"/>
              <w:ind w:left="0" w:firstLine="0"/>
              <w:jc w:val="both"/>
              <w:rPr>
                <w:b w:val="0"/>
                <w:bCs/>
                <w:color w:val="000000" w:themeColor="text1"/>
                <w14:textFill>
                  <w14:solidFill>
                    <w14:schemeClr w14:val="tx1"/>
                  </w14:solidFill>
                </w14:textFill>
              </w:rPr>
            </w:pPr>
            <w:r>
              <w:rPr>
                <w:b w:val="0"/>
                <w:bCs/>
                <w:i/>
                <w:color w:val="000000" w:themeColor="text1"/>
                <w14:textFill>
                  <w14:solidFill>
                    <w14:schemeClr w14:val="tx1"/>
                  </w14:solidFill>
                </w14:textFill>
              </w:rPr>
              <w:t>p</w:t>
            </w:r>
            <w:r>
              <w:rPr>
                <w:b w:val="0"/>
                <w:bCs/>
                <w:color w:val="000000" w:themeColor="text1"/>
                <w14:textFill>
                  <w14:solidFill>
                    <w14:schemeClr w14:val="tx1"/>
                  </w14:solidFill>
                </w14:textFill>
              </w:rPr>
              <w:t>-value</w:t>
            </w:r>
          </w:p>
        </w:tc>
      </w:tr>
      <w:tr w14:paraId="53C251E0">
        <w:tblPrEx>
          <w:tblCellMar>
            <w:top w:w="57" w:type="dxa"/>
            <w:left w:w="0" w:type="dxa"/>
            <w:bottom w:w="57" w:type="dxa"/>
            <w:right w:w="49" w:type="dxa"/>
          </w:tblCellMar>
        </w:tblPrEx>
        <w:trPr>
          <w:jc w:val="center"/>
        </w:trPr>
        <w:tc>
          <w:tcPr>
            <w:tcW w:w="0" w:type="auto"/>
            <w:vMerge w:val="continue"/>
            <w:tcBorders>
              <w:left w:val="nil"/>
              <w:bottom w:val="single" w:color="000000" w:sz="12" w:space="0"/>
              <w:right w:val="nil"/>
            </w:tcBorders>
            <w:vAlign w:val="center"/>
          </w:tcPr>
          <w:p w14:paraId="1499C166">
            <w:pPr>
              <w:spacing w:after="0" w:line="360" w:lineRule="auto"/>
              <w:ind w:left="0" w:firstLine="0"/>
              <w:jc w:val="both"/>
              <w:rPr>
                <w:b w:val="0"/>
                <w:bCs/>
                <w:color w:val="000000" w:themeColor="text1"/>
                <w14:textFill>
                  <w14:solidFill>
                    <w14:schemeClr w14:val="tx1"/>
                  </w14:solidFill>
                </w14:textFill>
              </w:rPr>
            </w:pPr>
          </w:p>
        </w:tc>
        <w:tc>
          <w:tcPr>
            <w:tcW w:w="0" w:type="auto"/>
            <w:tcBorders>
              <w:top w:val="nil"/>
              <w:left w:val="nil"/>
              <w:bottom w:val="single" w:color="000000" w:sz="12" w:space="0"/>
              <w:right w:val="nil"/>
            </w:tcBorders>
            <w:vAlign w:val="center"/>
          </w:tcPr>
          <w:p w14:paraId="699D33C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(n=106)</w:t>
            </w:r>
          </w:p>
        </w:tc>
        <w:tc>
          <w:tcPr>
            <w:tcW w:w="0" w:type="auto"/>
            <w:tcBorders>
              <w:top w:val="nil"/>
              <w:left w:val="nil"/>
              <w:bottom w:val="single" w:color="000000" w:sz="12" w:space="0"/>
              <w:right w:val="nil"/>
            </w:tcBorders>
            <w:vAlign w:val="center"/>
          </w:tcPr>
          <w:p w14:paraId="4ED75AD0">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(n=43)</w:t>
            </w:r>
          </w:p>
        </w:tc>
        <w:tc>
          <w:tcPr>
            <w:tcW w:w="0" w:type="auto"/>
            <w:vMerge w:val="continue"/>
            <w:tcBorders>
              <w:left w:val="nil"/>
              <w:bottom w:val="single" w:color="000000" w:sz="12" w:space="0"/>
              <w:right w:val="nil"/>
            </w:tcBorders>
            <w:vAlign w:val="center"/>
          </w:tcPr>
          <w:p w14:paraId="36C3C663">
            <w:pPr>
              <w:spacing w:after="0" w:line="360" w:lineRule="auto"/>
              <w:ind w:left="0" w:firstLine="0"/>
              <w:jc w:val="both"/>
              <w:rPr>
                <w:b w:val="0"/>
                <w:bCs/>
                <w:color w:val="000000" w:themeColor="text1"/>
                <w14:textFill>
                  <w14:solidFill>
                    <w14:schemeClr w14:val="tx1"/>
                  </w14:solidFill>
                </w14:textFill>
              </w:rPr>
            </w:pPr>
          </w:p>
        </w:tc>
        <w:tc>
          <w:tcPr>
            <w:tcW w:w="0" w:type="auto"/>
            <w:vMerge w:val="continue"/>
            <w:tcBorders>
              <w:left w:val="nil"/>
              <w:bottom w:val="single" w:color="000000" w:sz="12" w:space="0"/>
              <w:right w:val="nil"/>
            </w:tcBorders>
            <w:vAlign w:val="center"/>
          </w:tcPr>
          <w:p w14:paraId="0F9EA23A">
            <w:pPr>
              <w:spacing w:after="0" w:line="360" w:lineRule="auto"/>
              <w:ind w:left="0" w:firstLine="0"/>
              <w:jc w:val="both"/>
              <w:rPr>
                <w:b w:val="0"/>
                <w:bCs/>
                <w:color w:val="000000" w:themeColor="text1"/>
                <w14:textFill>
                  <w14:solidFill>
                    <w14:schemeClr w14:val="tx1"/>
                  </w14:solidFill>
                </w14:textFill>
              </w:rPr>
            </w:pPr>
          </w:p>
        </w:tc>
      </w:tr>
      <w:tr w14:paraId="46428BC4">
        <w:tblPrEx>
          <w:tblCellMar>
            <w:top w:w="57" w:type="dxa"/>
            <w:left w:w="0" w:type="dxa"/>
            <w:bottom w:w="57" w:type="dxa"/>
            <w:right w:w="49" w:type="dxa"/>
          </w:tblCellMar>
        </w:tblPrEx>
        <w:trPr>
          <w:jc w:val="center"/>
        </w:trPr>
        <w:tc>
          <w:tcPr>
            <w:tcW w:w="0" w:type="auto"/>
            <w:tcBorders>
              <w:top w:val="single" w:color="000000" w:sz="12" w:space="0"/>
              <w:left w:val="nil"/>
              <w:bottom w:val="nil"/>
              <w:right w:val="nil"/>
            </w:tcBorders>
            <w:vAlign w:val="center"/>
          </w:tcPr>
          <w:p w14:paraId="60CBF12A">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Dermatitis </w:t>
            </w:r>
            <w:r>
              <w:rPr>
                <w:rFonts w:eastAsia="宋体"/>
                <w:b w:val="0"/>
                <w:bCs/>
                <w:color w:val="000000" w:themeColor="text1"/>
                <w14:textFill>
                  <w14:solidFill>
                    <w14:schemeClr w14:val="tx1"/>
                  </w14:solidFill>
                </w14:textFill>
              </w:rPr>
              <w:t>, n (%)</w:t>
            </w:r>
          </w:p>
        </w:tc>
        <w:tc>
          <w:tcPr>
            <w:tcW w:w="0" w:type="auto"/>
            <w:tcBorders>
              <w:top w:val="single" w:color="000000" w:sz="12" w:space="0"/>
              <w:left w:val="nil"/>
              <w:bottom w:val="nil"/>
              <w:right w:val="nil"/>
            </w:tcBorders>
            <w:vAlign w:val="center"/>
          </w:tcPr>
          <w:p w14:paraId="0AEFBC9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20</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(18.87)</w:t>
            </w:r>
          </w:p>
        </w:tc>
        <w:tc>
          <w:tcPr>
            <w:tcW w:w="0" w:type="auto"/>
            <w:tcBorders>
              <w:top w:val="single" w:color="000000" w:sz="12" w:space="0"/>
              <w:left w:val="nil"/>
              <w:bottom w:val="nil"/>
              <w:right w:val="nil"/>
            </w:tcBorders>
            <w:vAlign w:val="center"/>
          </w:tcPr>
          <w:p w14:paraId="2A22A8A6">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3</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(6.98)</w:t>
            </w:r>
          </w:p>
        </w:tc>
        <w:tc>
          <w:tcPr>
            <w:tcW w:w="0" w:type="auto"/>
            <w:tcBorders>
              <w:top w:val="single" w:color="000000" w:sz="12" w:space="0"/>
              <w:left w:val="nil"/>
              <w:bottom w:val="nil"/>
              <w:right w:val="nil"/>
            </w:tcBorders>
            <w:vAlign w:val="center"/>
          </w:tcPr>
          <w:p w14:paraId="0EACC033">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3.314</w:t>
            </w:r>
          </w:p>
        </w:tc>
        <w:tc>
          <w:tcPr>
            <w:tcW w:w="0" w:type="auto"/>
            <w:tcBorders>
              <w:top w:val="single" w:color="000000" w:sz="12" w:space="0"/>
              <w:left w:val="nil"/>
              <w:bottom w:val="nil"/>
              <w:right w:val="nil"/>
            </w:tcBorders>
            <w:vAlign w:val="center"/>
          </w:tcPr>
          <w:p w14:paraId="14561A7B">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0.069</w:t>
            </w:r>
          </w:p>
        </w:tc>
      </w:tr>
      <w:tr w14:paraId="2B5EBB63">
        <w:tblPrEx>
          <w:tblCellMar>
            <w:top w:w="57" w:type="dxa"/>
            <w:left w:w="0" w:type="dxa"/>
            <w:bottom w:w="57" w:type="dxa"/>
            <w:right w:w="49" w:type="dxa"/>
          </w:tblCellMar>
        </w:tblPrEx>
        <w:trPr>
          <w:jc w:val="center"/>
        </w:trPr>
        <w:tc>
          <w:tcPr>
            <w:tcW w:w="0" w:type="auto"/>
            <w:tcBorders>
              <w:top w:val="nil"/>
              <w:left w:val="nil"/>
              <w:bottom w:val="nil"/>
              <w:right w:val="nil"/>
            </w:tcBorders>
            <w:vAlign w:val="center"/>
          </w:tcPr>
          <w:p w14:paraId="01F8C90E">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Thyroid dysfunction </w:t>
            </w:r>
            <w:r>
              <w:rPr>
                <w:rFonts w:eastAsia="宋体"/>
                <w:b w:val="0"/>
                <w:bCs/>
                <w:color w:val="000000" w:themeColor="text1"/>
                <w14:textFill>
                  <w14:solidFill>
                    <w14:schemeClr w14:val="tx1"/>
                  </w14:solidFill>
                </w14:textFill>
              </w:rPr>
              <w:t>, n (%)</w:t>
            </w:r>
          </w:p>
        </w:tc>
        <w:tc>
          <w:tcPr>
            <w:tcW w:w="0" w:type="auto"/>
            <w:tcBorders>
              <w:top w:val="nil"/>
              <w:left w:val="nil"/>
              <w:bottom w:val="nil"/>
              <w:right w:val="nil"/>
            </w:tcBorders>
            <w:vAlign w:val="center"/>
          </w:tcPr>
          <w:p w14:paraId="4045D250">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11</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(10.38)</w:t>
            </w:r>
          </w:p>
        </w:tc>
        <w:tc>
          <w:tcPr>
            <w:tcW w:w="0" w:type="auto"/>
            <w:tcBorders>
              <w:top w:val="nil"/>
              <w:left w:val="nil"/>
              <w:bottom w:val="nil"/>
              <w:right w:val="nil"/>
            </w:tcBorders>
            <w:vAlign w:val="center"/>
          </w:tcPr>
          <w:p w14:paraId="51A211B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4</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(9.30)</w:t>
            </w:r>
          </w:p>
        </w:tc>
        <w:tc>
          <w:tcPr>
            <w:tcW w:w="0" w:type="auto"/>
            <w:tcBorders>
              <w:top w:val="nil"/>
              <w:left w:val="nil"/>
              <w:bottom w:val="nil"/>
              <w:right w:val="nil"/>
            </w:tcBorders>
            <w:vAlign w:val="center"/>
          </w:tcPr>
          <w:p w14:paraId="518DA0D8">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0.039</w:t>
            </w:r>
          </w:p>
        </w:tc>
        <w:tc>
          <w:tcPr>
            <w:tcW w:w="0" w:type="auto"/>
            <w:tcBorders>
              <w:top w:val="nil"/>
              <w:left w:val="nil"/>
              <w:bottom w:val="nil"/>
              <w:right w:val="nil"/>
            </w:tcBorders>
            <w:vAlign w:val="center"/>
          </w:tcPr>
          <w:p w14:paraId="41606DB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0.843</w:t>
            </w:r>
          </w:p>
        </w:tc>
      </w:tr>
      <w:tr w14:paraId="22B39D4D">
        <w:tblPrEx>
          <w:tblCellMar>
            <w:top w:w="57" w:type="dxa"/>
            <w:left w:w="0" w:type="dxa"/>
            <w:bottom w:w="57" w:type="dxa"/>
            <w:right w:w="49" w:type="dxa"/>
          </w:tblCellMar>
        </w:tblPrEx>
        <w:trPr>
          <w:jc w:val="center"/>
        </w:trPr>
        <w:tc>
          <w:tcPr>
            <w:tcW w:w="0" w:type="auto"/>
            <w:tcBorders>
              <w:top w:val="nil"/>
              <w:left w:val="nil"/>
              <w:bottom w:val="nil"/>
              <w:right w:val="nil"/>
            </w:tcBorders>
            <w:vAlign w:val="center"/>
          </w:tcPr>
          <w:p w14:paraId="6C4782A1">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Pneumonia </w:t>
            </w:r>
            <w:r>
              <w:rPr>
                <w:rFonts w:eastAsia="宋体"/>
                <w:b w:val="0"/>
                <w:bCs/>
                <w:color w:val="000000" w:themeColor="text1"/>
                <w14:textFill>
                  <w14:solidFill>
                    <w14:schemeClr w14:val="tx1"/>
                  </w14:solidFill>
                </w14:textFill>
              </w:rPr>
              <w:t>, n (%)</w:t>
            </w:r>
          </w:p>
        </w:tc>
        <w:tc>
          <w:tcPr>
            <w:tcW w:w="0" w:type="auto"/>
            <w:tcBorders>
              <w:top w:val="nil"/>
              <w:left w:val="nil"/>
              <w:bottom w:val="nil"/>
              <w:right w:val="nil"/>
            </w:tcBorders>
            <w:vAlign w:val="center"/>
          </w:tcPr>
          <w:p w14:paraId="0E6B4723">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11</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(10.38)</w:t>
            </w:r>
          </w:p>
        </w:tc>
        <w:tc>
          <w:tcPr>
            <w:tcW w:w="0" w:type="auto"/>
            <w:tcBorders>
              <w:top w:val="nil"/>
              <w:left w:val="nil"/>
              <w:bottom w:val="nil"/>
              <w:right w:val="nil"/>
            </w:tcBorders>
            <w:vAlign w:val="center"/>
          </w:tcPr>
          <w:p w14:paraId="4494CBE0">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1</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(2.32)</w:t>
            </w:r>
          </w:p>
        </w:tc>
        <w:tc>
          <w:tcPr>
            <w:tcW w:w="0" w:type="auto"/>
            <w:tcBorders>
              <w:top w:val="nil"/>
              <w:left w:val="nil"/>
              <w:bottom w:val="nil"/>
              <w:right w:val="nil"/>
            </w:tcBorders>
            <w:vAlign w:val="center"/>
          </w:tcPr>
          <w:p w14:paraId="1B5E392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2.678</w:t>
            </w:r>
          </w:p>
        </w:tc>
        <w:tc>
          <w:tcPr>
            <w:tcW w:w="0" w:type="auto"/>
            <w:tcBorders>
              <w:top w:val="nil"/>
              <w:left w:val="nil"/>
              <w:bottom w:val="nil"/>
              <w:right w:val="nil"/>
            </w:tcBorders>
            <w:vAlign w:val="center"/>
          </w:tcPr>
          <w:p w14:paraId="08C257EC">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0.102</w:t>
            </w:r>
          </w:p>
        </w:tc>
      </w:tr>
      <w:tr w14:paraId="5E375AC8">
        <w:tblPrEx>
          <w:tblCellMar>
            <w:top w:w="57" w:type="dxa"/>
            <w:left w:w="0" w:type="dxa"/>
            <w:bottom w:w="57" w:type="dxa"/>
            <w:right w:w="49" w:type="dxa"/>
          </w:tblCellMar>
        </w:tblPrEx>
        <w:trPr>
          <w:jc w:val="center"/>
        </w:trPr>
        <w:tc>
          <w:tcPr>
            <w:tcW w:w="0" w:type="auto"/>
            <w:tcBorders>
              <w:top w:val="nil"/>
              <w:left w:val="nil"/>
              <w:bottom w:val="nil"/>
              <w:right w:val="nil"/>
            </w:tcBorders>
            <w:vAlign w:val="center"/>
          </w:tcPr>
          <w:p w14:paraId="5FA65F06">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Capillary proliferation </w:t>
            </w:r>
            <w:r>
              <w:rPr>
                <w:rFonts w:eastAsia="宋体"/>
                <w:b w:val="0"/>
                <w:bCs/>
                <w:color w:val="000000" w:themeColor="text1"/>
                <w14:textFill>
                  <w14:solidFill>
                    <w14:schemeClr w14:val="tx1"/>
                  </w14:solidFill>
                </w14:textFill>
              </w:rPr>
              <w:t>, n (%)</w:t>
            </w:r>
          </w:p>
        </w:tc>
        <w:tc>
          <w:tcPr>
            <w:tcW w:w="0" w:type="auto"/>
            <w:tcBorders>
              <w:top w:val="nil"/>
              <w:left w:val="nil"/>
              <w:bottom w:val="nil"/>
              <w:right w:val="nil"/>
            </w:tcBorders>
            <w:vAlign w:val="center"/>
          </w:tcPr>
          <w:p w14:paraId="0C985109">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4</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(3.77)</w:t>
            </w:r>
          </w:p>
        </w:tc>
        <w:tc>
          <w:tcPr>
            <w:tcW w:w="0" w:type="auto"/>
            <w:tcBorders>
              <w:top w:val="nil"/>
              <w:left w:val="nil"/>
              <w:bottom w:val="nil"/>
              <w:right w:val="nil"/>
            </w:tcBorders>
            <w:vAlign w:val="center"/>
          </w:tcPr>
          <w:p w14:paraId="4A69704E">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(0.00)</w:t>
            </w:r>
          </w:p>
        </w:tc>
        <w:tc>
          <w:tcPr>
            <w:tcW w:w="0" w:type="auto"/>
            <w:tcBorders>
              <w:top w:val="nil"/>
              <w:left w:val="nil"/>
              <w:bottom w:val="nil"/>
              <w:right w:val="nil"/>
            </w:tcBorders>
            <w:vAlign w:val="center"/>
          </w:tcPr>
          <w:p w14:paraId="4A06365A">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0.010</w:t>
            </w:r>
          </w:p>
        </w:tc>
        <w:tc>
          <w:tcPr>
            <w:tcW w:w="0" w:type="auto"/>
            <w:tcBorders>
              <w:top w:val="nil"/>
              <w:left w:val="nil"/>
              <w:bottom w:val="nil"/>
              <w:right w:val="nil"/>
            </w:tcBorders>
            <w:vAlign w:val="center"/>
          </w:tcPr>
          <w:p w14:paraId="6B60089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0.986</w:t>
            </w:r>
          </w:p>
        </w:tc>
      </w:tr>
      <w:tr w14:paraId="1FFB10DA">
        <w:tblPrEx>
          <w:tblCellMar>
            <w:top w:w="57" w:type="dxa"/>
            <w:left w:w="0" w:type="dxa"/>
            <w:bottom w:w="57" w:type="dxa"/>
            <w:right w:w="49" w:type="dxa"/>
          </w:tblCellMar>
        </w:tblPrEx>
        <w:trPr>
          <w:jc w:val="center"/>
        </w:trPr>
        <w:tc>
          <w:tcPr>
            <w:tcW w:w="0" w:type="auto"/>
            <w:tcBorders>
              <w:top w:val="nil"/>
              <w:left w:val="nil"/>
              <w:bottom w:val="nil"/>
              <w:right w:val="nil"/>
            </w:tcBorders>
            <w:vAlign w:val="center"/>
          </w:tcPr>
          <w:p w14:paraId="0CA28C4B">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Fever </w:t>
            </w:r>
            <w:r>
              <w:rPr>
                <w:rFonts w:eastAsia="宋体"/>
                <w:b w:val="0"/>
                <w:bCs/>
                <w:color w:val="000000" w:themeColor="text1"/>
                <w14:textFill>
                  <w14:solidFill>
                    <w14:schemeClr w14:val="tx1"/>
                  </w14:solidFill>
                </w14:textFill>
              </w:rPr>
              <w:t>, n (%)</w:t>
            </w:r>
          </w:p>
        </w:tc>
        <w:tc>
          <w:tcPr>
            <w:tcW w:w="0" w:type="auto"/>
            <w:tcBorders>
              <w:top w:val="nil"/>
              <w:left w:val="nil"/>
              <w:bottom w:val="nil"/>
              <w:right w:val="nil"/>
            </w:tcBorders>
            <w:vAlign w:val="center"/>
          </w:tcPr>
          <w:p w14:paraId="52ECC05C">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3</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(2.83)</w:t>
            </w:r>
          </w:p>
        </w:tc>
        <w:tc>
          <w:tcPr>
            <w:tcW w:w="0" w:type="auto"/>
            <w:tcBorders>
              <w:top w:val="nil"/>
              <w:left w:val="nil"/>
              <w:bottom w:val="nil"/>
              <w:right w:val="nil"/>
            </w:tcBorders>
            <w:vAlign w:val="center"/>
          </w:tcPr>
          <w:p w14:paraId="5F9C5C37">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3</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(6.98)</w:t>
            </w:r>
          </w:p>
        </w:tc>
        <w:tc>
          <w:tcPr>
            <w:tcW w:w="0" w:type="auto"/>
            <w:tcBorders>
              <w:top w:val="nil"/>
              <w:left w:val="nil"/>
              <w:bottom w:val="nil"/>
              <w:right w:val="nil"/>
            </w:tcBorders>
            <w:vAlign w:val="center"/>
          </w:tcPr>
          <w:p w14:paraId="0C8A9F2C">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0.500</w:t>
            </w:r>
          </w:p>
        </w:tc>
        <w:tc>
          <w:tcPr>
            <w:tcW w:w="0" w:type="auto"/>
            <w:tcBorders>
              <w:top w:val="nil"/>
              <w:left w:val="nil"/>
              <w:bottom w:val="nil"/>
              <w:right w:val="nil"/>
            </w:tcBorders>
            <w:vAlign w:val="center"/>
          </w:tcPr>
          <w:p w14:paraId="3D0911C2">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0.480</w:t>
            </w:r>
          </w:p>
        </w:tc>
      </w:tr>
      <w:tr w14:paraId="2ED67FB4">
        <w:tblPrEx>
          <w:tblCellMar>
            <w:top w:w="57" w:type="dxa"/>
            <w:left w:w="0" w:type="dxa"/>
            <w:bottom w:w="57" w:type="dxa"/>
            <w:right w:w="49" w:type="dxa"/>
          </w:tblCellMar>
        </w:tblPrEx>
        <w:trPr>
          <w:jc w:val="center"/>
        </w:trPr>
        <w:tc>
          <w:tcPr>
            <w:tcW w:w="0" w:type="auto"/>
            <w:tcBorders>
              <w:top w:val="nil"/>
              <w:left w:val="nil"/>
              <w:bottom w:val="nil"/>
              <w:right w:val="nil"/>
            </w:tcBorders>
            <w:vAlign w:val="center"/>
          </w:tcPr>
          <w:p w14:paraId="7DC238B5">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Gastrointestinal reactions </w:t>
            </w:r>
            <w:r>
              <w:rPr>
                <w:rFonts w:eastAsia="宋体"/>
                <w:b w:val="0"/>
                <w:bCs/>
                <w:color w:val="000000" w:themeColor="text1"/>
                <w14:textFill>
                  <w14:solidFill>
                    <w14:schemeClr w14:val="tx1"/>
                  </w14:solidFill>
                </w14:textFill>
              </w:rPr>
              <w:t>, n (%)</w:t>
            </w:r>
          </w:p>
        </w:tc>
        <w:tc>
          <w:tcPr>
            <w:tcW w:w="0" w:type="auto"/>
            <w:tcBorders>
              <w:top w:val="nil"/>
              <w:left w:val="nil"/>
              <w:bottom w:val="nil"/>
              <w:right w:val="nil"/>
            </w:tcBorders>
            <w:vAlign w:val="center"/>
          </w:tcPr>
          <w:p w14:paraId="1F067CD4">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(0.00)</w:t>
            </w:r>
          </w:p>
        </w:tc>
        <w:tc>
          <w:tcPr>
            <w:tcW w:w="0" w:type="auto"/>
            <w:tcBorders>
              <w:top w:val="nil"/>
              <w:left w:val="nil"/>
              <w:bottom w:val="nil"/>
              <w:right w:val="nil"/>
            </w:tcBorders>
            <w:vAlign w:val="center"/>
          </w:tcPr>
          <w:p w14:paraId="56EF9B45">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3</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(6.98)</w:t>
            </w:r>
          </w:p>
        </w:tc>
        <w:tc>
          <w:tcPr>
            <w:tcW w:w="0" w:type="auto"/>
            <w:tcBorders>
              <w:top w:val="nil"/>
              <w:left w:val="nil"/>
              <w:bottom w:val="nil"/>
              <w:right w:val="nil"/>
            </w:tcBorders>
            <w:vAlign w:val="center"/>
          </w:tcPr>
          <w:p w14:paraId="4124802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4.262</w:t>
            </w:r>
          </w:p>
        </w:tc>
        <w:tc>
          <w:tcPr>
            <w:tcW w:w="0" w:type="auto"/>
            <w:tcBorders>
              <w:top w:val="nil"/>
              <w:left w:val="nil"/>
              <w:bottom w:val="nil"/>
              <w:right w:val="nil"/>
            </w:tcBorders>
            <w:vAlign w:val="center"/>
          </w:tcPr>
          <w:p w14:paraId="30545891">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0.039</w:t>
            </w:r>
            <w:r>
              <w:rPr>
                <w:b w:val="0"/>
                <w:bCs/>
                <w:color w:val="000000" w:themeColor="text1"/>
                <w:vertAlign w:val="superscript"/>
                <w14:textFill>
                  <w14:solidFill>
                    <w14:schemeClr w14:val="tx1"/>
                  </w14:solidFill>
                </w14:textFill>
              </w:rPr>
              <w:t>*</w:t>
            </w:r>
          </w:p>
        </w:tc>
      </w:tr>
      <w:tr w14:paraId="11424735">
        <w:tblPrEx>
          <w:tblCellMar>
            <w:top w:w="57" w:type="dxa"/>
            <w:left w:w="0" w:type="dxa"/>
            <w:bottom w:w="57" w:type="dxa"/>
            <w:right w:w="49" w:type="dxa"/>
          </w:tblCellMar>
        </w:tblPrEx>
        <w:trPr>
          <w:jc w:val="center"/>
        </w:trPr>
        <w:tc>
          <w:tcPr>
            <w:tcW w:w="0" w:type="auto"/>
            <w:tcBorders>
              <w:top w:val="nil"/>
              <w:left w:val="nil"/>
              <w:bottom w:val="single" w:color="000000" w:sz="12" w:space="0"/>
              <w:right w:val="nil"/>
            </w:tcBorders>
            <w:vAlign w:val="center"/>
          </w:tcPr>
          <w:p w14:paraId="75EDEBBD">
            <w:pPr>
              <w:spacing w:after="0" w:line="360" w:lineRule="auto"/>
              <w:ind w:left="122"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 xml:space="preserve">Oral mucositis </w:t>
            </w:r>
            <w:r>
              <w:rPr>
                <w:rFonts w:eastAsia="宋体"/>
                <w:b w:val="0"/>
                <w:bCs/>
                <w:color w:val="000000" w:themeColor="text1"/>
                <w14:textFill>
                  <w14:solidFill>
                    <w14:schemeClr w14:val="tx1"/>
                  </w14:solidFill>
                </w14:textFill>
              </w:rPr>
              <w:t>, n (%)</w:t>
            </w:r>
          </w:p>
        </w:tc>
        <w:tc>
          <w:tcPr>
            <w:tcW w:w="0" w:type="auto"/>
            <w:tcBorders>
              <w:top w:val="nil"/>
              <w:left w:val="nil"/>
              <w:bottom w:val="single" w:color="000000" w:sz="12" w:space="0"/>
              <w:right w:val="nil"/>
            </w:tcBorders>
            <w:vAlign w:val="center"/>
          </w:tcPr>
          <w:p w14:paraId="43799936">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(0.00)</w:t>
            </w:r>
          </w:p>
        </w:tc>
        <w:tc>
          <w:tcPr>
            <w:tcW w:w="0" w:type="auto"/>
            <w:tcBorders>
              <w:top w:val="nil"/>
              <w:left w:val="nil"/>
              <w:bottom w:val="single" w:color="000000" w:sz="12" w:space="0"/>
              <w:right w:val="nil"/>
            </w:tcBorders>
            <w:vAlign w:val="center"/>
          </w:tcPr>
          <w:p w14:paraId="2AF787A8">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4</w:t>
            </w:r>
            <w:r>
              <w:rPr>
                <w:rFonts w:hint="eastAsia" w:eastAsiaTheme="minorEastAsia"/>
                <w:b w:val="0"/>
                <w:bCs/>
                <w:color w:val="000000" w:themeColor="text1"/>
                <w14:textFill>
                  <w14:solidFill>
                    <w14:schemeClr w14:val="tx1"/>
                  </w14:solidFill>
                </w14:textFill>
              </w:rPr>
              <w:t xml:space="preserve"> </w:t>
            </w:r>
            <w:r>
              <w:rPr>
                <w:b w:val="0"/>
                <w:bCs/>
                <w:color w:val="000000" w:themeColor="text1"/>
                <w14:textFill>
                  <w14:solidFill>
                    <w14:schemeClr w14:val="tx1"/>
                  </w14:solidFill>
                </w14:textFill>
              </w:rPr>
              <w:t>(9.30)</w:t>
            </w:r>
          </w:p>
        </w:tc>
        <w:tc>
          <w:tcPr>
            <w:tcW w:w="0" w:type="auto"/>
            <w:tcBorders>
              <w:top w:val="nil"/>
              <w:left w:val="nil"/>
              <w:bottom w:val="single" w:color="000000" w:sz="12" w:space="0"/>
              <w:right w:val="nil"/>
            </w:tcBorders>
            <w:vAlign w:val="center"/>
          </w:tcPr>
          <w:p w14:paraId="751C061B">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6.591</w:t>
            </w:r>
          </w:p>
        </w:tc>
        <w:tc>
          <w:tcPr>
            <w:tcW w:w="0" w:type="auto"/>
            <w:tcBorders>
              <w:top w:val="nil"/>
              <w:left w:val="nil"/>
              <w:bottom w:val="single" w:color="000000" w:sz="12" w:space="0"/>
              <w:right w:val="nil"/>
            </w:tcBorders>
            <w:vAlign w:val="center"/>
          </w:tcPr>
          <w:p w14:paraId="4F231DFD">
            <w:pPr>
              <w:spacing w:after="0" w:line="360" w:lineRule="auto"/>
              <w:ind w:left="0" w:firstLine="0"/>
              <w:jc w:val="both"/>
              <w:rPr>
                <w:b w:val="0"/>
                <w:bCs/>
                <w:color w:val="000000" w:themeColor="text1"/>
                <w14:textFill>
                  <w14:solidFill>
                    <w14:schemeClr w14:val="tx1"/>
                  </w14:solidFill>
                </w14:textFill>
              </w:rPr>
            </w:pPr>
            <w:r>
              <w:rPr>
                <w:b w:val="0"/>
                <w:bCs/>
                <w:color w:val="000000" w:themeColor="text1"/>
                <w14:textFill>
                  <w14:solidFill>
                    <w14:schemeClr w14:val="tx1"/>
                  </w14:solidFill>
                </w14:textFill>
              </w:rPr>
              <w:t>0.010</w:t>
            </w:r>
            <w:r>
              <w:rPr>
                <w:b w:val="0"/>
                <w:bCs/>
                <w:color w:val="000000" w:themeColor="text1"/>
                <w:vertAlign w:val="superscript"/>
                <w14:textFill>
                  <w14:solidFill>
                    <w14:schemeClr w14:val="tx1"/>
                  </w14:solidFill>
                </w14:textFill>
              </w:rPr>
              <w:t>*</w:t>
            </w:r>
          </w:p>
        </w:tc>
      </w:tr>
    </w:tbl>
    <w:p w14:paraId="36B27CFE">
      <w:pPr>
        <w:spacing w:after="0" w:line="360" w:lineRule="auto"/>
        <w:ind w:left="0" w:firstLine="0"/>
        <w:jc w:val="both"/>
        <w:rPr>
          <w:rFonts w:eastAsia="宋体"/>
          <w:b w:val="0"/>
          <w:bCs/>
          <w:color w:val="000000" w:themeColor="text1"/>
          <w:kern w:val="0"/>
          <w14:textFill>
            <w14:solidFill>
              <w14:schemeClr w14:val="tx1"/>
            </w14:solidFill>
          </w14:textFill>
        </w:rPr>
      </w:pPr>
      <w:r>
        <w:rPr>
          <w:rFonts w:hint="eastAsia" w:eastAsiaTheme="minorEastAsia"/>
          <w:b w:val="0"/>
          <w:bCs/>
          <w:color w:val="000000" w:themeColor="text1"/>
          <w14:textFill>
            <w14:solidFill>
              <w14:schemeClr w14:val="tx1"/>
            </w14:solidFill>
          </w14:textFill>
        </w:rPr>
        <w:t>* P&lt;0.05.</w:t>
      </w:r>
    </w:p>
    <w:p w14:paraId="7871F3B6">
      <w:pPr>
        <w:spacing w:after="0" w:line="360" w:lineRule="auto"/>
        <w:ind w:left="0" w:firstLine="0"/>
        <w:jc w:val="both"/>
        <w:rPr>
          <w:rFonts w:eastAsia="宋体"/>
          <w:b w:val="0"/>
          <w:bCs/>
          <w:color w:val="000000" w:themeColor="text1"/>
          <w:kern w:val="0"/>
          <w14:textFill>
            <w14:solidFill>
              <w14:schemeClr w14:val="tx1"/>
            </w14:solidFill>
          </w14:textFill>
        </w:rPr>
      </w:pPr>
    </w:p>
    <w:p w14:paraId="469F8C5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 xml:space="preserve">Table S6  Clinical efficacy evaluation of patients in Groups A and C </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53"/>
        <w:gridCol w:w="923"/>
        <w:gridCol w:w="1103"/>
        <w:gridCol w:w="796"/>
        <w:gridCol w:w="916"/>
        <w:gridCol w:w="916"/>
        <w:gridCol w:w="916"/>
        <w:gridCol w:w="2065"/>
      </w:tblGrid>
      <w:tr w14:paraId="0CAEE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53" w:type="dxa"/>
            <w:tcBorders>
              <w:top w:val="single" w:color="auto" w:sz="12" w:space="0"/>
              <w:left w:val="nil"/>
              <w:bottom w:val="single" w:color="auto" w:sz="12" w:space="0"/>
              <w:right w:val="nil"/>
              <w:insideV w:val="nil"/>
              <w:tl2br w:val="nil"/>
              <w:tr2bl w:val="nil"/>
            </w:tcBorders>
            <w:noWrap/>
            <w:vAlign w:val="center"/>
          </w:tcPr>
          <w:p w14:paraId="71D7F64A">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923" w:type="dxa"/>
            <w:tcBorders>
              <w:top w:val="single" w:color="auto" w:sz="12" w:space="0"/>
              <w:left w:val="single" w:color="auto" w:sz="12" w:space="0"/>
              <w:bottom w:val="single" w:color="auto" w:sz="12" w:space="0"/>
              <w:right w:val="nil"/>
              <w:insideV w:val="nil"/>
              <w:tl2br w:val="nil"/>
              <w:tr2bl w:val="nil"/>
            </w:tcBorders>
            <w:noWrap/>
            <w:vAlign w:val="center"/>
          </w:tcPr>
          <w:p w14:paraId="05106B6C">
            <w:pPr>
              <w:wordWrap/>
              <w:spacing w:after="0" w:line="360" w:lineRule="auto"/>
              <w:ind w:left="0" w:firstLine="0"/>
              <w:jc w:val="both"/>
              <w:rPr>
                <w:rFonts w:ascii="Times New Roman" w:hAnsi="Times New Roman" w:eastAsia="宋体"/>
                <w:b w:val="0"/>
                <w:bCs/>
                <w:i w:val="0"/>
                <w:color w:val="000000" w:themeColor="text1"/>
                <w:szCs w:val="2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Stage III</w:t>
            </w:r>
          </w:p>
        </w:tc>
        <w:tc>
          <w:tcPr>
            <w:tcW w:w="1103" w:type="dxa"/>
            <w:tcBorders>
              <w:top w:val="single" w:color="auto" w:sz="12" w:space="0"/>
              <w:bottom w:val="single" w:color="auto" w:sz="12" w:space="0"/>
              <w:right w:val="nil"/>
              <w:insideV w:val="nil"/>
              <w:tl2br w:val="nil"/>
              <w:tr2bl w:val="nil"/>
            </w:tcBorders>
            <w:vAlign w:val="center"/>
          </w:tcPr>
          <w:p w14:paraId="61F5CF7F">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IV</w:t>
            </w:r>
          </w:p>
        </w:tc>
        <w:tc>
          <w:tcPr>
            <w:tcW w:w="796" w:type="dxa"/>
            <w:tcBorders>
              <w:top w:val="single" w:color="auto" w:sz="12" w:space="0"/>
              <w:bottom w:val="single" w:color="auto" w:sz="12" w:space="0"/>
              <w:right w:val="nil"/>
              <w:insideV w:val="nil"/>
              <w:tl2br w:val="nil"/>
              <w:tr2bl w:val="nil"/>
            </w:tcBorders>
            <w:vAlign w:val="center"/>
          </w:tcPr>
          <w:p w14:paraId="2E261CFF">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916" w:type="dxa"/>
            <w:tcBorders>
              <w:top w:val="single" w:color="auto" w:sz="12" w:space="0"/>
              <w:bottom w:val="single" w:color="auto" w:sz="12" w:space="0"/>
              <w:right w:val="nil"/>
              <w:insideV w:val="nil"/>
              <w:tl2br w:val="nil"/>
              <w:tr2bl w:val="nil"/>
            </w:tcBorders>
            <w:vAlign w:val="center"/>
          </w:tcPr>
          <w:p w14:paraId="07331EA8">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916" w:type="dxa"/>
            <w:tcBorders>
              <w:top w:val="single" w:color="auto" w:sz="12" w:space="0"/>
              <w:bottom w:val="single" w:color="auto" w:sz="12" w:space="0"/>
              <w:right w:val="nil"/>
              <w:insideV w:val="nil"/>
              <w:tl2br w:val="nil"/>
              <w:tr2bl w:val="nil"/>
            </w:tcBorders>
            <w:vAlign w:val="center"/>
          </w:tcPr>
          <w:p w14:paraId="4F2BD977">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916" w:type="dxa"/>
            <w:tcBorders>
              <w:top w:val="single" w:color="auto" w:sz="12" w:space="0"/>
              <w:bottom w:val="single" w:color="auto" w:sz="12" w:space="0"/>
              <w:right w:val="nil"/>
              <w:insideV w:val="nil"/>
              <w:tl2br w:val="nil"/>
              <w:tr2bl w:val="nil"/>
            </w:tcBorders>
            <w:vAlign w:val="center"/>
          </w:tcPr>
          <w:p w14:paraId="60427A2D">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2065" w:type="dxa"/>
            <w:tcBorders>
              <w:top w:val="single" w:color="auto" w:sz="12" w:space="0"/>
              <w:bottom w:val="single" w:color="auto" w:sz="12" w:space="0"/>
              <w:right w:val="nil"/>
              <w:insideV w:val="nil"/>
              <w:tl2br w:val="nil"/>
              <w:tr2bl w:val="nil"/>
            </w:tcBorders>
            <w:vAlign w:val="center"/>
          </w:tcPr>
          <w:p w14:paraId="71560947">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249B7B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53" w:type="dxa"/>
            <w:tcBorders>
              <w:top w:val="single" w:color="auto" w:sz="12" w:space="0"/>
              <w:left w:val="nil"/>
              <w:bottom w:val="nil"/>
              <w:right w:val="single" w:color="auto" w:sz="12" w:space="0"/>
            </w:tcBorders>
            <w:noWrap/>
            <w:vAlign w:val="center"/>
          </w:tcPr>
          <w:p w14:paraId="2E24854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A, n (%)</w:t>
            </w:r>
          </w:p>
        </w:tc>
        <w:tc>
          <w:tcPr>
            <w:tcW w:w="923" w:type="dxa"/>
            <w:tcBorders>
              <w:top w:val="single" w:color="auto" w:sz="12" w:space="0"/>
              <w:left w:val="single" w:color="auto" w:sz="12" w:space="0"/>
              <w:bottom w:val="nil"/>
              <w:right w:val="nil"/>
            </w:tcBorders>
            <w:noWrap/>
            <w:vAlign w:val="center"/>
          </w:tcPr>
          <w:p w14:paraId="4A19328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43</w:t>
            </w:r>
          </w:p>
          <w:p w14:paraId="43B55BE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(40.57)</w:t>
            </w:r>
          </w:p>
        </w:tc>
        <w:tc>
          <w:tcPr>
            <w:tcW w:w="1103" w:type="dxa"/>
            <w:tcBorders>
              <w:top w:val="single" w:color="auto" w:sz="12" w:space="0"/>
              <w:left w:val="nil"/>
              <w:bottom w:val="nil"/>
              <w:right w:val="nil"/>
            </w:tcBorders>
            <w:vAlign w:val="center"/>
          </w:tcPr>
          <w:p w14:paraId="1F93C9D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63</w:t>
            </w:r>
          </w:p>
          <w:p w14:paraId="03B23E6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(59.43)</w:t>
            </w:r>
          </w:p>
        </w:tc>
        <w:tc>
          <w:tcPr>
            <w:tcW w:w="796" w:type="dxa"/>
            <w:tcBorders>
              <w:top w:val="single" w:color="auto" w:sz="12" w:space="0"/>
              <w:left w:val="nil"/>
              <w:bottom w:val="nil"/>
              <w:right w:val="nil"/>
            </w:tcBorders>
            <w:vAlign w:val="center"/>
          </w:tcPr>
          <w:p w14:paraId="6810C95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w:t>
            </w:r>
          </w:p>
          <w:p w14:paraId="6708D2D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(0.94)</w:t>
            </w:r>
          </w:p>
        </w:tc>
        <w:tc>
          <w:tcPr>
            <w:tcW w:w="916" w:type="dxa"/>
            <w:tcBorders>
              <w:top w:val="single" w:color="auto" w:sz="12" w:space="0"/>
              <w:left w:val="nil"/>
              <w:bottom w:val="nil"/>
              <w:right w:val="nil"/>
            </w:tcBorders>
            <w:vAlign w:val="center"/>
          </w:tcPr>
          <w:p w14:paraId="588E545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42</w:t>
            </w:r>
          </w:p>
          <w:p w14:paraId="674617D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(39.62)</w:t>
            </w:r>
          </w:p>
        </w:tc>
        <w:tc>
          <w:tcPr>
            <w:tcW w:w="916" w:type="dxa"/>
            <w:tcBorders>
              <w:top w:val="single" w:color="auto" w:sz="12" w:space="0"/>
              <w:left w:val="nil"/>
              <w:bottom w:val="nil"/>
              <w:right w:val="nil"/>
            </w:tcBorders>
            <w:vAlign w:val="center"/>
          </w:tcPr>
          <w:p w14:paraId="070E9B6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63</w:t>
            </w:r>
          </w:p>
          <w:p w14:paraId="566DA77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(59.44)</w:t>
            </w:r>
          </w:p>
        </w:tc>
        <w:tc>
          <w:tcPr>
            <w:tcW w:w="916" w:type="dxa"/>
            <w:tcBorders>
              <w:top w:val="single" w:color="auto" w:sz="12" w:space="0"/>
              <w:left w:val="nil"/>
              <w:bottom w:val="nil"/>
              <w:right w:val="nil"/>
            </w:tcBorders>
            <w:vAlign w:val="center"/>
          </w:tcPr>
          <w:p w14:paraId="47BF997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43</w:t>
            </w:r>
          </w:p>
          <w:p w14:paraId="1C702EE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(40.56)</w:t>
            </w:r>
          </w:p>
        </w:tc>
        <w:tc>
          <w:tcPr>
            <w:tcW w:w="2065" w:type="dxa"/>
            <w:tcBorders>
              <w:top w:val="single" w:color="auto" w:sz="12" w:space="0"/>
              <w:left w:val="nil"/>
              <w:bottom w:val="nil"/>
              <w:right w:val="nil"/>
            </w:tcBorders>
            <w:vAlign w:val="center"/>
          </w:tcPr>
          <w:p w14:paraId="16C3E2E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50</w:t>
            </w:r>
          </w:p>
          <w:p w14:paraId="73E49E5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(47.17)</w:t>
            </w:r>
          </w:p>
        </w:tc>
      </w:tr>
      <w:tr w14:paraId="00DF6B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53" w:type="dxa"/>
            <w:tcBorders>
              <w:top w:val="nil"/>
              <w:left w:val="nil"/>
              <w:bottom w:val="nil"/>
              <w:right w:val="single" w:color="auto" w:sz="12" w:space="0"/>
            </w:tcBorders>
            <w:noWrap/>
            <w:vAlign w:val="center"/>
          </w:tcPr>
          <w:p w14:paraId="7BDAB5F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C, n (%)</w:t>
            </w:r>
          </w:p>
        </w:tc>
        <w:tc>
          <w:tcPr>
            <w:tcW w:w="923" w:type="dxa"/>
            <w:tcBorders>
              <w:top w:val="nil"/>
              <w:left w:val="single" w:color="auto" w:sz="12" w:space="0"/>
              <w:bottom w:val="nil"/>
              <w:right w:val="nil"/>
            </w:tcBorders>
            <w:noWrap/>
            <w:vAlign w:val="center"/>
          </w:tcPr>
          <w:p w14:paraId="1084063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w:t>
            </w:r>
          </w:p>
          <w:p w14:paraId="33EE860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(11.63)</w:t>
            </w:r>
          </w:p>
        </w:tc>
        <w:tc>
          <w:tcPr>
            <w:tcW w:w="1103" w:type="dxa"/>
            <w:tcBorders>
              <w:top w:val="nil"/>
              <w:left w:val="nil"/>
              <w:bottom w:val="nil"/>
              <w:right w:val="nil"/>
            </w:tcBorders>
            <w:vAlign w:val="center"/>
          </w:tcPr>
          <w:p w14:paraId="6097A60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38</w:t>
            </w:r>
          </w:p>
          <w:p w14:paraId="34C980A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(88.37)</w:t>
            </w:r>
          </w:p>
        </w:tc>
        <w:tc>
          <w:tcPr>
            <w:tcW w:w="796" w:type="dxa"/>
            <w:tcBorders>
              <w:top w:val="nil"/>
              <w:left w:val="nil"/>
              <w:bottom w:val="nil"/>
              <w:right w:val="nil"/>
            </w:tcBorders>
            <w:vAlign w:val="center"/>
          </w:tcPr>
          <w:p w14:paraId="3159A19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p>
          <w:p w14:paraId="569A1C8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(0.00)</w:t>
            </w:r>
          </w:p>
        </w:tc>
        <w:tc>
          <w:tcPr>
            <w:tcW w:w="916" w:type="dxa"/>
            <w:tcBorders>
              <w:top w:val="nil"/>
              <w:left w:val="nil"/>
              <w:bottom w:val="nil"/>
              <w:right w:val="nil"/>
            </w:tcBorders>
            <w:vAlign w:val="center"/>
          </w:tcPr>
          <w:p w14:paraId="7144BFE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20</w:t>
            </w:r>
          </w:p>
          <w:p w14:paraId="7583EE5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(46.51)</w:t>
            </w:r>
          </w:p>
        </w:tc>
        <w:tc>
          <w:tcPr>
            <w:tcW w:w="916" w:type="dxa"/>
            <w:tcBorders>
              <w:top w:val="nil"/>
              <w:left w:val="nil"/>
              <w:bottom w:val="nil"/>
              <w:right w:val="nil"/>
            </w:tcBorders>
            <w:vAlign w:val="center"/>
          </w:tcPr>
          <w:p w14:paraId="615B7A9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23</w:t>
            </w:r>
          </w:p>
          <w:p w14:paraId="0D79C30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(53.49)</w:t>
            </w:r>
          </w:p>
        </w:tc>
        <w:tc>
          <w:tcPr>
            <w:tcW w:w="916" w:type="dxa"/>
            <w:tcBorders>
              <w:top w:val="nil"/>
              <w:left w:val="nil"/>
              <w:bottom w:val="nil"/>
              <w:right w:val="nil"/>
            </w:tcBorders>
            <w:vAlign w:val="center"/>
          </w:tcPr>
          <w:p w14:paraId="133AA4E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20</w:t>
            </w:r>
          </w:p>
          <w:p w14:paraId="4BD5EE5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(46.51)</w:t>
            </w:r>
          </w:p>
        </w:tc>
        <w:tc>
          <w:tcPr>
            <w:tcW w:w="2065" w:type="dxa"/>
            <w:tcBorders>
              <w:top w:val="nil"/>
              <w:left w:val="nil"/>
              <w:bottom w:val="nil"/>
              <w:right w:val="nil"/>
            </w:tcBorders>
            <w:vAlign w:val="center"/>
          </w:tcPr>
          <w:p w14:paraId="69255C1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19</w:t>
            </w:r>
          </w:p>
          <w:p w14:paraId="5949D78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(44.19)</w:t>
            </w:r>
          </w:p>
        </w:tc>
      </w:tr>
      <w:tr w14:paraId="2B069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53" w:type="dxa"/>
            <w:tcBorders>
              <w:top w:val="nil"/>
              <w:left w:val="nil"/>
              <w:bottom w:val="nil"/>
              <w:right w:val="single" w:color="auto" w:sz="12" w:space="0"/>
            </w:tcBorders>
            <w:noWrap/>
            <w:vAlign w:val="center"/>
          </w:tcPr>
          <w:p w14:paraId="162E01E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923" w:type="dxa"/>
            <w:tcBorders>
              <w:top w:val="nil"/>
              <w:left w:val="single" w:color="auto" w:sz="12" w:space="0"/>
              <w:bottom w:val="nil"/>
              <w:right w:val="nil"/>
            </w:tcBorders>
            <w:noWrap/>
            <w:vAlign w:val="center"/>
          </w:tcPr>
          <w:p w14:paraId="7E0CA4A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11.731</w:t>
            </w:r>
          </w:p>
        </w:tc>
        <w:tc>
          <w:tcPr>
            <w:tcW w:w="1103" w:type="dxa"/>
            <w:tcBorders>
              <w:top w:val="nil"/>
              <w:left w:val="nil"/>
              <w:bottom w:val="nil"/>
              <w:right w:val="nil"/>
            </w:tcBorders>
            <w:vAlign w:val="center"/>
          </w:tcPr>
          <w:p w14:paraId="4616ACC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11.731</w:t>
            </w:r>
          </w:p>
        </w:tc>
        <w:tc>
          <w:tcPr>
            <w:tcW w:w="796" w:type="dxa"/>
            <w:tcBorders>
              <w:top w:val="nil"/>
              <w:left w:val="nil"/>
              <w:bottom w:val="nil"/>
              <w:right w:val="nil"/>
            </w:tcBorders>
            <w:vAlign w:val="center"/>
          </w:tcPr>
          <w:p w14:paraId="6EEEE60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0.408</w:t>
            </w:r>
          </w:p>
        </w:tc>
        <w:tc>
          <w:tcPr>
            <w:tcW w:w="916" w:type="dxa"/>
            <w:tcBorders>
              <w:top w:val="nil"/>
              <w:left w:val="nil"/>
              <w:bottom w:val="nil"/>
              <w:right w:val="nil"/>
            </w:tcBorders>
            <w:vAlign w:val="center"/>
          </w:tcPr>
          <w:p w14:paraId="5DFC241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0.598</w:t>
            </w:r>
          </w:p>
        </w:tc>
        <w:tc>
          <w:tcPr>
            <w:tcW w:w="916" w:type="dxa"/>
            <w:tcBorders>
              <w:top w:val="nil"/>
              <w:left w:val="nil"/>
              <w:bottom w:val="nil"/>
              <w:right w:val="nil"/>
            </w:tcBorders>
            <w:vAlign w:val="center"/>
          </w:tcPr>
          <w:p w14:paraId="2D01560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0.443</w:t>
            </w:r>
          </w:p>
        </w:tc>
        <w:tc>
          <w:tcPr>
            <w:tcW w:w="916" w:type="dxa"/>
            <w:tcBorders>
              <w:top w:val="nil"/>
              <w:left w:val="nil"/>
              <w:bottom w:val="nil"/>
              <w:right w:val="nil"/>
            </w:tcBorders>
            <w:vAlign w:val="center"/>
          </w:tcPr>
          <w:p w14:paraId="274D416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0.443</w:t>
            </w:r>
          </w:p>
        </w:tc>
        <w:tc>
          <w:tcPr>
            <w:tcW w:w="2065" w:type="dxa"/>
            <w:tcBorders>
              <w:top w:val="nil"/>
              <w:left w:val="nil"/>
              <w:bottom w:val="nil"/>
              <w:right w:val="nil"/>
            </w:tcBorders>
            <w:vAlign w:val="center"/>
          </w:tcPr>
          <w:p w14:paraId="59D3BD0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0.110</w:t>
            </w:r>
          </w:p>
        </w:tc>
      </w:tr>
      <w:tr w14:paraId="034BA9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53" w:type="dxa"/>
            <w:tcBorders>
              <w:top w:val="nil"/>
              <w:left w:val="nil"/>
              <w:bottom w:val="single" w:color="auto" w:sz="12" w:space="0"/>
              <w:right w:val="single" w:color="auto" w:sz="12" w:space="0"/>
            </w:tcBorders>
            <w:noWrap/>
            <w:vAlign w:val="center"/>
          </w:tcPr>
          <w:p w14:paraId="35F58B5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923" w:type="dxa"/>
            <w:tcBorders>
              <w:top w:val="nil"/>
              <w:left w:val="single" w:color="auto" w:sz="12" w:space="0"/>
              <w:right w:val="nil"/>
            </w:tcBorders>
            <w:noWrap/>
            <w:vAlign w:val="center"/>
          </w:tcPr>
          <w:p w14:paraId="27EF300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0.001</w:t>
            </w:r>
            <w:r>
              <w:rPr>
                <w:rFonts w:eastAsia="宋体"/>
                <w:b w:val="0"/>
                <w:bCs/>
                <w:color w:val="000000" w:themeColor="text1"/>
                <w:vertAlign w:val="superscript"/>
                <w14:textFill>
                  <w14:solidFill>
                    <w14:schemeClr w14:val="tx1"/>
                  </w14:solidFill>
                </w14:textFill>
              </w:rPr>
              <w:t>*</w:t>
            </w:r>
          </w:p>
        </w:tc>
        <w:tc>
          <w:tcPr>
            <w:tcW w:w="1103" w:type="dxa"/>
            <w:tcBorders>
              <w:top w:val="nil"/>
              <w:left w:val="nil"/>
              <w:right w:val="nil"/>
            </w:tcBorders>
            <w:vAlign w:val="center"/>
          </w:tcPr>
          <w:p w14:paraId="1E11F82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0.001</w:t>
            </w:r>
            <w:r>
              <w:rPr>
                <w:rFonts w:eastAsia="宋体"/>
                <w:b w:val="0"/>
                <w:bCs/>
                <w:color w:val="000000" w:themeColor="text1"/>
                <w:vertAlign w:val="superscript"/>
                <w14:textFill>
                  <w14:solidFill>
                    <w14:schemeClr w14:val="tx1"/>
                  </w14:solidFill>
                </w14:textFill>
              </w:rPr>
              <w:t>*</w:t>
            </w:r>
          </w:p>
        </w:tc>
        <w:tc>
          <w:tcPr>
            <w:tcW w:w="796" w:type="dxa"/>
            <w:tcBorders>
              <w:top w:val="nil"/>
              <w:left w:val="nil"/>
              <w:right w:val="nil"/>
            </w:tcBorders>
            <w:vAlign w:val="center"/>
          </w:tcPr>
          <w:p w14:paraId="3268A1F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0.523</w:t>
            </w:r>
          </w:p>
        </w:tc>
        <w:tc>
          <w:tcPr>
            <w:tcW w:w="916" w:type="dxa"/>
            <w:tcBorders>
              <w:top w:val="nil"/>
              <w:left w:val="nil"/>
              <w:right w:val="nil"/>
            </w:tcBorders>
            <w:vAlign w:val="center"/>
          </w:tcPr>
          <w:p w14:paraId="731A5F5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0.44</w:t>
            </w:r>
          </w:p>
        </w:tc>
        <w:tc>
          <w:tcPr>
            <w:tcW w:w="916" w:type="dxa"/>
            <w:tcBorders>
              <w:top w:val="nil"/>
              <w:left w:val="nil"/>
              <w:right w:val="nil"/>
            </w:tcBorders>
            <w:vAlign w:val="center"/>
          </w:tcPr>
          <w:p w14:paraId="55C95C6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0.506</w:t>
            </w:r>
          </w:p>
        </w:tc>
        <w:tc>
          <w:tcPr>
            <w:tcW w:w="916" w:type="dxa"/>
            <w:tcBorders>
              <w:top w:val="nil"/>
              <w:left w:val="nil"/>
              <w:right w:val="nil"/>
            </w:tcBorders>
            <w:vAlign w:val="center"/>
          </w:tcPr>
          <w:p w14:paraId="28EBECA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0.506</w:t>
            </w:r>
          </w:p>
        </w:tc>
        <w:tc>
          <w:tcPr>
            <w:tcW w:w="2065" w:type="dxa"/>
            <w:tcBorders>
              <w:top w:val="nil"/>
              <w:left w:val="nil"/>
              <w:right w:val="nil"/>
            </w:tcBorders>
            <w:vAlign w:val="center"/>
          </w:tcPr>
          <w:p w14:paraId="7DE2DD2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0.741</w:t>
            </w:r>
          </w:p>
        </w:tc>
      </w:tr>
    </w:tbl>
    <w:p w14:paraId="08AA60AA">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 xml:space="preserve">Abbreviations: iCR, immune complete response; iPR, immune partial response; iSD, immune stable disease; ORR, objective response rate. </w:t>
      </w:r>
      <w:r>
        <w:rPr>
          <w:rFonts w:eastAsia="宋体"/>
          <w:b w:val="0"/>
          <w:bCs/>
          <w:color w:val="000000" w:themeColor="text1"/>
          <w:kern w:val="0"/>
          <w:vertAlign w:val="superscript"/>
          <w14:textFill>
            <w14:solidFill>
              <w14:schemeClr w14:val="tx1"/>
            </w14:solidFill>
          </w14:textFill>
        </w:rPr>
        <w:t>*</w:t>
      </w:r>
      <w:r>
        <w:rPr>
          <w:rFonts w:eastAsia="宋体"/>
          <w:b w:val="0"/>
          <w:bCs/>
          <w:i/>
          <w:iCs/>
          <w:color w:val="000000" w:themeColor="text1"/>
          <w:kern w:val="0"/>
          <w14:textFill>
            <w14:solidFill>
              <w14:schemeClr w14:val="tx1"/>
            </w14:solidFill>
          </w14:textFill>
        </w:rPr>
        <w:t>P</w:t>
      </w:r>
      <w:r>
        <w:rPr>
          <w:rFonts w:eastAsia="宋体"/>
          <w:b w:val="0"/>
          <w:bCs/>
          <w:color w:val="000000" w:themeColor="text1"/>
          <w:kern w:val="0"/>
          <w14:textFill>
            <w14:solidFill>
              <w14:schemeClr w14:val="tx1"/>
            </w14:solidFill>
          </w14:textFill>
        </w:rPr>
        <w:t>＜0.05 indicates statistical significance.</w:t>
      </w:r>
    </w:p>
    <w:p w14:paraId="0B4B1901">
      <w:pPr>
        <w:spacing w:after="0" w:line="360" w:lineRule="auto"/>
        <w:ind w:left="0" w:firstLine="0"/>
        <w:jc w:val="both"/>
        <w:rPr>
          <w:rFonts w:eastAsia="宋体"/>
          <w:b w:val="0"/>
          <w:bCs/>
          <w:color w:val="000000" w:themeColor="text1"/>
          <w:kern w:val="0"/>
          <w14:textFill>
            <w14:solidFill>
              <w14:schemeClr w14:val="tx1"/>
            </w14:solidFill>
          </w14:textFill>
        </w:rPr>
      </w:pPr>
    </w:p>
    <w:p w14:paraId="5B0AEB28">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S7  Clinical efficacy evaluation of Group A (Stage IV) and Group C (Stage IV) patients</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976"/>
        <w:gridCol w:w="1216"/>
        <w:gridCol w:w="1216"/>
        <w:gridCol w:w="1216"/>
        <w:gridCol w:w="1936"/>
      </w:tblGrid>
      <w:tr w14:paraId="5DB4D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single" w:color="auto" w:sz="12" w:space="0"/>
              <w:left w:val="nil"/>
              <w:bottom w:val="single" w:color="auto" w:sz="12" w:space="0"/>
              <w:right w:val="nil"/>
              <w:insideV w:val="nil"/>
              <w:tl2br w:val="nil"/>
              <w:tr2bl w:val="nil"/>
            </w:tcBorders>
            <w:noWrap/>
          </w:tcPr>
          <w:p w14:paraId="4CEC4A21">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tcPr>
          <w:p w14:paraId="1FE4BCD1">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tcPr>
          <w:p w14:paraId="252C55D3">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tcPr>
          <w:p w14:paraId="30E54676">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tcPr>
          <w:p w14:paraId="66CCE94B">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tcPr>
          <w:p w14:paraId="5E1EC693">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6E8549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single" w:color="auto" w:sz="12" w:space="0"/>
              <w:left w:val="nil"/>
              <w:bottom w:val="nil"/>
              <w:right w:val="single" w:color="auto" w:sz="12" w:space="0"/>
            </w:tcBorders>
            <w:noWrap/>
          </w:tcPr>
          <w:p w14:paraId="7DBE60D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A, n (%)</w:t>
            </w:r>
          </w:p>
        </w:tc>
        <w:tc>
          <w:tcPr>
            <w:tcW w:w="0" w:type="auto"/>
            <w:tcBorders>
              <w:top w:val="single" w:color="auto" w:sz="12" w:space="0"/>
              <w:left w:val="single" w:color="auto" w:sz="12" w:space="0"/>
              <w:bottom w:val="nil"/>
              <w:right w:val="nil"/>
            </w:tcBorders>
          </w:tcPr>
          <w:p w14:paraId="0B95F46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(1.59)</w:t>
            </w:r>
          </w:p>
        </w:tc>
        <w:tc>
          <w:tcPr>
            <w:tcW w:w="0" w:type="auto"/>
            <w:tcBorders>
              <w:top w:val="single" w:color="auto" w:sz="12" w:space="0"/>
              <w:left w:val="nil"/>
              <w:bottom w:val="nil"/>
              <w:right w:val="nil"/>
            </w:tcBorders>
          </w:tcPr>
          <w:p w14:paraId="12CE7E5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(33.33)</w:t>
            </w:r>
          </w:p>
        </w:tc>
        <w:tc>
          <w:tcPr>
            <w:tcW w:w="0" w:type="auto"/>
            <w:tcBorders>
              <w:top w:val="single" w:color="auto" w:sz="12" w:space="0"/>
              <w:left w:val="nil"/>
              <w:bottom w:val="nil"/>
              <w:right w:val="nil"/>
            </w:tcBorders>
          </w:tcPr>
          <w:p w14:paraId="16D0D44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(65.08)</w:t>
            </w:r>
          </w:p>
        </w:tc>
        <w:tc>
          <w:tcPr>
            <w:tcW w:w="0" w:type="auto"/>
            <w:tcBorders>
              <w:top w:val="single" w:color="auto" w:sz="12" w:space="0"/>
              <w:left w:val="nil"/>
              <w:bottom w:val="nil"/>
              <w:right w:val="nil"/>
            </w:tcBorders>
          </w:tcPr>
          <w:p w14:paraId="646C5C0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(34.92)</w:t>
            </w:r>
          </w:p>
        </w:tc>
        <w:tc>
          <w:tcPr>
            <w:tcW w:w="0" w:type="auto"/>
            <w:tcBorders>
              <w:top w:val="single" w:color="auto" w:sz="12" w:space="0"/>
              <w:left w:val="nil"/>
              <w:bottom w:val="nil"/>
              <w:right w:val="nil"/>
            </w:tcBorders>
          </w:tcPr>
          <w:p w14:paraId="2C12F67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24</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(38.10)</w:t>
            </w:r>
          </w:p>
        </w:tc>
      </w:tr>
      <w:tr w14:paraId="47EA00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nil"/>
              <w:left w:val="nil"/>
              <w:bottom w:val="nil"/>
              <w:right w:val="single" w:color="auto" w:sz="12" w:space="0"/>
            </w:tcBorders>
            <w:noWrap/>
          </w:tcPr>
          <w:p w14:paraId="0A730DF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C, n (%)</w:t>
            </w:r>
          </w:p>
        </w:tc>
        <w:tc>
          <w:tcPr>
            <w:tcW w:w="0" w:type="auto"/>
            <w:tcBorders>
              <w:top w:val="nil"/>
              <w:left w:val="single" w:color="auto" w:sz="12" w:space="0"/>
              <w:bottom w:val="nil"/>
              <w:right w:val="nil"/>
            </w:tcBorders>
          </w:tcPr>
          <w:p w14:paraId="7AEBFED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nil"/>
              <w:left w:val="nil"/>
              <w:bottom w:val="nil"/>
              <w:right w:val="nil"/>
            </w:tcBorders>
          </w:tcPr>
          <w:p w14:paraId="4A9D7CB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(47.37)</w:t>
            </w:r>
          </w:p>
        </w:tc>
        <w:tc>
          <w:tcPr>
            <w:tcW w:w="0" w:type="auto"/>
            <w:tcBorders>
              <w:top w:val="nil"/>
              <w:left w:val="nil"/>
              <w:bottom w:val="nil"/>
              <w:right w:val="nil"/>
            </w:tcBorders>
          </w:tcPr>
          <w:p w14:paraId="16C5577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(52.63)</w:t>
            </w:r>
          </w:p>
        </w:tc>
        <w:tc>
          <w:tcPr>
            <w:tcW w:w="0" w:type="auto"/>
            <w:tcBorders>
              <w:top w:val="nil"/>
              <w:left w:val="nil"/>
              <w:bottom w:val="nil"/>
              <w:right w:val="nil"/>
            </w:tcBorders>
          </w:tcPr>
          <w:p w14:paraId="2BB9167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(47.37)</w:t>
            </w:r>
          </w:p>
        </w:tc>
        <w:tc>
          <w:tcPr>
            <w:tcW w:w="0" w:type="auto"/>
            <w:tcBorders>
              <w:top w:val="nil"/>
              <w:left w:val="nil"/>
              <w:bottom w:val="nil"/>
              <w:right w:val="nil"/>
            </w:tcBorders>
          </w:tcPr>
          <w:p w14:paraId="769EDF5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16</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(42.11)</w:t>
            </w:r>
          </w:p>
        </w:tc>
      </w:tr>
      <w:tr w14:paraId="31155E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nil"/>
              <w:left w:val="nil"/>
              <w:bottom w:val="nil"/>
              <w:right w:val="single" w:color="auto" w:sz="12" w:space="0"/>
            </w:tcBorders>
            <w:noWrap/>
          </w:tcPr>
          <w:p w14:paraId="771BE23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tcPr>
          <w:p w14:paraId="03C3602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bottom w:val="nil"/>
              <w:right w:val="nil"/>
            </w:tcBorders>
          </w:tcPr>
          <w:p w14:paraId="794CAD4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1.970</w:t>
            </w:r>
          </w:p>
        </w:tc>
        <w:tc>
          <w:tcPr>
            <w:tcW w:w="0" w:type="auto"/>
            <w:tcBorders>
              <w:top w:val="nil"/>
              <w:left w:val="nil"/>
              <w:bottom w:val="nil"/>
              <w:right w:val="nil"/>
            </w:tcBorders>
          </w:tcPr>
          <w:p w14:paraId="0DA0795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1.535</w:t>
            </w:r>
          </w:p>
        </w:tc>
        <w:tc>
          <w:tcPr>
            <w:tcW w:w="0" w:type="auto"/>
            <w:tcBorders>
              <w:top w:val="nil"/>
              <w:left w:val="nil"/>
              <w:bottom w:val="nil"/>
              <w:right w:val="nil"/>
            </w:tcBorders>
          </w:tcPr>
          <w:p w14:paraId="605B3AC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1.535</w:t>
            </w:r>
          </w:p>
        </w:tc>
        <w:tc>
          <w:tcPr>
            <w:tcW w:w="0" w:type="auto"/>
            <w:tcBorders>
              <w:top w:val="nil"/>
              <w:left w:val="nil"/>
              <w:bottom w:val="nil"/>
              <w:right w:val="nil"/>
            </w:tcBorders>
          </w:tcPr>
          <w:p w14:paraId="26EB6F3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0.159</w:t>
            </w:r>
          </w:p>
        </w:tc>
      </w:tr>
      <w:tr w14:paraId="11682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nil"/>
              <w:left w:val="nil"/>
              <w:bottom w:val="single" w:color="auto" w:sz="12" w:space="0"/>
              <w:right w:val="single" w:color="auto" w:sz="12" w:space="0"/>
            </w:tcBorders>
            <w:noWrap/>
          </w:tcPr>
          <w:p w14:paraId="1BD45B3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0" w:type="auto"/>
            <w:tcBorders>
              <w:top w:val="nil"/>
              <w:left w:val="single" w:color="auto" w:sz="12" w:space="0"/>
              <w:right w:val="nil"/>
            </w:tcBorders>
          </w:tcPr>
          <w:p w14:paraId="3CBBD167">
            <w:pPr>
              <w:spacing w:after="0" w:line="360" w:lineRule="auto"/>
              <w:ind w:left="0" w:firstLine="0"/>
              <w:jc w:val="both"/>
              <w:rPr>
                <w:rFonts w:eastAsia="宋体"/>
                <w:b w:val="0"/>
                <w:bCs/>
                <w:color w:val="000000" w:themeColor="text1"/>
                <w14:textFill>
                  <w14:solidFill>
                    <w14:schemeClr w14:val="tx1"/>
                  </w14:solidFill>
                </w14:textFill>
              </w:rPr>
            </w:pPr>
            <w:r>
              <w:rPr>
                <w:b w:val="0"/>
                <w:bCs/>
              </w:rPr>
              <w:t>&gt; 0.999</w:t>
            </w:r>
          </w:p>
        </w:tc>
        <w:tc>
          <w:tcPr>
            <w:tcW w:w="0" w:type="auto"/>
            <w:tcBorders>
              <w:top w:val="nil"/>
              <w:left w:val="nil"/>
              <w:right w:val="nil"/>
            </w:tcBorders>
          </w:tcPr>
          <w:p w14:paraId="0C5D2B6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0.160</w:t>
            </w:r>
          </w:p>
        </w:tc>
        <w:tc>
          <w:tcPr>
            <w:tcW w:w="0" w:type="auto"/>
            <w:tcBorders>
              <w:top w:val="nil"/>
              <w:left w:val="nil"/>
              <w:right w:val="nil"/>
            </w:tcBorders>
          </w:tcPr>
          <w:p w14:paraId="6D56866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0.215</w:t>
            </w:r>
          </w:p>
        </w:tc>
        <w:tc>
          <w:tcPr>
            <w:tcW w:w="0" w:type="auto"/>
            <w:tcBorders>
              <w:top w:val="nil"/>
              <w:left w:val="nil"/>
              <w:right w:val="nil"/>
            </w:tcBorders>
          </w:tcPr>
          <w:p w14:paraId="2B6EE68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0.215</w:t>
            </w:r>
          </w:p>
        </w:tc>
        <w:tc>
          <w:tcPr>
            <w:tcW w:w="0" w:type="auto"/>
            <w:tcBorders>
              <w:top w:val="nil"/>
              <w:left w:val="nil"/>
              <w:right w:val="nil"/>
            </w:tcBorders>
          </w:tcPr>
          <w:p w14:paraId="588F6D7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0.690</w:t>
            </w:r>
          </w:p>
        </w:tc>
      </w:tr>
    </w:tbl>
    <w:p w14:paraId="646FC2AC">
      <w:pPr>
        <w:spacing w:after="0" w:line="360" w:lineRule="auto"/>
        <w:ind w:left="0" w:firstLine="0"/>
        <w:jc w:val="both"/>
        <w:rPr>
          <w:rFonts w:eastAsia="宋体"/>
          <w:b w:val="0"/>
          <w:bCs/>
          <w:color w:val="000000" w:themeColor="text1"/>
          <w:kern w:val="0"/>
          <w14:textFill>
            <w14:solidFill>
              <w14:schemeClr w14:val="tx1"/>
            </w14:solidFill>
          </w14:textFill>
        </w:rPr>
      </w:pPr>
      <w:r>
        <w:rPr>
          <w:rFonts w:hint="eastAsia" w:eastAsia="宋体"/>
          <w:b w:val="0"/>
          <w:bCs/>
          <w:color w:val="000000" w:themeColor="text1"/>
          <w:kern w:val="0"/>
          <w14:textFill>
            <w14:solidFill>
              <w14:schemeClr w14:val="tx1"/>
            </w14:solidFill>
          </w14:textFill>
        </w:rPr>
        <w:t>Abbreviations:iCR, immune complete response; iPR, immune partial response; iSD, immune stable disease; ORR, objective response rate.</w:t>
      </w:r>
    </w:p>
    <w:p w14:paraId="2E8C1E4C">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S8  Clinical efficacy evaluation of patients in the IT-RT group and the IT-only group</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207"/>
        <w:gridCol w:w="1216"/>
        <w:gridCol w:w="1202"/>
        <w:gridCol w:w="967"/>
        <w:gridCol w:w="1202"/>
        <w:gridCol w:w="1202"/>
        <w:gridCol w:w="1213"/>
        <w:gridCol w:w="1887"/>
      </w:tblGrid>
      <w:tr w14:paraId="5F7ACC6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single" w:color="auto" w:sz="12" w:space="0"/>
              <w:left w:val="nil"/>
              <w:bottom w:val="single" w:color="auto" w:sz="12" w:space="0"/>
              <w:right w:val="nil"/>
              <w:insideV w:val="nil"/>
              <w:tl2br w:val="nil"/>
              <w:tr2bl w:val="nil"/>
            </w:tcBorders>
            <w:noWrap/>
            <w:vAlign w:val="center"/>
          </w:tcPr>
          <w:p w14:paraId="50730CF8">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margin">
                        <wp:posOffset>-1717040</wp:posOffset>
                      </wp:positionH>
                      <wp:positionV relativeFrom="paragraph">
                        <wp:posOffset>10795</wp:posOffset>
                      </wp:positionV>
                      <wp:extent cx="53340" cy="406400"/>
                      <wp:effectExtent l="6350" t="635" r="16510" b="12065"/>
                      <wp:wrapNone/>
                      <wp:docPr id="4" name="直接连接符 4"/>
                      <wp:cNvGraphicFramePr/>
                      <a:graphic xmlns:a="http://schemas.openxmlformats.org/drawingml/2006/main">
                        <a:graphicData uri="http://schemas.microsoft.com/office/word/2010/wordprocessingShape">
                          <wps:wsp>
                            <wps:cNvCnPr/>
                            <wps:spPr>
                              <a:xfrm flipV="1">
                                <a:off x="0" y="0"/>
                                <a:ext cx="53340" cy="40640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id="直接连接符 4" o:spid="_x0000_s1026" o:spt="20" style="position:absolute;left:0pt;flip:y;margin-left:-135.2pt;margin-top:0.85pt;height:32pt;width:4.2pt;mso-position-horizontal-relative:margin;z-index:251659264;mso-width-relative:page;mso-height-relative:page;" filled="f" stroked="t" coordsize="21600,21600" o:gfxdata="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lk5If1wAAAAoBAAAPAAAAAAAAAAEAIAAAACIAAABkcnMvZG93&#10;bnJldi54bWxQSwECFAAUAAAACACHTuJATbf0DAECAADhAwAADgAAAAAAAAABACAAAAAmAQAAZHJz&#10;L2Uyb0RvYy54bWxQSwUGAAAAAAYABgBZAQAAmQUAAAAA&#10;">
                      <v:fill on="f" focussize="0,0"/>
                      <v:stroke weight="1pt" color="#000000" miterlimit="8" joinstyle="miter"/>
                      <v:imagedata o:title=""/>
                      <o:lock v:ext="edit" aspectratio="f"/>
                    </v:line>
                  </w:pict>
                </mc:Fallback>
              </mc:AlternateContent>
            </w: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noWrap/>
            <w:vAlign w:val="center"/>
          </w:tcPr>
          <w:p w14:paraId="68C56B3F">
            <w:pPr>
              <w:wordWrap/>
              <w:spacing w:after="0" w:line="360" w:lineRule="auto"/>
              <w:ind w:left="0" w:firstLine="0"/>
              <w:jc w:val="both"/>
              <w:rPr>
                <w:rFonts w:ascii="Times New Roman" w:hAnsi="Times New Roman" w:eastAsia="宋体"/>
                <w:b w:val="0"/>
                <w:bCs/>
                <w:i w:val="0"/>
                <w:color w:val="000000" w:themeColor="text1"/>
                <w:szCs w:val="2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III</w:t>
            </w:r>
          </w:p>
        </w:tc>
        <w:tc>
          <w:tcPr>
            <w:tcW w:w="0" w:type="auto"/>
            <w:tcBorders>
              <w:top w:val="single" w:color="auto" w:sz="12" w:space="0"/>
              <w:bottom w:val="single" w:color="auto" w:sz="12" w:space="0"/>
              <w:right w:val="nil"/>
              <w:insideV w:val="nil"/>
              <w:tl2br w:val="nil"/>
              <w:tr2bl w:val="nil"/>
            </w:tcBorders>
            <w:vAlign w:val="center"/>
          </w:tcPr>
          <w:p w14:paraId="78B031F7">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IV</w:t>
            </w:r>
          </w:p>
        </w:tc>
        <w:tc>
          <w:tcPr>
            <w:tcW w:w="0" w:type="auto"/>
            <w:tcBorders>
              <w:top w:val="single" w:color="auto" w:sz="12" w:space="0"/>
              <w:bottom w:val="single" w:color="auto" w:sz="12" w:space="0"/>
              <w:right w:val="nil"/>
              <w:insideV w:val="nil"/>
              <w:tl2br w:val="nil"/>
              <w:tr2bl w:val="nil"/>
            </w:tcBorders>
            <w:vAlign w:val="center"/>
          </w:tcPr>
          <w:p w14:paraId="1A79C805">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vAlign w:val="center"/>
          </w:tcPr>
          <w:p w14:paraId="4CFB21E3">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vAlign w:val="center"/>
          </w:tcPr>
          <w:p w14:paraId="594FD289">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vAlign w:val="center"/>
          </w:tcPr>
          <w:p w14:paraId="664CC023">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vAlign w:val="center"/>
          </w:tcPr>
          <w:p w14:paraId="2973EDE9">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0E2FFD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single" w:color="auto" w:sz="12" w:space="0"/>
              <w:left w:val="nil"/>
              <w:bottom w:val="nil"/>
              <w:right w:val="single" w:color="auto" w:sz="12" w:space="0"/>
            </w:tcBorders>
            <w:noWrap/>
            <w:vAlign w:val="center"/>
          </w:tcPr>
          <w:p w14:paraId="05004D3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IT-RT group, n (%)</w:t>
            </w:r>
          </w:p>
        </w:tc>
        <w:tc>
          <w:tcPr>
            <w:tcW w:w="0" w:type="auto"/>
            <w:tcBorders>
              <w:top w:val="single" w:color="auto" w:sz="12" w:space="0"/>
              <w:left w:val="single" w:color="auto" w:sz="12" w:space="0"/>
              <w:bottom w:val="nil"/>
              <w:right w:val="nil"/>
            </w:tcBorders>
            <w:noWrap/>
            <w:vAlign w:val="center"/>
          </w:tcPr>
          <w:p w14:paraId="779EB02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(21.74)</w:t>
            </w:r>
          </w:p>
        </w:tc>
        <w:tc>
          <w:tcPr>
            <w:tcW w:w="0" w:type="auto"/>
            <w:tcBorders>
              <w:top w:val="single" w:color="auto" w:sz="12" w:space="0"/>
              <w:left w:val="nil"/>
              <w:bottom w:val="nil"/>
              <w:right w:val="nil"/>
            </w:tcBorders>
            <w:vAlign w:val="center"/>
          </w:tcPr>
          <w:p w14:paraId="1DD900C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36</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(78.26)</w:t>
            </w:r>
          </w:p>
        </w:tc>
        <w:tc>
          <w:tcPr>
            <w:tcW w:w="0" w:type="auto"/>
            <w:tcBorders>
              <w:top w:val="single" w:color="auto" w:sz="12" w:space="0"/>
              <w:left w:val="nil"/>
              <w:bottom w:val="nil"/>
              <w:right w:val="nil"/>
            </w:tcBorders>
            <w:vAlign w:val="center"/>
          </w:tcPr>
          <w:p w14:paraId="290034C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single" w:color="auto" w:sz="12" w:space="0"/>
              <w:left w:val="nil"/>
              <w:bottom w:val="nil"/>
              <w:right w:val="nil"/>
            </w:tcBorders>
            <w:vAlign w:val="center"/>
          </w:tcPr>
          <w:p w14:paraId="07F67A2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17</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(36.96)</w:t>
            </w:r>
          </w:p>
        </w:tc>
        <w:tc>
          <w:tcPr>
            <w:tcW w:w="0" w:type="auto"/>
            <w:tcBorders>
              <w:top w:val="single" w:color="auto" w:sz="12" w:space="0"/>
              <w:left w:val="nil"/>
              <w:bottom w:val="nil"/>
              <w:right w:val="nil"/>
            </w:tcBorders>
            <w:vAlign w:val="center"/>
          </w:tcPr>
          <w:p w14:paraId="15B8462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29</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(63.04)</w:t>
            </w:r>
          </w:p>
        </w:tc>
        <w:tc>
          <w:tcPr>
            <w:tcW w:w="0" w:type="auto"/>
            <w:tcBorders>
              <w:top w:val="single" w:color="auto" w:sz="12" w:space="0"/>
              <w:left w:val="nil"/>
              <w:bottom w:val="nil"/>
              <w:right w:val="nil"/>
            </w:tcBorders>
            <w:vAlign w:val="center"/>
          </w:tcPr>
          <w:p w14:paraId="59679A1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17</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(36.96)</w:t>
            </w:r>
          </w:p>
        </w:tc>
        <w:tc>
          <w:tcPr>
            <w:tcW w:w="0" w:type="auto"/>
            <w:tcBorders>
              <w:top w:val="single" w:color="auto" w:sz="12" w:space="0"/>
              <w:left w:val="nil"/>
              <w:bottom w:val="nil"/>
              <w:right w:val="nil"/>
            </w:tcBorders>
            <w:vAlign w:val="center"/>
          </w:tcPr>
          <w:p w14:paraId="7690058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23</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(50.00)</w:t>
            </w:r>
          </w:p>
        </w:tc>
      </w:tr>
      <w:tr w14:paraId="6BC626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6229917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IT-only group, n (%)</w:t>
            </w:r>
          </w:p>
        </w:tc>
        <w:tc>
          <w:tcPr>
            <w:tcW w:w="0" w:type="auto"/>
            <w:tcBorders>
              <w:top w:val="nil"/>
              <w:left w:val="single" w:color="auto" w:sz="12" w:space="0"/>
              <w:bottom w:val="nil"/>
              <w:right w:val="nil"/>
            </w:tcBorders>
            <w:noWrap/>
            <w:vAlign w:val="center"/>
          </w:tcPr>
          <w:p w14:paraId="6FBD9DA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(36.59)</w:t>
            </w:r>
          </w:p>
        </w:tc>
        <w:tc>
          <w:tcPr>
            <w:tcW w:w="0" w:type="auto"/>
            <w:tcBorders>
              <w:top w:val="nil"/>
              <w:left w:val="nil"/>
              <w:bottom w:val="nil"/>
              <w:right w:val="nil"/>
            </w:tcBorders>
            <w:vAlign w:val="center"/>
          </w:tcPr>
          <w:p w14:paraId="5856D8D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78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(63.41)</w:t>
            </w:r>
          </w:p>
        </w:tc>
        <w:tc>
          <w:tcPr>
            <w:tcW w:w="0" w:type="auto"/>
            <w:tcBorders>
              <w:top w:val="nil"/>
              <w:left w:val="nil"/>
              <w:bottom w:val="nil"/>
              <w:right w:val="nil"/>
            </w:tcBorders>
            <w:vAlign w:val="center"/>
          </w:tcPr>
          <w:p w14:paraId="16C914E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(1.63)</w:t>
            </w:r>
          </w:p>
        </w:tc>
        <w:tc>
          <w:tcPr>
            <w:tcW w:w="0" w:type="auto"/>
            <w:tcBorders>
              <w:top w:val="nil"/>
              <w:left w:val="nil"/>
              <w:bottom w:val="nil"/>
              <w:right w:val="nil"/>
            </w:tcBorders>
            <w:vAlign w:val="center"/>
          </w:tcPr>
          <w:p w14:paraId="3B33E49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(40.65)</w:t>
            </w:r>
          </w:p>
        </w:tc>
        <w:tc>
          <w:tcPr>
            <w:tcW w:w="0" w:type="auto"/>
            <w:tcBorders>
              <w:top w:val="nil"/>
              <w:left w:val="nil"/>
              <w:bottom w:val="nil"/>
              <w:right w:val="nil"/>
            </w:tcBorders>
            <w:vAlign w:val="center"/>
          </w:tcPr>
          <w:p w14:paraId="50D56CA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71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(57.72)</w:t>
            </w:r>
          </w:p>
        </w:tc>
        <w:tc>
          <w:tcPr>
            <w:tcW w:w="0" w:type="auto"/>
            <w:tcBorders>
              <w:top w:val="nil"/>
              <w:left w:val="nil"/>
              <w:bottom w:val="nil"/>
              <w:right w:val="nil"/>
            </w:tcBorders>
            <w:vAlign w:val="center"/>
          </w:tcPr>
          <w:p w14:paraId="26B6A09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52(42.28)</w:t>
            </w:r>
          </w:p>
        </w:tc>
        <w:tc>
          <w:tcPr>
            <w:tcW w:w="0" w:type="auto"/>
            <w:tcBorders>
              <w:top w:val="nil"/>
              <w:left w:val="nil"/>
              <w:bottom w:val="nil"/>
              <w:right w:val="nil"/>
            </w:tcBorders>
            <w:vAlign w:val="center"/>
          </w:tcPr>
          <w:p w14:paraId="473C34E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57</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(46.34)</w:t>
            </w:r>
          </w:p>
        </w:tc>
      </w:tr>
      <w:tr w14:paraId="3416BEE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2BB3AF9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noWrap/>
            <w:vAlign w:val="center"/>
          </w:tcPr>
          <w:p w14:paraId="2765127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3.361</w:t>
            </w:r>
          </w:p>
        </w:tc>
        <w:tc>
          <w:tcPr>
            <w:tcW w:w="0" w:type="auto"/>
            <w:tcBorders>
              <w:top w:val="nil"/>
              <w:left w:val="nil"/>
              <w:bottom w:val="nil"/>
              <w:right w:val="nil"/>
            </w:tcBorders>
            <w:vAlign w:val="center"/>
          </w:tcPr>
          <w:p w14:paraId="6B81754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3.361</w:t>
            </w:r>
          </w:p>
        </w:tc>
        <w:tc>
          <w:tcPr>
            <w:tcW w:w="0" w:type="auto"/>
            <w:tcBorders>
              <w:top w:val="nil"/>
              <w:left w:val="nil"/>
              <w:bottom w:val="nil"/>
              <w:right w:val="nil"/>
            </w:tcBorders>
            <w:vAlign w:val="center"/>
          </w:tcPr>
          <w:p w14:paraId="607D2B2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0.757</w:t>
            </w:r>
          </w:p>
        </w:tc>
        <w:tc>
          <w:tcPr>
            <w:tcW w:w="0" w:type="auto"/>
            <w:tcBorders>
              <w:top w:val="nil"/>
              <w:left w:val="nil"/>
              <w:bottom w:val="nil"/>
              <w:right w:val="nil"/>
            </w:tcBorders>
            <w:vAlign w:val="center"/>
          </w:tcPr>
          <w:p w14:paraId="3CECD1C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0.191</w:t>
            </w:r>
          </w:p>
        </w:tc>
        <w:tc>
          <w:tcPr>
            <w:tcW w:w="0" w:type="auto"/>
            <w:tcBorders>
              <w:top w:val="nil"/>
              <w:left w:val="nil"/>
              <w:bottom w:val="nil"/>
              <w:right w:val="nil"/>
            </w:tcBorders>
            <w:vAlign w:val="center"/>
          </w:tcPr>
          <w:p w14:paraId="6438A6F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0.392</w:t>
            </w:r>
          </w:p>
        </w:tc>
        <w:tc>
          <w:tcPr>
            <w:tcW w:w="0" w:type="auto"/>
            <w:tcBorders>
              <w:top w:val="nil"/>
              <w:left w:val="nil"/>
              <w:bottom w:val="nil"/>
              <w:right w:val="nil"/>
            </w:tcBorders>
            <w:vAlign w:val="center"/>
          </w:tcPr>
          <w:p w14:paraId="6C6B471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0.392</w:t>
            </w:r>
          </w:p>
        </w:tc>
        <w:tc>
          <w:tcPr>
            <w:tcW w:w="0" w:type="auto"/>
            <w:tcBorders>
              <w:top w:val="nil"/>
              <w:left w:val="nil"/>
              <w:bottom w:val="nil"/>
              <w:right w:val="nil"/>
            </w:tcBorders>
            <w:vAlign w:val="center"/>
          </w:tcPr>
          <w:p w14:paraId="6A93685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0.180</w:t>
            </w:r>
          </w:p>
        </w:tc>
      </w:tr>
      <w:tr w14:paraId="539D66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right w:val="single" w:color="auto" w:sz="12" w:space="0"/>
            </w:tcBorders>
            <w:noWrap/>
            <w:vAlign w:val="center"/>
          </w:tcPr>
          <w:p w14:paraId="67A7647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0" w:type="auto"/>
            <w:tcBorders>
              <w:top w:val="nil"/>
              <w:left w:val="single" w:color="auto" w:sz="12" w:space="0"/>
              <w:right w:val="nil"/>
            </w:tcBorders>
            <w:noWrap/>
            <w:vAlign w:val="center"/>
          </w:tcPr>
          <w:p w14:paraId="1BC5DEF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0.067</w:t>
            </w:r>
          </w:p>
        </w:tc>
        <w:tc>
          <w:tcPr>
            <w:tcW w:w="0" w:type="auto"/>
            <w:tcBorders>
              <w:top w:val="nil"/>
              <w:left w:val="nil"/>
              <w:right w:val="nil"/>
            </w:tcBorders>
            <w:vAlign w:val="center"/>
          </w:tcPr>
          <w:p w14:paraId="1107198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0.067</w:t>
            </w:r>
          </w:p>
        </w:tc>
        <w:tc>
          <w:tcPr>
            <w:tcW w:w="0" w:type="auto"/>
            <w:tcBorders>
              <w:top w:val="nil"/>
              <w:left w:val="nil"/>
              <w:right w:val="nil"/>
            </w:tcBorders>
            <w:vAlign w:val="center"/>
          </w:tcPr>
          <w:p w14:paraId="586BE0B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0.384</w:t>
            </w:r>
          </w:p>
        </w:tc>
        <w:tc>
          <w:tcPr>
            <w:tcW w:w="0" w:type="auto"/>
            <w:tcBorders>
              <w:top w:val="nil"/>
              <w:left w:val="nil"/>
              <w:right w:val="nil"/>
            </w:tcBorders>
            <w:vAlign w:val="center"/>
          </w:tcPr>
          <w:p w14:paraId="3D98593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0.662</w:t>
            </w:r>
          </w:p>
        </w:tc>
        <w:tc>
          <w:tcPr>
            <w:tcW w:w="0" w:type="auto"/>
            <w:tcBorders>
              <w:top w:val="nil"/>
              <w:left w:val="nil"/>
              <w:right w:val="nil"/>
            </w:tcBorders>
            <w:vAlign w:val="center"/>
          </w:tcPr>
          <w:p w14:paraId="18A38E8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0.531</w:t>
            </w:r>
          </w:p>
        </w:tc>
        <w:tc>
          <w:tcPr>
            <w:tcW w:w="0" w:type="auto"/>
            <w:tcBorders>
              <w:top w:val="nil"/>
              <w:left w:val="nil"/>
              <w:bottom w:val="single" w:color="auto" w:sz="12" w:space="0"/>
              <w:right w:val="nil"/>
            </w:tcBorders>
            <w:vAlign w:val="center"/>
          </w:tcPr>
          <w:p w14:paraId="55A00BC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0.531</w:t>
            </w:r>
          </w:p>
        </w:tc>
        <w:tc>
          <w:tcPr>
            <w:tcW w:w="0" w:type="auto"/>
            <w:tcBorders>
              <w:top w:val="nil"/>
              <w:left w:val="nil"/>
              <w:bottom w:val="single" w:color="auto" w:sz="12" w:space="0"/>
              <w:right w:val="nil"/>
            </w:tcBorders>
            <w:vAlign w:val="center"/>
          </w:tcPr>
          <w:p w14:paraId="77F02A8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0.672</w:t>
            </w:r>
          </w:p>
        </w:tc>
      </w:tr>
    </w:tbl>
    <w:p w14:paraId="58833857">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Abbreviations:iCR, immune complete response; iPR, immune partial response; iSD, immune stable disease; ORR, objective response rate.</w:t>
      </w:r>
    </w:p>
    <w:p w14:paraId="3D15470F">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S9  Clinical efficacy evaluation of Stage IV patients in the IT-RT group and the IT-only group</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976"/>
        <w:gridCol w:w="1216"/>
        <w:gridCol w:w="1216"/>
        <w:gridCol w:w="1216"/>
        <w:gridCol w:w="1936"/>
      </w:tblGrid>
      <w:tr w14:paraId="3410C2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single" w:color="auto" w:sz="12" w:space="0"/>
              <w:left w:val="nil"/>
              <w:bottom w:val="single" w:color="auto" w:sz="12" w:space="0"/>
              <w:right w:val="nil"/>
              <w:insideV w:val="nil"/>
              <w:tl2br w:val="nil"/>
              <w:tr2bl w:val="nil"/>
            </w:tcBorders>
            <w:noWrap/>
          </w:tcPr>
          <w:p w14:paraId="7453E20A">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tcPr>
          <w:p w14:paraId="5113806F">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tcPr>
          <w:p w14:paraId="74330441">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tcPr>
          <w:p w14:paraId="64371AF6">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tcPr>
          <w:p w14:paraId="31123831">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tcPr>
          <w:p w14:paraId="23028E10">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5EB6D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single" w:color="auto" w:sz="12" w:space="0"/>
              <w:left w:val="nil"/>
              <w:bottom w:val="nil"/>
              <w:right w:val="single" w:color="auto" w:sz="12" w:space="0"/>
            </w:tcBorders>
            <w:noWrap/>
          </w:tcPr>
          <w:p w14:paraId="02071A3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IT-RT group, n (%)</w:t>
            </w:r>
          </w:p>
        </w:tc>
        <w:tc>
          <w:tcPr>
            <w:tcW w:w="0" w:type="auto"/>
            <w:tcBorders>
              <w:top w:val="single" w:color="auto" w:sz="12" w:space="0"/>
              <w:left w:val="single" w:color="auto" w:sz="12" w:space="0"/>
              <w:bottom w:val="nil"/>
              <w:right w:val="nil"/>
            </w:tcBorders>
          </w:tcPr>
          <w:p w14:paraId="658487C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single" w:color="auto" w:sz="12" w:space="0"/>
              <w:left w:val="nil"/>
              <w:bottom w:val="nil"/>
              <w:right w:val="nil"/>
            </w:tcBorders>
          </w:tcPr>
          <w:p w14:paraId="28594C5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(30.56)</w:t>
            </w:r>
          </w:p>
        </w:tc>
        <w:tc>
          <w:tcPr>
            <w:tcW w:w="0" w:type="auto"/>
            <w:tcBorders>
              <w:top w:val="single" w:color="auto" w:sz="12" w:space="0"/>
              <w:left w:val="nil"/>
              <w:bottom w:val="nil"/>
              <w:right w:val="nil"/>
            </w:tcBorders>
          </w:tcPr>
          <w:p w14:paraId="04D3545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(69.44)</w:t>
            </w:r>
          </w:p>
        </w:tc>
        <w:tc>
          <w:tcPr>
            <w:tcW w:w="0" w:type="auto"/>
            <w:tcBorders>
              <w:top w:val="single" w:color="auto" w:sz="12" w:space="0"/>
              <w:left w:val="nil"/>
              <w:bottom w:val="nil"/>
              <w:right w:val="nil"/>
            </w:tcBorders>
          </w:tcPr>
          <w:p w14:paraId="3A567AA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(30.56)</w:t>
            </w:r>
          </w:p>
        </w:tc>
        <w:tc>
          <w:tcPr>
            <w:tcW w:w="0" w:type="auto"/>
            <w:tcBorders>
              <w:top w:val="single" w:color="auto" w:sz="12" w:space="0"/>
              <w:left w:val="nil"/>
              <w:bottom w:val="nil"/>
              <w:right w:val="nil"/>
            </w:tcBorders>
          </w:tcPr>
          <w:p w14:paraId="22ACEAC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(41.67)</w:t>
            </w:r>
          </w:p>
        </w:tc>
      </w:tr>
      <w:tr w14:paraId="5F1229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nil"/>
              <w:left w:val="nil"/>
              <w:bottom w:val="nil"/>
              <w:right w:val="single" w:color="auto" w:sz="12" w:space="0"/>
            </w:tcBorders>
            <w:noWrap/>
          </w:tcPr>
          <w:p w14:paraId="27AB501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IT-only group, n (%)</w:t>
            </w:r>
          </w:p>
        </w:tc>
        <w:tc>
          <w:tcPr>
            <w:tcW w:w="0" w:type="auto"/>
            <w:tcBorders>
              <w:top w:val="nil"/>
              <w:left w:val="single" w:color="auto" w:sz="12" w:space="0"/>
              <w:bottom w:val="nil"/>
              <w:right w:val="nil"/>
            </w:tcBorders>
          </w:tcPr>
          <w:p w14:paraId="722C2AB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(2.56)</w:t>
            </w:r>
          </w:p>
        </w:tc>
        <w:tc>
          <w:tcPr>
            <w:tcW w:w="0" w:type="auto"/>
            <w:tcBorders>
              <w:top w:val="nil"/>
              <w:left w:val="nil"/>
              <w:bottom w:val="nil"/>
              <w:right w:val="nil"/>
            </w:tcBorders>
          </w:tcPr>
          <w:p w14:paraId="2370913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(39.74)</w:t>
            </w:r>
          </w:p>
        </w:tc>
        <w:tc>
          <w:tcPr>
            <w:tcW w:w="0" w:type="auto"/>
            <w:tcBorders>
              <w:top w:val="nil"/>
              <w:left w:val="nil"/>
              <w:bottom w:val="nil"/>
              <w:right w:val="nil"/>
            </w:tcBorders>
          </w:tcPr>
          <w:p w14:paraId="307EDA7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(57.70)</w:t>
            </w:r>
          </w:p>
        </w:tc>
        <w:tc>
          <w:tcPr>
            <w:tcW w:w="0" w:type="auto"/>
            <w:tcBorders>
              <w:top w:val="nil"/>
              <w:left w:val="nil"/>
              <w:bottom w:val="nil"/>
              <w:right w:val="nil"/>
            </w:tcBorders>
          </w:tcPr>
          <w:p w14:paraId="0D8F127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33</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(42.30)</w:t>
            </w:r>
          </w:p>
        </w:tc>
        <w:tc>
          <w:tcPr>
            <w:tcW w:w="0" w:type="auto"/>
            <w:tcBorders>
              <w:top w:val="nil"/>
              <w:left w:val="nil"/>
              <w:bottom w:val="nil"/>
              <w:right w:val="nil"/>
            </w:tcBorders>
          </w:tcPr>
          <w:p w14:paraId="44C545C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(39.74)</w:t>
            </w:r>
          </w:p>
        </w:tc>
      </w:tr>
      <w:tr w14:paraId="0826CF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nil"/>
              <w:left w:val="nil"/>
              <w:bottom w:val="nil"/>
              <w:right w:val="single" w:color="auto" w:sz="12" w:space="0"/>
            </w:tcBorders>
            <w:noWrap/>
          </w:tcPr>
          <w:p w14:paraId="56CCF1E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tcPr>
          <w:p w14:paraId="0F69E01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bottom w:val="nil"/>
              <w:right w:val="nil"/>
            </w:tcBorders>
          </w:tcPr>
          <w:p w14:paraId="6BC5FD9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0.894</w:t>
            </w:r>
          </w:p>
        </w:tc>
        <w:tc>
          <w:tcPr>
            <w:tcW w:w="0" w:type="auto"/>
            <w:tcBorders>
              <w:top w:val="nil"/>
              <w:left w:val="nil"/>
              <w:bottom w:val="nil"/>
              <w:right w:val="nil"/>
            </w:tcBorders>
          </w:tcPr>
          <w:p w14:paraId="259F392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1.435</w:t>
            </w:r>
          </w:p>
        </w:tc>
        <w:tc>
          <w:tcPr>
            <w:tcW w:w="0" w:type="auto"/>
            <w:tcBorders>
              <w:top w:val="nil"/>
              <w:left w:val="nil"/>
              <w:bottom w:val="nil"/>
              <w:right w:val="nil"/>
            </w:tcBorders>
          </w:tcPr>
          <w:p w14:paraId="6860E4E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1.435</w:t>
            </w:r>
          </w:p>
        </w:tc>
        <w:tc>
          <w:tcPr>
            <w:tcW w:w="0" w:type="auto"/>
            <w:tcBorders>
              <w:top w:val="nil"/>
              <w:left w:val="nil"/>
              <w:bottom w:val="nil"/>
              <w:right w:val="nil"/>
            </w:tcBorders>
          </w:tcPr>
          <w:p w14:paraId="6839B02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0.038</w:t>
            </w:r>
          </w:p>
        </w:tc>
      </w:tr>
      <w:tr w14:paraId="43A41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0" w:type="auto"/>
            <w:tcBorders>
              <w:top w:val="nil"/>
              <w:left w:val="nil"/>
              <w:bottom w:val="single" w:color="auto" w:sz="12" w:space="0"/>
              <w:right w:val="single" w:color="auto" w:sz="12" w:space="0"/>
            </w:tcBorders>
            <w:noWrap/>
          </w:tcPr>
          <w:p w14:paraId="53FD2349">
            <w:pPr>
              <w:spacing w:after="0" w:line="360" w:lineRule="auto"/>
              <w:ind w:left="0" w:firstLine="0"/>
              <w:jc w:val="both"/>
              <w:rPr>
                <w:rFonts w:eastAsia="宋体"/>
                <w:b w:val="0"/>
                <w:bCs/>
                <w:color w:val="auto"/>
              </w:rPr>
            </w:pPr>
            <w:r>
              <w:rPr>
                <w:rFonts w:eastAsia="宋体"/>
                <w:b w:val="0"/>
                <w:bCs/>
                <w:i/>
                <w:iCs/>
                <w:color w:val="auto"/>
              </w:rPr>
              <w:t>p</w:t>
            </w:r>
            <w:r>
              <w:rPr>
                <w:rFonts w:eastAsia="宋体"/>
                <w:b w:val="0"/>
                <w:bCs/>
                <w:color w:val="auto"/>
              </w:rPr>
              <w:t>-value</w:t>
            </w:r>
          </w:p>
        </w:tc>
        <w:tc>
          <w:tcPr>
            <w:tcW w:w="0" w:type="auto"/>
            <w:tcBorders>
              <w:top w:val="nil"/>
              <w:left w:val="single" w:color="auto" w:sz="12" w:space="0"/>
              <w:right w:val="nil"/>
            </w:tcBorders>
          </w:tcPr>
          <w:p w14:paraId="313F913F">
            <w:pPr>
              <w:spacing w:after="0" w:line="360" w:lineRule="auto"/>
              <w:ind w:left="0" w:firstLine="0"/>
              <w:jc w:val="both"/>
              <w:rPr>
                <w:rFonts w:eastAsia="宋体"/>
                <w:b w:val="0"/>
                <w:bCs/>
                <w:color w:val="auto"/>
              </w:rPr>
            </w:pPr>
            <w:r>
              <w:rPr>
                <w:b w:val="0"/>
                <w:bCs/>
                <w:color w:val="auto"/>
              </w:rPr>
              <w:t>&gt; 0.999</w:t>
            </w:r>
          </w:p>
        </w:tc>
        <w:tc>
          <w:tcPr>
            <w:tcW w:w="0" w:type="auto"/>
            <w:tcBorders>
              <w:top w:val="nil"/>
              <w:left w:val="nil"/>
              <w:right w:val="nil"/>
            </w:tcBorders>
          </w:tcPr>
          <w:p w14:paraId="6EB3DCAD">
            <w:pPr>
              <w:spacing w:after="0" w:line="360" w:lineRule="auto"/>
              <w:ind w:left="0" w:firstLine="0"/>
              <w:jc w:val="both"/>
              <w:rPr>
                <w:rFonts w:eastAsia="宋体"/>
                <w:b w:val="0"/>
                <w:bCs/>
                <w:color w:val="auto"/>
              </w:rPr>
            </w:pPr>
            <w:r>
              <w:rPr>
                <w:rFonts w:eastAsia="宋体"/>
                <w:b w:val="0"/>
                <w:bCs/>
                <w:color w:val="auto"/>
              </w:rPr>
              <w:t>0.344</w:t>
            </w:r>
          </w:p>
        </w:tc>
        <w:tc>
          <w:tcPr>
            <w:tcW w:w="0" w:type="auto"/>
            <w:tcBorders>
              <w:top w:val="nil"/>
              <w:left w:val="nil"/>
              <w:right w:val="nil"/>
            </w:tcBorders>
          </w:tcPr>
          <w:p w14:paraId="0525BAE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0.231</w:t>
            </w:r>
          </w:p>
        </w:tc>
        <w:tc>
          <w:tcPr>
            <w:tcW w:w="0" w:type="auto"/>
            <w:tcBorders>
              <w:top w:val="nil"/>
              <w:left w:val="nil"/>
              <w:right w:val="nil"/>
            </w:tcBorders>
          </w:tcPr>
          <w:p w14:paraId="13810D7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0.231</w:t>
            </w:r>
          </w:p>
        </w:tc>
        <w:tc>
          <w:tcPr>
            <w:tcW w:w="0" w:type="auto"/>
            <w:tcBorders>
              <w:top w:val="nil"/>
              <w:left w:val="nil"/>
              <w:right w:val="nil"/>
            </w:tcBorders>
          </w:tcPr>
          <w:p w14:paraId="58EE28E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0.846</w:t>
            </w:r>
          </w:p>
        </w:tc>
      </w:tr>
    </w:tbl>
    <w:p w14:paraId="0968DB2E">
      <w:pPr>
        <w:spacing w:after="0" w:line="360" w:lineRule="auto"/>
        <w:ind w:left="0" w:firstLine="0"/>
        <w:jc w:val="both"/>
        <w:rPr>
          <w:rFonts w:eastAsiaTheme="minorEastAsia"/>
          <w:b w:val="0"/>
          <w:bCs/>
          <w:color w:val="000000" w:themeColor="text1"/>
          <w14:textFill>
            <w14:solidFill>
              <w14:schemeClr w14:val="tx1"/>
            </w14:solidFill>
          </w14:textFill>
        </w:rPr>
      </w:pPr>
    </w:p>
    <w:p w14:paraId="16AD3906">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Abbreviations:iCR, immune complete response; iPR, immune partial response; iSD, immune stable disease; ORR, objective response rate.</w:t>
      </w:r>
    </w:p>
    <w:p w14:paraId="0E714F5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S10  Efficacy evaluation of patients with and without irAEs in the IT-RT subgroup</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903"/>
        <w:gridCol w:w="1096"/>
        <w:gridCol w:w="1155"/>
        <w:gridCol w:w="939"/>
        <w:gridCol w:w="1059"/>
        <w:gridCol w:w="1155"/>
        <w:gridCol w:w="1059"/>
        <w:gridCol w:w="1730"/>
      </w:tblGrid>
      <w:tr w14:paraId="0C17ACF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single" w:color="auto" w:sz="12" w:space="0"/>
              <w:left w:val="nil"/>
              <w:bottom w:val="single" w:color="auto" w:sz="12" w:space="0"/>
              <w:right w:val="nil"/>
              <w:insideV w:val="nil"/>
              <w:tl2br w:val="nil"/>
              <w:tr2bl w:val="nil"/>
            </w:tcBorders>
            <w:noWrap/>
            <w:vAlign w:val="center"/>
          </w:tcPr>
          <w:p w14:paraId="2BFD338A">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noWrap/>
            <w:vAlign w:val="center"/>
          </w:tcPr>
          <w:p w14:paraId="2BAF0FCC">
            <w:pPr>
              <w:wordWrap/>
              <w:spacing w:after="0" w:line="360" w:lineRule="auto"/>
              <w:ind w:left="0" w:firstLine="0"/>
              <w:jc w:val="both"/>
              <w:rPr>
                <w:rFonts w:ascii="Times New Roman" w:hAnsi="Times New Roman" w:eastAsia="宋体"/>
                <w:b w:val="0"/>
                <w:bCs/>
                <w:i w:val="0"/>
                <w:color w:val="000000" w:themeColor="text1"/>
                <w:szCs w:val="2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III</w:t>
            </w:r>
          </w:p>
        </w:tc>
        <w:tc>
          <w:tcPr>
            <w:tcW w:w="0" w:type="auto"/>
            <w:tcBorders>
              <w:top w:val="single" w:color="auto" w:sz="12" w:space="0"/>
              <w:bottom w:val="single" w:color="auto" w:sz="12" w:space="0"/>
              <w:right w:val="nil"/>
              <w:insideV w:val="nil"/>
              <w:tl2br w:val="nil"/>
              <w:tr2bl w:val="nil"/>
            </w:tcBorders>
            <w:vAlign w:val="center"/>
          </w:tcPr>
          <w:p w14:paraId="75FDD6B4">
            <w:pPr>
              <w:wordWrap/>
              <w:spacing w:after="0" w:line="360" w:lineRule="auto"/>
              <w:ind w:left="0" w:firstLine="0"/>
              <w:jc w:val="both"/>
              <w:rPr>
                <w:rFonts w:ascii="Times New Roman" w:hAnsi="Times New Roman" w:eastAsia="宋体"/>
                <w:b w:val="0"/>
                <w:bCs/>
                <w:i w:val="0"/>
                <w:color w:val="000000" w:themeColor="text1"/>
                <w:szCs w:val="2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IV</w:t>
            </w:r>
          </w:p>
        </w:tc>
        <w:tc>
          <w:tcPr>
            <w:tcW w:w="0" w:type="auto"/>
            <w:tcBorders>
              <w:top w:val="single" w:color="auto" w:sz="12" w:space="0"/>
              <w:bottom w:val="single" w:color="auto" w:sz="12" w:space="0"/>
              <w:right w:val="nil"/>
              <w:insideV w:val="nil"/>
              <w:tl2br w:val="nil"/>
              <w:tr2bl w:val="nil"/>
            </w:tcBorders>
            <w:vAlign w:val="center"/>
          </w:tcPr>
          <w:p w14:paraId="2622B02D">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vAlign w:val="center"/>
          </w:tcPr>
          <w:p w14:paraId="1BCD80B2">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vAlign w:val="center"/>
          </w:tcPr>
          <w:p w14:paraId="35CEF80B">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vAlign w:val="center"/>
          </w:tcPr>
          <w:p w14:paraId="600E8D7E">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vAlign w:val="center"/>
          </w:tcPr>
          <w:p w14:paraId="29571043">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18F1C7D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single" w:color="auto" w:sz="12" w:space="0"/>
              <w:left w:val="nil"/>
              <w:bottom w:val="nil"/>
              <w:right w:val="single" w:color="auto" w:sz="12" w:space="0"/>
            </w:tcBorders>
            <w:noWrap/>
            <w:vAlign w:val="center"/>
          </w:tcPr>
          <w:p w14:paraId="035426C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 irAEs, n (%)</w:t>
            </w:r>
          </w:p>
        </w:tc>
        <w:tc>
          <w:tcPr>
            <w:tcW w:w="0" w:type="auto"/>
            <w:tcBorders>
              <w:top w:val="single" w:color="auto" w:sz="12" w:space="0"/>
              <w:left w:val="single" w:color="auto" w:sz="12" w:space="0"/>
              <w:bottom w:val="nil"/>
              <w:right w:val="nil"/>
            </w:tcBorders>
            <w:noWrap/>
            <w:vAlign w:val="center"/>
          </w:tcPr>
          <w:p w14:paraId="4E61457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(8.70)</w:t>
            </w:r>
          </w:p>
        </w:tc>
        <w:tc>
          <w:tcPr>
            <w:tcW w:w="0" w:type="auto"/>
            <w:tcBorders>
              <w:top w:val="single" w:color="auto" w:sz="12" w:space="0"/>
              <w:left w:val="nil"/>
              <w:bottom w:val="nil"/>
              <w:right w:val="nil"/>
            </w:tcBorders>
            <w:vAlign w:val="center"/>
          </w:tcPr>
          <w:p w14:paraId="04B39D0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(91.30)</w:t>
            </w:r>
          </w:p>
        </w:tc>
        <w:tc>
          <w:tcPr>
            <w:tcW w:w="0" w:type="auto"/>
            <w:tcBorders>
              <w:top w:val="single" w:color="auto" w:sz="12" w:space="0"/>
              <w:left w:val="nil"/>
              <w:bottom w:val="nil"/>
              <w:right w:val="nil"/>
            </w:tcBorders>
            <w:vAlign w:val="center"/>
          </w:tcPr>
          <w:p w14:paraId="799C3DD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single" w:color="auto" w:sz="12" w:space="0"/>
              <w:left w:val="nil"/>
              <w:bottom w:val="nil"/>
              <w:right w:val="nil"/>
            </w:tcBorders>
            <w:vAlign w:val="center"/>
          </w:tcPr>
          <w:p w14:paraId="79FCECD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9</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(39.13)</w:t>
            </w:r>
          </w:p>
        </w:tc>
        <w:tc>
          <w:tcPr>
            <w:tcW w:w="0" w:type="auto"/>
            <w:tcBorders>
              <w:top w:val="single" w:color="auto" w:sz="12" w:space="0"/>
              <w:left w:val="nil"/>
              <w:bottom w:val="nil"/>
              <w:right w:val="nil"/>
            </w:tcBorders>
            <w:vAlign w:val="center"/>
          </w:tcPr>
          <w:p w14:paraId="7717EE6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14</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(60.87)</w:t>
            </w:r>
          </w:p>
        </w:tc>
        <w:tc>
          <w:tcPr>
            <w:tcW w:w="0" w:type="auto"/>
            <w:tcBorders>
              <w:top w:val="single" w:color="auto" w:sz="12" w:space="0"/>
              <w:left w:val="nil"/>
              <w:bottom w:val="nil"/>
              <w:right w:val="nil"/>
            </w:tcBorders>
            <w:vAlign w:val="center"/>
          </w:tcPr>
          <w:p w14:paraId="6C225CC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9</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(39.13)</w:t>
            </w:r>
          </w:p>
        </w:tc>
        <w:tc>
          <w:tcPr>
            <w:tcW w:w="0" w:type="auto"/>
            <w:tcBorders>
              <w:top w:val="single" w:color="auto" w:sz="12" w:space="0"/>
              <w:left w:val="nil"/>
              <w:bottom w:val="nil"/>
              <w:right w:val="nil"/>
            </w:tcBorders>
            <w:vAlign w:val="center"/>
          </w:tcPr>
          <w:p w14:paraId="7D4D48E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(43.48)</w:t>
            </w:r>
          </w:p>
        </w:tc>
      </w:tr>
      <w:tr w14:paraId="4873504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0E8B5BF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without irAEs, n (%)</w:t>
            </w:r>
          </w:p>
        </w:tc>
        <w:tc>
          <w:tcPr>
            <w:tcW w:w="0" w:type="auto"/>
            <w:tcBorders>
              <w:top w:val="nil"/>
              <w:left w:val="single" w:color="auto" w:sz="12" w:space="0"/>
              <w:bottom w:val="nil"/>
              <w:right w:val="nil"/>
            </w:tcBorders>
            <w:noWrap/>
            <w:vAlign w:val="center"/>
          </w:tcPr>
          <w:p w14:paraId="1352FD2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(34.78)</w:t>
            </w:r>
          </w:p>
        </w:tc>
        <w:tc>
          <w:tcPr>
            <w:tcW w:w="0" w:type="auto"/>
            <w:tcBorders>
              <w:top w:val="nil"/>
              <w:left w:val="nil"/>
              <w:bottom w:val="nil"/>
              <w:right w:val="nil"/>
            </w:tcBorders>
            <w:vAlign w:val="center"/>
          </w:tcPr>
          <w:p w14:paraId="71C76BE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(65.22)</w:t>
            </w:r>
          </w:p>
        </w:tc>
        <w:tc>
          <w:tcPr>
            <w:tcW w:w="0" w:type="auto"/>
            <w:tcBorders>
              <w:top w:val="nil"/>
              <w:left w:val="nil"/>
              <w:bottom w:val="nil"/>
              <w:right w:val="nil"/>
            </w:tcBorders>
            <w:vAlign w:val="center"/>
          </w:tcPr>
          <w:p w14:paraId="0A8384D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nil"/>
              <w:left w:val="nil"/>
              <w:bottom w:val="nil"/>
              <w:right w:val="nil"/>
            </w:tcBorders>
            <w:vAlign w:val="center"/>
          </w:tcPr>
          <w:p w14:paraId="728BF2C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(34.78)</w:t>
            </w:r>
          </w:p>
        </w:tc>
        <w:tc>
          <w:tcPr>
            <w:tcW w:w="0" w:type="auto"/>
            <w:tcBorders>
              <w:top w:val="nil"/>
              <w:left w:val="nil"/>
              <w:bottom w:val="nil"/>
              <w:right w:val="nil"/>
            </w:tcBorders>
            <w:vAlign w:val="center"/>
          </w:tcPr>
          <w:p w14:paraId="7DED07B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(65.22)</w:t>
            </w:r>
          </w:p>
        </w:tc>
        <w:tc>
          <w:tcPr>
            <w:tcW w:w="0" w:type="auto"/>
            <w:tcBorders>
              <w:top w:val="nil"/>
              <w:left w:val="nil"/>
              <w:bottom w:val="nil"/>
              <w:right w:val="nil"/>
            </w:tcBorders>
            <w:vAlign w:val="center"/>
          </w:tcPr>
          <w:p w14:paraId="094CFE0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(34.78)</w:t>
            </w:r>
          </w:p>
        </w:tc>
        <w:tc>
          <w:tcPr>
            <w:tcW w:w="0" w:type="auto"/>
            <w:tcBorders>
              <w:top w:val="nil"/>
              <w:left w:val="nil"/>
              <w:bottom w:val="nil"/>
              <w:right w:val="nil"/>
            </w:tcBorders>
            <w:vAlign w:val="center"/>
          </w:tcPr>
          <w:p w14:paraId="69B9F53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13</w:t>
            </w:r>
          </w:p>
          <w:p w14:paraId="1E01DC7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(56.52)</w:t>
            </w:r>
          </w:p>
        </w:tc>
      </w:tr>
      <w:tr w14:paraId="610A9A0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0ADC144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noWrap/>
            <w:vAlign w:val="center"/>
          </w:tcPr>
          <w:p w14:paraId="3802C92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3.194</w:t>
            </w:r>
          </w:p>
        </w:tc>
        <w:tc>
          <w:tcPr>
            <w:tcW w:w="0" w:type="auto"/>
            <w:tcBorders>
              <w:top w:val="nil"/>
              <w:left w:val="nil"/>
              <w:bottom w:val="nil"/>
              <w:right w:val="nil"/>
            </w:tcBorders>
            <w:vAlign w:val="center"/>
          </w:tcPr>
          <w:p w14:paraId="5DEAA89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3.194</w:t>
            </w:r>
          </w:p>
        </w:tc>
        <w:tc>
          <w:tcPr>
            <w:tcW w:w="0" w:type="auto"/>
            <w:tcBorders>
              <w:top w:val="nil"/>
              <w:left w:val="nil"/>
              <w:bottom w:val="nil"/>
              <w:right w:val="nil"/>
            </w:tcBorders>
            <w:vAlign w:val="center"/>
          </w:tcPr>
          <w:p w14:paraId="0E528C2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bottom w:val="nil"/>
              <w:right w:val="nil"/>
            </w:tcBorders>
            <w:vAlign w:val="center"/>
          </w:tcPr>
          <w:p w14:paraId="0FD6E80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0.093</w:t>
            </w:r>
          </w:p>
        </w:tc>
        <w:tc>
          <w:tcPr>
            <w:tcW w:w="0" w:type="auto"/>
            <w:tcBorders>
              <w:top w:val="nil"/>
              <w:left w:val="nil"/>
              <w:bottom w:val="nil"/>
              <w:right w:val="nil"/>
            </w:tcBorders>
            <w:vAlign w:val="center"/>
          </w:tcPr>
          <w:p w14:paraId="4290B2D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0.093</w:t>
            </w:r>
          </w:p>
        </w:tc>
        <w:tc>
          <w:tcPr>
            <w:tcW w:w="0" w:type="auto"/>
            <w:tcBorders>
              <w:top w:val="nil"/>
              <w:left w:val="nil"/>
              <w:bottom w:val="nil"/>
              <w:right w:val="nil"/>
            </w:tcBorders>
            <w:vAlign w:val="center"/>
          </w:tcPr>
          <w:p w14:paraId="442A52A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0.093</w:t>
            </w:r>
          </w:p>
        </w:tc>
        <w:tc>
          <w:tcPr>
            <w:tcW w:w="0" w:type="auto"/>
            <w:tcBorders>
              <w:top w:val="nil"/>
              <w:left w:val="nil"/>
              <w:bottom w:val="nil"/>
              <w:right w:val="nil"/>
            </w:tcBorders>
            <w:vAlign w:val="center"/>
          </w:tcPr>
          <w:p w14:paraId="26B0A08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0.783</w:t>
            </w:r>
          </w:p>
        </w:tc>
      </w:tr>
      <w:tr w14:paraId="67A8DCA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right w:val="single" w:color="auto" w:sz="12" w:space="0"/>
            </w:tcBorders>
            <w:noWrap/>
            <w:vAlign w:val="center"/>
          </w:tcPr>
          <w:p w14:paraId="6EC2FF1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0" w:type="auto"/>
            <w:tcBorders>
              <w:top w:val="nil"/>
              <w:left w:val="single" w:color="auto" w:sz="12" w:space="0"/>
              <w:right w:val="nil"/>
            </w:tcBorders>
            <w:noWrap/>
            <w:vAlign w:val="center"/>
          </w:tcPr>
          <w:p w14:paraId="49C0F05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0.074</w:t>
            </w:r>
          </w:p>
        </w:tc>
        <w:tc>
          <w:tcPr>
            <w:tcW w:w="0" w:type="auto"/>
            <w:tcBorders>
              <w:top w:val="nil"/>
              <w:left w:val="nil"/>
              <w:right w:val="nil"/>
            </w:tcBorders>
            <w:vAlign w:val="center"/>
          </w:tcPr>
          <w:p w14:paraId="09D0410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0.074</w:t>
            </w:r>
          </w:p>
        </w:tc>
        <w:tc>
          <w:tcPr>
            <w:tcW w:w="0" w:type="auto"/>
            <w:tcBorders>
              <w:top w:val="nil"/>
              <w:left w:val="nil"/>
              <w:right w:val="nil"/>
            </w:tcBorders>
            <w:vAlign w:val="center"/>
          </w:tcPr>
          <w:p w14:paraId="155C393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right w:val="nil"/>
            </w:tcBorders>
            <w:vAlign w:val="center"/>
          </w:tcPr>
          <w:p w14:paraId="0E0C7E6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0.76</w:t>
            </w:r>
          </w:p>
        </w:tc>
        <w:tc>
          <w:tcPr>
            <w:tcW w:w="0" w:type="auto"/>
            <w:tcBorders>
              <w:top w:val="nil"/>
              <w:left w:val="nil"/>
              <w:right w:val="nil"/>
            </w:tcBorders>
            <w:vAlign w:val="center"/>
          </w:tcPr>
          <w:p w14:paraId="1059F37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0.76</w:t>
            </w:r>
          </w:p>
        </w:tc>
        <w:tc>
          <w:tcPr>
            <w:tcW w:w="0" w:type="auto"/>
            <w:tcBorders>
              <w:top w:val="nil"/>
              <w:left w:val="nil"/>
              <w:bottom w:val="single" w:color="auto" w:sz="12" w:space="0"/>
              <w:right w:val="nil"/>
            </w:tcBorders>
            <w:vAlign w:val="center"/>
          </w:tcPr>
          <w:p w14:paraId="65DDB8A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0.76</w:t>
            </w:r>
          </w:p>
        </w:tc>
        <w:tc>
          <w:tcPr>
            <w:tcW w:w="0" w:type="auto"/>
            <w:tcBorders>
              <w:top w:val="nil"/>
              <w:left w:val="nil"/>
              <w:bottom w:val="single" w:color="auto" w:sz="12" w:space="0"/>
              <w:right w:val="nil"/>
            </w:tcBorders>
            <w:vAlign w:val="center"/>
          </w:tcPr>
          <w:p w14:paraId="0600CC4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0.376</w:t>
            </w:r>
          </w:p>
        </w:tc>
      </w:tr>
    </w:tbl>
    <w:p w14:paraId="542633AF">
      <w:pPr>
        <w:spacing w:after="0" w:line="360" w:lineRule="auto"/>
        <w:ind w:left="-5"/>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Abbreviations:iCR, immune complete response; iPR, immune partial response; iSD, immune stable disease; ORR, objective response rate.</w:t>
      </w:r>
    </w:p>
    <w:p w14:paraId="589996D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S11  Efficacy evaluation of Stage IV patients with and without irAEs in the IT-RT subgroup</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03"/>
        <w:gridCol w:w="976"/>
        <w:gridCol w:w="1096"/>
        <w:gridCol w:w="1216"/>
        <w:gridCol w:w="1096"/>
        <w:gridCol w:w="1936"/>
      </w:tblGrid>
      <w:tr w14:paraId="2145E1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nil"/>
              <w:bottom w:val="single" w:color="auto" w:sz="12" w:space="0"/>
              <w:right w:val="nil"/>
              <w:insideV w:val="nil"/>
              <w:tl2br w:val="nil"/>
              <w:tr2bl w:val="nil"/>
            </w:tcBorders>
            <w:noWrap/>
            <w:vAlign w:val="center"/>
          </w:tcPr>
          <w:p w14:paraId="173BAC64">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vAlign w:val="center"/>
          </w:tcPr>
          <w:p w14:paraId="67513159">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vAlign w:val="center"/>
          </w:tcPr>
          <w:p w14:paraId="30DF05F0">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vAlign w:val="center"/>
          </w:tcPr>
          <w:p w14:paraId="76F3A386">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vAlign w:val="center"/>
          </w:tcPr>
          <w:p w14:paraId="7BD535A0">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vAlign w:val="center"/>
          </w:tcPr>
          <w:p w14:paraId="3D773555">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2A51D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nil"/>
              <w:bottom w:val="nil"/>
              <w:right w:val="single" w:color="auto" w:sz="12" w:space="0"/>
            </w:tcBorders>
            <w:noWrap/>
            <w:vAlign w:val="center"/>
          </w:tcPr>
          <w:p w14:paraId="10ECEE7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 irAEs, n (%)</w:t>
            </w:r>
          </w:p>
        </w:tc>
        <w:tc>
          <w:tcPr>
            <w:tcW w:w="0" w:type="auto"/>
            <w:tcBorders>
              <w:top w:val="single" w:color="auto" w:sz="12" w:space="0"/>
              <w:left w:val="single" w:color="auto" w:sz="12" w:space="0"/>
              <w:bottom w:val="nil"/>
              <w:right w:val="nil"/>
            </w:tcBorders>
            <w:vAlign w:val="center"/>
          </w:tcPr>
          <w:p w14:paraId="6C845DE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single" w:color="auto" w:sz="12" w:space="0"/>
              <w:left w:val="nil"/>
              <w:bottom w:val="nil"/>
              <w:right w:val="nil"/>
            </w:tcBorders>
            <w:vAlign w:val="center"/>
          </w:tcPr>
          <w:p w14:paraId="2D138CF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(38.10)</w:t>
            </w:r>
          </w:p>
        </w:tc>
        <w:tc>
          <w:tcPr>
            <w:tcW w:w="0" w:type="auto"/>
            <w:tcBorders>
              <w:top w:val="single" w:color="auto" w:sz="12" w:space="0"/>
              <w:left w:val="nil"/>
              <w:bottom w:val="nil"/>
              <w:right w:val="nil"/>
            </w:tcBorders>
            <w:vAlign w:val="center"/>
          </w:tcPr>
          <w:p w14:paraId="6213809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13</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(61.90)</w:t>
            </w:r>
          </w:p>
        </w:tc>
        <w:tc>
          <w:tcPr>
            <w:tcW w:w="0" w:type="auto"/>
            <w:tcBorders>
              <w:top w:val="single" w:color="auto" w:sz="12" w:space="0"/>
              <w:left w:val="nil"/>
              <w:bottom w:val="nil"/>
              <w:right w:val="nil"/>
            </w:tcBorders>
            <w:vAlign w:val="center"/>
          </w:tcPr>
          <w:p w14:paraId="213A4A0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(38.10)</w:t>
            </w:r>
          </w:p>
        </w:tc>
        <w:tc>
          <w:tcPr>
            <w:tcW w:w="0" w:type="auto"/>
            <w:tcBorders>
              <w:top w:val="single" w:color="auto" w:sz="12" w:space="0"/>
              <w:left w:val="nil"/>
              <w:bottom w:val="nil"/>
              <w:right w:val="nil"/>
            </w:tcBorders>
            <w:vAlign w:val="center"/>
          </w:tcPr>
          <w:p w14:paraId="5435AD9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(38.10)</w:t>
            </w:r>
          </w:p>
        </w:tc>
      </w:tr>
      <w:tr w14:paraId="7C1FC1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1FD92C7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without irAEs, n (%)</w:t>
            </w:r>
          </w:p>
        </w:tc>
        <w:tc>
          <w:tcPr>
            <w:tcW w:w="0" w:type="auto"/>
            <w:tcBorders>
              <w:top w:val="nil"/>
              <w:left w:val="single" w:color="auto" w:sz="12" w:space="0"/>
              <w:bottom w:val="nil"/>
              <w:right w:val="nil"/>
            </w:tcBorders>
            <w:vAlign w:val="center"/>
          </w:tcPr>
          <w:p w14:paraId="698B584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nil"/>
              <w:left w:val="nil"/>
              <w:bottom w:val="nil"/>
              <w:right w:val="nil"/>
            </w:tcBorders>
            <w:vAlign w:val="center"/>
          </w:tcPr>
          <w:p w14:paraId="21C6521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(20.00)</w:t>
            </w:r>
          </w:p>
        </w:tc>
        <w:tc>
          <w:tcPr>
            <w:tcW w:w="0" w:type="auto"/>
            <w:tcBorders>
              <w:top w:val="nil"/>
              <w:left w:val="nil"/>
              <w:bottom w:val="nil"/>
              <w:right w:val="nil"/>
            </w:tcBorders>
            <w:vAlign w:val="center"/>
          </w:tcPr>
          <w:p w14:paraId="504916D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(80.00)</w:t>
            </w:r>
          </w:p>
        </w:tc>
        <w:tc>
          <w:tcPr>
            <w:tcW w:w="0" w:type="auto"/>
            <w:tcBorders>
              <w:top w:val="nil"/>
              <w:left w:val="nil"/>
              <w:bottom w:val="nil"/>
              <w:right w:val="nil"/>
            </w:tcBorders>
            <w:vAlign w:val="center"/>
          </w:tcPr>
          <w:p w14:paraId="1EFD72E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(20.00)</w:t>
            </w:r>
          </w:p>
        </w:tc>
        <w:tc>
          <w:tcPr>
            <w:tcW w:w="0" w:type="auto"/>
            <w:tcBorders>
              <w:top w:val="nil"/>
              <w:left w:val="nil"/>
              <w:bottom w:val="nil"/>
              <w:right w:val="nil"/>
            </w:tcBorders>
            <w:vAlign w:val="center"/>
          </w:tcPr>
          <w:p w14:paraId="7C2D97A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7</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(46.67)</w:t>
            </w:r>
          </w:p>
        </w:tc>
      </w:tr>
      <w:tr w14:paraId="5C706C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693DF26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vAlign w:val="center"/>
          </w:tcPr>
          <w:p w14:paraId="08893BC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bottom w:val="nil"/>
              <w:right w:val="nil"/>
            </w:tcBorders>
            <w:vAlign w:val="center"/>
          </w:tcPr>
          <w:p w14:paraId="13C7EDE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0.632</w:t>
            </w:r>
          </w:p>
        </w:tc>
        <w:tc>
          <w:tcPr>
            <w:tcW w:w="0" w:type="auto"/>
            <w:tcBorders>
              <w:top w:val="nil"/>
              <w:left w:val="nil"/>
              <w:bottom w:val="nil"/>
              <w:right w:val="nil"/>
            </w:tcBorders>
            <w:vAlign w:val="center"/>
          </w:tcPr>
          <w:p w14:paraId="77FEAD3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0.632</w:t>
            </w:r>
          </w:p>
        </w:tc>
        <w:tc>
          <w:tcPr>
            <w:tcW w:w="0" w:type="auto"/>
            <w:tcBorders>
              <w:top w:val="nil"/>
              <w:left w:val="nil"/>
              <w:bottom w:val="nil"/>
              <w:right w:val="nil"/>
            </w:tcBorders>
            <w:vAlign w:val="center"/>
          </w:tcPr>
          <w:p w14:paraId="0048830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0.632</w:t>
            </w:r>
          </w:p>
        </w:tc>
        <w:tc>
          <w:tcPr>
            <w:tcW w:w="0" w:type="auto"/>
            <w:tcBorders>
              <w:top w:val="nil"/>
              <w:left w:val="nil"/>
              <w:bottom w:val="nil"/>
              <w:right w:val="nil"/>
            </w:tcBorders>
            <w:vAlign w:val="center"/>
          </w:tcPr>
          <w:p w14:paraId="78D69DC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0.264</w:t>
            </w:r>
          </w:p>
        </w:tc>
      </w:tr>
      <w:tr w14:paraId="65B3A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nil"/>
              <w:bottom w:val="single" w:color="auto" w:sz="12" w:space="0"/>
              <w:right w:val="single" w:color="auto" w:sz="12" w:space="0"/>
            </w:tcBorders>
            <w:noWrap/>
            <w:vAlign w:val="center"/>
          </w:tcPr>
          <w:p w14:paraId="5FF31D7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0" w:type="auto"/>
            <w:tcBorders>
              <w:top w:val="nil"/>
              <w:left w:val="single" w:color="auto" w:sz="12" w:space="0"/>
              <w:right w:val="nil"/>
            </w:tcBorders>
            <w:vAlign w:val="center"/>
          </w:tcPr>
          <w:p w14:paraId="0CBE48A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right w:val="nil"/>
            </w:tcBorders>
            <w:vAlign w:val="center"/>
          </w:tcPr>
          <w:p w14:paraId="7AF51FA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0.427</w:t>
            </w:r>
          </w:p>
        </w:tc>
        <w:tc>
          <w:tcPr>
            <w:tcW w:w="0" w:type="auto"/>
            <w:tcBorders>
              <w:top w:val="nil"/>
              <w:left w:val="nil"/>
              <w:right w:val="nil"/>
            </w:tcBorders>
            <w:vAlign w:val="center"/>
          </w:tcPr>
          <w:p w14:paraId="28CB46D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0.427</w:t>
            </w:r>
          </w:p>
        </w:tc>
        <w:tc>
          <w:tcPr>
            <w:tcW w:w="0" w:type="auto"/>
            <w:tcBorders>
              <w:top w:val="nil"/>
              <w:left w:val="nil"/>
              <w:right w:val="nil"/>
            </w:tcBorders>
            <w:vAlign w:val="center"/>
          </w:tcPr>
          <w:p w14:paraId="1969A0E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0.427</w:t>
            </w:r>
          </w:p>
        </w:tc>
        <w:tc>
          <w:tcPr>
            <w:tcW w:w="0" w:type="auto"/>
            <w:tcBorders>
              <w:top w:val="nil"/>
              <w:left w:val="nil"/>
              <w:right w:val="nil"/>
            </w:tcBorders>
            <w:vAlign w:val="center"/>
          </w:tcPr>
          <w:p w14:paraId="044EFFB0">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0.607</w:t>
            </w:r>
          </w:p>
        </w:tc>
      </w:tr>
    </w:tbl>
    <w:p w14:paraId="38D1A48B">
      <w:pPr>
        <w:spacing w:after="0" w:line="360" w:lineRule="auto"/>
        <w:ind w:left="0" w:firstLine="0"/>
        <w:jc w:val="both"/>
        <w:rPr>
          <w:rFonts w:eastAsiaTheme="minorEastAsia"/>
          <w:b w:val="0"/>
          <w:bCs/>
          <w:color w:val="000000" w:themeColor="text1"/>
          <w14:textFill>
            <w14:solidFill>
              <w14:schemeClr w14:val="tx1"/>
            </w14:solidFill>
          </w14:textFill>
        </w:rPr>
      </w:pPr>
    </w:p>
    <w:p w14:paraId="5DA24BA0">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Abbreviations:iCR, immune complete response; iPR, immune partial response; iSD, immune stable disease; ORR, objective response rate.</w:t>
      </w:r>
    </w:p>
    <w:p w14:paraId="363C1EE1">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S12  Efficacy evaluation of patients with and without irAEs in the IT-only subgroup</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903"/>
        <w:gridCol w:w="1216"/>
        <w:gridCol w:w="1116"/>
        <w:gridCol w:w="916"/>
        <w:gridCol w:w="1116"/>
        <w:gridCol w:w="1116"/>
        <w:gridCol w:w="1116"/>
        <w:gridCol w:w="1597"/>
      </w:tblGrid>
      <w:tr w14:paraId="23173F0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single" w:color="auto" w:sz="12" w:space="0"/>
              <w:left w:val="nil"/>
              <w:bottom w:val="single" w:color="auto" w:sz="12" w:space="0"/>
              <w:right w:val="nil"/>
              <w:insideV w:val="nil"/>
              <w:tl2br w:val="nil"/>
              <w:tr2bl w:val="nil"/>
            </w:tcBorders>
            <w:noWrap/>
            <w:vAlign w:val="center"/>
          </w:tcPr>
          <w:p w14:paraId="3B796AD7">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noWrap/>
            <w:vAlign w:val="center"/>
          </w:tcPr>
          <w:p w14:paraId="3C04906C">
            <w:pPr>
              <w:wordWrap/>
              <w:spacing w:after="0" w:line="360" w:lineRule="auto"/>
              <w:ind w:left="0" w:firstLine="0"/>
              <w:jc w:val="both"/>
              <w:rPr>
                <w:rFonts w:ascii="Times New Roman" w:hAnsi="Times New Roman" w:eastAsia="宋体"/>
                <w:b w:val="0"/>
                <w:bCs/>
                <w:i w:val="0"/>
                <w:color w:val="000000" w:themeColor="text1"/>
                <w:szCs w:val="2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III</w:t>
            </w:r>
          </w:p>
        </w:tc>
        <w:tc>
          <w:tcPr>
            <w:tcW w:w="0" w:type="auto"/>
            <w:tcBorders>
              <w:top w:val="single" w:color="auto" w:sz="12" w:space="0"/>
              <w:bottom w:val="single" w:color="auto" w:sz="12" w:space="0"/>
              <w:right w:val="nil"/>
              <w:insideV w:val="nil"/>
              <w:tl2br w:val="nil"/>
              <w:tr2bl w:val="nil"/>
            </w:tcBorders>
            <w:vAlign w:val="center"/>
          </w:tcPr>
          <w:p w14:paraId="162562AB">
            <w:pPr>
              <w:wordWrap/>
              <w:spacing w:after="0" w:line="360" w:lineRule="auto"/>
              <w:ind w:left="0" w:firstLine="0"/>
              <w:jc w:val="both"/>
              <w:rPr>
                <w:rFonts w:ascii="Times New Roman" w:hAnsi="Times New Roman" w:eastAsia="宋体"/>
                <w:b w:val="0"/>
                <w:bCs/>
                <w:i w:val="0"/>
                <w:color w:val="000000" w:themeColor="text1"/>
                <w:szCs w:val="2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 xml:space="preserve">Stage </w:t>
            </w:r>
            <w:r>
              <w:rPr>
                <w:rFonts w:ascii="Times New Roman" w:hAnsi="Times New Roman" w:eastAsia="宋体"/>
                <w:b w:val="0"/>
                <w:bCs/>
                <w:i w:val="0"/>
                <w:color w:val="000000" w:themeColor="text1"/>
                <w:szCs w:val="21"/>
                <w14:textFill>
                  <w14:solidFill>
                    <w14:schemeClr w14:val="tx1"/>
                  </w14:solidFill>
                </w14:textFill>
              </w:rPr>
              <w:t>IV</w:t>
            </w:r>
          </w:p>
        </w:tc>
        <w:tc>
          <w:tcPr>
            <w:tcW w:w="0" w:type="auto"/>
            <w:tcBorders>
              <w:top w:val="single" w:color="auto" w:sz="12" w:space="0"/>
              <w:bottom w:val="single" w:color="auto" w:sz="12" w:space="0"/>
              <w:right w:val="nil"/>
              <w:insideV w:val="nil"/>
              <w:tl2br w:val="nil"/>
              <w:tr2bl w:val="nil"/>
            </w:tcBorders>
            <w:vAlign w:val="center"/>
          </w:tcPr>
          <w:p w14:paraId="3346EF06">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vAlign w:val="center"/>
          </w:tcPr>
          <w:p w14:paraId="434C75CC">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vAlign w:val="center"/>
          </w:tcPr>
          <w:p w14:paraId="674FEAEC">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vAlign w:val="center"/>
          </w:tcPr>
          <w:p w14:paraId="7FF45B70">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vAlign w:val="center"/>
          </w:tcPr>
          <w:p w14:paraId="5C64D39E">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3A36E25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single" w:color="auto" w:sz="12" w:space="0"/>
              <w:left w:val="nil"/>
              <w:bottom w:val="nil"/>
              <w:right w:val="single" w:color="auto" w:sz="12" w:space="0"/>
            </w:tcBorders>
            <w:noWrap/>
            <w:vAlign w:val="center"/>
          </w:tcPr>
          <w:p w14:paraId="4DD98ED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 irAEs, n (%)</w:t>
            </w:r>
          </w:p>
        </w:tc>
        <w:tc>
          <w:tcPr>
            <w:tcW w:w="0" w:type="auto"/>
            <w:tcBorders>
              <w:top w:val="single" w:color="auto" w:sz="12" w:space="0"/>
              <w:left w:val="single" w:color="auto" w:sz="12" w:space="0"/>
              <w:bottom w:val="nil"/>
              <w:right w:val="nil"/>
            </w:tcBorders>
            <w:noWrap/>
            <w:vAlign w:val="center"/>
          </w:tcPr>
          <w:p w14:paraId="2E4A8B4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17</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(29.82)</w:t>
            </w:r>
          </w:p>
        </w:tc>
        <w:tc>
          <w:tcPr>
            <w:tcW w:w="0" w:type="auto"/>
            <w:tcBorders>
              <w:top w:val="single" w:color="auto" w:sz="12" w:space="0"/>
              <w:left w:val="nil"/>
              <w:bottom w:val="nil"/>
              <w:right w:val="nil"/>
            </w:tcBorders>
            <w:vAlign w:val="center"/>
          </w:tcPr>
          <w:p w14:paraId="7CCDF83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(70.18)</w:t>
            </w:r>
          </w:p>
        </w:tc>
        <w:tc>
          <w:tcPr>
            <w:tcW w:w="0" w:type="auto"/>
            <w:tcBorders>
              <w:top w:val="single" w:color="auto" w:sz="12" w:space="0"/>
              <w:left w:val="nil"/>
              <w:bottom w:val="nil"/>
              <w:right w:val="nil"/>
            </w:tcBorders>
            <w:vAlign w:val="center"/>
          </w:tcPr>
          <w:p w14:paraId="04B80C2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(3.51)</w:t>
            </w:r>
          </w:p>
        </w:tc>
        <w:tc>
          <w:tcPr>
            <w:tcW w:w="0" w:type="auto"/>
            <w:tcBorders>
              <w:top w:val="single" w:color="auto" w:sz="12" w:space="0"/>
              <w:left w:val="nil"/>
              <w:bottom w:val="nil"/>
              <w:right w:val="nil"/>
            </w:tcBorders>
            <w:vAlign w:val="center"/>
          </w:tcPr>
          <w:p w14:paraId="23B71A9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24</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(42.11)</w:t>
            </w:r>
          </w:p>
        </w:tc>
        <w:tc>
          <w:tcPr>
            <w:tcW w:w="0" w:type="auto"/>
            <w:tcBorders>
              <w:top w:val="single" w:color="auto" w:sz="12" w:space="0"/>
              <w:left w:val="nil"/>
              <w:bottom w:val="nil"/>
              <w:right w:val="nil"/>
            </w:tcBorders>
            <w:vAlign w:val="center"/>
          </w:tcPr>
          <w:p w14:paraId="42841EAC">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(54.38)</w:t>
            </w:r>
          </w:p>
        </w:tc>
        <w:tc>
          <w:tcPr>
            <w:tcW w:w="0" w:type="auto"/>
            <w:tcBorders>
              <w:top w:val="single" w:color="auto" w:sz="12" w:space="0"/>
              <w:left w:val="nil"/>
              <w:bottom w:val="nil"/>
              <w:right w:val="nil"/>
            </w:tcBorders>
            <w:vAlign w:val="center"/>
          </w:tcPr>
          <w:p w14:paraId="6199841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26</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(45.62)</w:t>
            </w:r>
          </w:p>
        </w:tc>
        <w:tc>
          <w:tcPr>
            <w:tcW w:w="0" w:type="auto"/>
            <w:tcBorders>
              <w:top w:val="single" w:color="auto" w:sz="12" w:space="0"/>
              <w:left w:val="nil"/>
              <w:bottom w:val="nil"/>
              <w:right w:val="nil"/>
            </w:tcBorders>
            <w:vAlign w:val="center"/>
          </w:tcPr>
          <w:p w14:paraId="596CB3B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(38.60)</w:t>
            </w:r>
          </w:p>
        </w:tc>
      </w:tr>
      <w:tr w14:paraId="253C09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66954D2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without irAEs, n (%)</w:t>
            </w:r>
          </w:p>
        </w:tc>
        <w:tc>
          <w:tcPr>
            <w:tcW w:w="0" w:type="auto"/>
            <w:tcBorders>
              <w:top w:val="nil"/>
              <w:left w:val="single" w:color="auto" w:sz="12" w:space="0"/>
              <w:bottom w:val="nil"/>
              <w:right w:val="nil"/>
            </w:tcBorders>
            <w:noWrap/>
            <w:vAlign w:val="center"/>
          </w:tcPr>
          <w:p w14:paraId="08BD206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28</w:t>
            </w:r>
            <w:r>
              <w:rPr>
                <w:rFonts w:hint="eastAsia" w:eastAsia="宋体"/>
                <w:b w:val="0"/>
                <w:bCs/>
                <w:color w:val="000000" w:themeColor="text1"/>
                <w14:textFill>
                  <w14:solidFill>
                    <w14:schemeClr w14:val="tx1"/>
                  </w14:solidFill>
                </w14:textFill>
              </w:rPr>
              <w:t xml:space="preserve"> </w:t>
            </w:r>
          </w:p>
          <w:p w14:paraId="5A906CA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(42.42)</w:t>
            </w:r>
          </w:p>
        </w:tc>
        <w:tc>
          <w:tcPr>
            <w:tcW w:w="0" w:type="auto"/>
            <w:tcBorders>
              <w:top w:val="nil"/>
              <w:left w:val="nil"/>
              <w:bottom w:val="nil"/>
              <w:right w:val="nil"/>
            </w:tcBorders>
            <w:vAlign w:val="center"/>
          </w:tcPr>
          <w:p w14:paraId="71A511B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38</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(57.58)</w:t>
            </w:r>
          </w:p>
        </w:tc>
        <w:tc>
          <w:tcPr>
            <w:tcW w:w="0" w:type="auto"/>
            <w:tcBorders>
              <w:top w:val="nil"/>
              <w:left w:val="nil"/>
              <w:bottom w:val="nil"/>
              <w:right w:val="nil"/>
            </w:tcBorders>
            <w:vAlign w:val="center"/>
          </w:tcPr>
          <w:p w14:paraId="64A58B8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nil"/>
              <w:left w:val="nil"/>
              <w:bottom w:val="nil"/>
              <w:right w:val="nil"/>
            </w:tcBorders>
            <w:vAlign w:val="center"/>
          </w:tcPr>
          <w:p w14:paraId="3DE658D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26</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(43.33)</w:t>
            </w:r>
          </w:p>
        </w:tc>
        <w:tc>
          <w:tcPr>
            <w:tcW w:w="0" w:type="auto"/>
            <w:tcBorders>
              <w:top w:val="nil"/>
              <w:left w:val="nil"/>
              <w:bottom w:val="nil"/>
              <w:right w:val="nil"/>
            </w:tcBorders>
            <w:vAlign w:val="center"/>
          </w:tcPr>
          <w:p w14:paraId="48EAFCA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40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(56.67)</w:t>
            </w:r>
          </w:p>
        </w:tc>
        <w:tc>
          <w:tcPr>
            <w:tcW w:w="0" w:type="auto"/>
            <w:tcBorders>
              <w:top w:val="nil"/>
              <w:left w:val="nil"/>
              <w:bottom w:val="nil"/>
              <w:right w:val="nil"/>
            </w:tcBorders>
            <w:vAlign w:val="center"/>
          </w:tcPr>
          <w:p w14:paraId="79EC917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26</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(43.33)</w:t>
            </w:r>
          </w:p>
        </w:tc>
        <w:tc>
          <w:tcPr>
            <w:tcW w:w="0" w:type="auto"/>
            <w:tcBorders>
              <w:top w:val="nil"/>
              <w:left w:val="nil"/>
              <w:bottom w:val="nil"/>
              <w:right w:val="nil"/>
            </w:tcBorders>
            <w:vAlign w:val="center"/>
          </w:tcPr>
          <w:p w14:paraId="0395CF3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35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(53.03)</w:t>
            </w:r>
          </w:p>
        </w:tc>
      </w:tr>
      <w:tr w14:paraId="7F4486A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0B42E2F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noWrap/>
            <w:vAlign w:val="center"/>
          </w:tcPr>
          <w:p w14:paraId="20099F9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2.093</w:t>
            </w:r>
          </w:p>
        </w:tc>
        <w:tc>
          <w:tcPr>
            <w:tcW w:w="0" w:type="auto"/>
            <w:tcBorders>
              <w:top w:val="nil"/>
              <w:left w:val="nil"/>
              <w:bottom w:val="nil"/>
              <w:right w:val="nil"/>
            </w:tcBorders>
            <w:vAlign w:val="center"/>
          </w:tcPr>
          <w:p w14:paraId="2C3CC58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2.093</w:t>
            </w:r>
          </w:p>
        </w:tc>
        <w:tc>
          <w:tcPr>
            <w:tcW w:w="0" w:type="auto"/>
            <w:tcBorders>
              <w:top w:val="nil"/>
              <w:left w:val="nil"/>
              <w:bottom w:val="nil"/>
              <w:right w:val="nil"/>
            </w:tcBorders>
            <w:vAlign w:val="center"/>
          </w:tcPr>
          <w:p w14:paraId="32731CD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2.354</w:t>
            </w:r>
          </w:p>
        </w:tc>
        <w:tc>
          <w:tcPr>
            <w:tcW w:w="0" w:type="auto"/>
            <w:tcBorders>
              <w:top w:val="nil"/>
              <w:left w:val="nil"/>
              <w:bottom w:val="nil"/>
              <w:right w:val="nil"/>
            </w:tcBorders>
            <w:vAlign w:val="center"/>
          </w:tcPr>
          <w:p w14:paraId="0527536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0.093</w:t>
            </w:r>
          </w:p>
        </w:tc>
        <w:tc>
          <w:tcPr>
            <w:tcW w:w="0" w:type="auto"/>
            <w:tcBorders>
              <w:top w:val="nil"/>
              <w:left w:val="nil"/>
              <w:bottom w:val="nil"/>
              <w:right w:val="nil"/>
            </w:tcBorders>
            <w:vAlign w:val="center"/>
          </w:tcPr>
          <w:p w14:paraId="50B77FB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0.485</w:t>
            </w:r>
          </w:p>
        </w:tc>
        <w:tc>
          <w:tcPr>
            <w:tcW w:w="0" w:type="auto"/>
            <w:tcBorders>
              <w:top w:val="nil"/>
              <w:left w:val="nil"/>
              <w:bottom w:val="nil"/>
              <w:right w:val="nil"/>
            </w:tcBorders>
            <w:vAlign w:val="center"/>
          </w:tcPr>
          <w:p w14:paraId="2AAA8B0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0.485</w:t>
            </w:r>
          </w:p>
        </w:tc>
        <w:tc>
          <w:tcPr>
            <w:tcW w:w="0" w:type="auto"/>
            <w:tcBorders>
              <w:top w:val="nil"/>
              <w:left w:val="nil"/>
              <w:bottom w:val="nil"/>
              <w:right w:val="nil"/>
            </w:tcBorders>
            <w:vAlign w:val="center"/>
          </w:tcPr>
          <w:p w14:paraId="6BA3A02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2.563</w:t>
            </w:r>
          </w:p>
        </w:tc>
      </w:tr>
      <w:tr w14:paraId="15FD82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0" w:type="auto"/>
            <w:tcBorders>
              <w:top w:val="nil"/>
              <w:left w:val="nil"/>
              <w:right w:val="single" w:color="auto" w:sz="12" w:space="0"/>
            </w:tcBorders>
            <w:noWrap/>
            <w:vAlign w:val="center"/>
          </w:tcPr>
          <w:p w14:paraId="02EED0B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0" w:type="auto"/>
            <w:tcBorders>
              <w:top w:val="nil"/>
              <w:left w:val="single" w:color="auto" w:sz="12" w:space="0"/>
              <w:right w:val="nil"/>
            </w:tcBorders>
            <w:noWrap/>
            <w:vAlign w:val="center"/>
          </w:tcPr>
          <w:p w14:paraId="1ECAF0A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0.148</w:t>
            </w:r>
          </w:p>
        </w:tc>
        <w:tc>
          <w:tcPr>
            <w:tcW w:w="0" w:type="auto"/>
            <w:tcBorders>
              <w:top w:val="nil"/>
              <w:left w:val="nil"/>
              <w:right w:val="nil"/>
            </w:tcBorders>
            <w:vAlign w:val="center"/>
          </w:tcPr>
          <w:p w14:paraId="6A7EF22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0.148</w:t>
            </w:r>
          </w:p>
        </w:tc>
        <w:tc>
          <w:tcPr>
            <w:tcW w:w="0" w:type="auto"/>
            <w:tcBorders>
              <w:top w:val="nil"/>
              <w:left w:val="nil"/>
              <w:right w:val="nil"/>
            </w:tcBorders>
            <w:vAlign w:val="center"/>
          </w:tcPr>
          <w:p w14:paraId="231D0848">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0.125</w:t>
            </w:r>
          </w:p>
        </w:tc>
        <w:tc>
          <w:tcPr>
            <w:tcW w:w="0" w:type="auto"/>
            <w:tcBorders>
              <w:top w:val="nil"/>
              <w:left w:val="nil"/>
              <w:right w:val="nil"/>
            </w:tcBorders>
            <w:vAlign w:val="center"/>
          </w:tcPr>
          <w:p w14:paraId="2BD36F8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0.76</w:t>
            </w:r>
          </w:p>
        </w:tc>
        <w:tc>
          <w:tcPr>
            <w:tcW w:w="0" w:type="auto"/>
            <w:tcBorders>
              <w:top w:val="nil"/>
              <w:left w:val="nil"/>
              <w:right w:val="nil"/>
            </w:tcBorders>
            <w:vAlign w:val="center"/>
          </w:tcPr>
          <w:p w14:paraId="696A387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0.486</w:t>
            </w:r>
          </w:p>
        </w:tc>
        <w:tc>
          <w:tcPr>
            <w:tcW w:w="0" w:type="auto"/>
            <w:tcBorders>
              <w:top w:val="nil"/>
              <w:left w:val="nil"/>
              <w:bottom w:val="single" w:color="auto" w:sz="12" w:space="0"/>
              <w:right w:val="nil"/>
            </w:tcBorders>
            <w:vAlign w:val="center"/>
          </w:tcPr>
          <w:p w14:paraId="2B048CA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0.486</w:t>
            </w:r>
          </w:p>
        </w:tc>
        <w:tc>
          <w:tcPr>
            <w:tcW w:w="0" w:type="auto"/>
            <w:tcBorders>
              <w:top w:val="nil"/>
              <w:left w:val="nil"/>
              <w:bottom w:val="single" w:color="auto" w:sz="12" w:space="0"/>
              <w:right w:val="nil"/>
            </w:tcBorders>
            <w:vAlign w:val="center"/>
          </w:tcPr>
          <w:p w14:paraId="6894228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0.109</w:t>
            </w:r>
          </w:p>
        </w:tc>
      </w:tr>
    </w:tbl>
    <w:p w14:paraId="398A83A2">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Abbreviations:iCR, immune complete response; iPR, immune partial response; iSD, immune stable disease; ORR, objective response rate.</w:t>
      </w:r>
    </w:p>
    <w:p w14:paraId="11E8A975">
      <w:pPr>
        <w:spacing w:after="0" w:line="360" w:lineRule="auto"/>
        <w:ind w:left="0" w:firstLine="0"/>
        <w:jc w:val="both"/>
        <w:rPr>
          <w:rFonts w:eastAsia="宋体"/>
          <w:b w:val="0"/>
          <w:bCs/>
          <w:color w:val="000000" w:themeColor="text1"/>
          <w:kern w:val="0"/>
          <w14:textFill>
            <w14:solidFill>
              <w14:schemeClr w14:val="tx1"/>
            </w14:solidFill>
          </w14:textFill>
        </w:rPr>
      </w:pPr>
      <w:r>
        <w:rPr>
          <w:rFonts w:eastAsia="宋体"/>
          <w:b w:val="0"/>
          <w:bCs/>
          <w:color w:val="000000" w:themeColor="text1"/>
          <w:kern w:val="0"/>
          <w14:textFill>
            <w14:solidFill>
              <w14:schemeClr w14:val="tx1"/>
            </w14:solidFill>
          </w14:textFill>
        </w:rPr>
        <w:t>Table S13  Clinical efficacy evaluation of patients with and without irAEs (Stage IV) in the IT-only subgroup</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03"/>
        <w:gridCol w:w="976"/>
        <w:gridCol w:w="1216"/>
        <w:gridCol w:w="1216"/>
        <w:gridCol w:w="1216"/>
        <w:gridCol w:w="1936"/>
      </w:tblGrid>
      <w:tr w14:paraId="1E9486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nil"/>
              <w:bottom w:val="single" w:color="auto" w:sz="12" w:space="0"/>
              <w:right w:val="nil"/>
              <w:insideV w:val="nil"/>
              <w:tl2br w:val="nil"/>
              <w:tr2bl w:val="nil"/>
            </w:tcBorders>
            <w:noWrap/>
            <w:vAlign w:val="center"/>
          </w:tcPr>
          <w:p w14:paraId="25B9AB8C">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Groups</w:t>
            </w:r>
          </w:p>
        </w:tc>
        <w:tc>
          <w:tcPr>
            <w:tcW w:w="0" w:type="auto"/>
            <w:tcBorders>
              <w:top w:val="single" w:color="auto" w:sz="12" w:space="0"/>
              <w:left w:val="single" w:color="auto" w:sz="12" w:space="0"/>
              <w:bottom w:val="single" w:color="auto" w:sz="12" w:space="0"/>
              <w:right w:val="nil"/>
              <w:insideV w:val="nil"/>
              <w:tl2br w:val="nil"/>
              <w:tr2bl w:val="nil"/>
            </w:tcBorders>
            <w:vAlign w:val="center"/>
          </w:tcPr>
          <w:p w14:paraId="5EF6DC9E">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iCR</w:t>
            </w:r>
          </w:p>
        </w:tc>
        <w:tc>
          <w:tcPr>
            <w:tcW w:w="0" w:type="auto"/>
            <w:tcBorders>
              <w:top w:val="single" w:color="auto" w:sz="12" w:space="0"/>
              <w:bottom w:val="single" w:color="auto" w:sz="12" w:space="0"/>
              <w:right w:val="nil"/>
              <w:insideV w:val="nil"/>
              <w:tl2br w:val="nil"/>
              <w:tr2bl w:val="nil"/>
            </w:tcBorders>
            <w:vAlign w:val="center"/>
          </w:tcPr>
          <w:p w14:paraId="3F7A9388">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iPR</w:t>
            </w:r>
          </w:p>
        </w:tc>
        <w:tc>
          <w:tcPr>
            <w:tcW w:w="0" w:type="auto"/>
            <w:tcBorders>
              <w:top w:val="single" w:color="auto" w:sz="12" w:space="0"/>
              <w:bottom w:val="single" w:color="auto" w:sz="12" w:space="0"/>
              <w:right w:val="nil"/>
              <w:insideV w:val="nil"/>
              <w:tl2br w:val="nil"/>
              <w:tr2bl w:val="nil"/>
            </w:tcBorders>
            <w:vAlign w:val="center"/>
          </w:tcPr>
          <w:p w14:paraId="5C7AA517">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iSD</w:t>
            </w:r>
          </w:p>
        </w:tc>
        <w:tc>
          <w:tcPr>
            <w:tcW w:w="0" w:type="auto"/>
            <w:tcBorders>
              <w:top w:val="single" w:color="auto" w:sz="12" w:space="0"/>
              <w:bottom w:val="single" w:color="auto" w:sz="12" w:space="0"/>
              <w:right w:val="nil"/>
              <w:insideV w:val="nil"/>
              <w:tl2br w:val="nil"/>
              <w:tr2bl w:val="nil"/>
            </w:tcBorders>
            <w:vAlign w:val="center"/>
          </w:tcPr>
          <w:p w14:paraId="681C57A4">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ORR</w:t>
            </w:r>
          </w:p>
        </w:tc>
        <w:tc>
          <w:tcPr>
            <w:tcW w:w="0" w:type="auto"/>
            <w:tcBorders>
              <w:top w:val="single" w:color="auto" w:sz="12" w:space="0"/>
              <w:bottom w:val="single" w:color="auto" w:sz="12" w:space="0"/>
              <w:right w:val="nil"/>
              <w:insideV w:val="nil"/>
              <w:tl2br w:val="nil"/>
              <w:tr2bl w:val="nil"/>
            </w:tcBorders>
            <w:vAlign w:val="center"/>
          </w:tcPr>
          <w:p w14:paraId="225B2B30">
            <w:pPr>
              <w:wordWrap/>
              <w:spacing w:after="0" w:line="360" w:lineRule="auto"/>
              <w:ind w:left="0" w:firstLine="0"/>
              <w:jc w:val="both"/>
              <w:rPr>
                <w:rFonts w:ascii="Times New Roman" w:hAnsi="Times New Roman" w:eastAsia="宋体"/>
                <w:b w:val="0"/>
                <w:bCs/>
                <w:i w:val="0"/>
                <w:color w:val="000000" w:themeColor="text1"/>
                <w14:textFill>
                  <w14:solidFill>
                    <w14:schemeClr w14:val="tx1"/>
                  </w14:solidFill>
                </w14:textFill>
              </w:rPr>
            </w:pPr>
            <w:r>
              <w:rPr>
                <w:rFonts w:ascii="Times New Roman" w:hAnsi="Times New Roman" w:eastAsia="宋体"/>
                <w:b w:val="0"/>
                <w:bCs/>
                <w:i w:val="0"/>
                <w:color w:val="000000" w:themeColor="text1"/>
                <w14:textFill>
                  <w14:solidFill>
                    <w14:schemeClr w14:val="tx1"/>
                  </w14:solidFill>
                </w14:textFill>
              </w:rPr>
              <w:t>one-year PFS rate</w:t>
            </w:r>
          </w:p>
        </w:tc>
      </w:tr>
      <w:tr w14:paraId="62F8D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12" w:space="0"/>
              <w:left w:val="nil"/>
              <w:bottom w:val="nil"/>
              <w:right w:val="single" w:color="auto" w:sz="12" w:space="0"/>
            </w:tcBorders>
            <w:noWrap/>
            <w:vAlign w:val="center"/>
          </w:tcPr>
          <w:p w14:paraId="42FA152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 irAEs, n (%)</w:t>
            </w:r>
          </w:p>
        </w:tc>
        <w:tc>
          <w:tcPr>
            <w:tcW w:w="0" w:type="auto"/>
            <w:tcBorders>
              <w:top w:val="single" w:color="auto" w:sz="12" w:space="0"/>
              <w:left w:val="single" w:color="auto" w:sz="12" w:space="0"/>
              <w:bottom w:val="nil"/>
              <w:right w:val="nil"/>
            </w:tcBorders>
            <w:vAlign w:val="center"/>
          </w:tcPr>
          <w:p w14:paraId="0F0A5BC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(5.00)</w:t>
            </w:r>
          </w:p>
        </w:tc>
        <w:tc>
          <w:tcPr>
            <w:tcW w:w="0" w:type="auto"/>
            <w:tcBorders>
              <w:top w:val="single" w:color="auto" w:sz="12" w:space="0"/>
              <w:left w:val="nil"/>
              <w:bottom w:val="nil"/>
              <w:right w:val="nil"/>
            </w:tcBorders>
            <w:vAlign w:val="center"/>
          </w:tcPr>
          <w:p w14:paraId="1B6F964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17</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(42.50)</w:t>
            </w:r>
          </w:p>
        </w:tc>
        <w:tc>
          <w:tcPr>
            <w:tcW w:w="0" w:type="auto"/>
            <w:tcBorders>
              <w:top w:val="single" w:color="auto" w:sz="12" w:space="0"/>
              <w:left w:val="nil"/>
              <w:bottom w:val="nil"/>
              <w:right w:val="nil"/>
            </w:tcBorders>
            <w:vAlign w:val="center"/>
          </w:tcPr>
          <w:p w14:paraId="22E498A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21</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(52.50)</w:t>
            </w:r>
          </w:p>
        </w:tc>
        <w:tc>
          <w:tcPr>
            <w:tcW w:w="0" w:type="auto"/>
            <w:tcBorders>
              <w:top w:val="single" w:color="auto" w:sz="12" w:space="0"/>
              <w:left w:val="nil"/>
              <w:bottom w:val="nil"/>
              <w:right w:val="nil"/>
            </w:tcBorders>
            <w:vAlign w:val="center"/>
          </w:tcPr>
          <w:p w14:paraId="36C1125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19</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(47.50)</w:t>
            </w:r>
          </w:p>
        </w:tc>
        <w:tc>
          <w:tcPr>
            <w:tcW w:w="0" w:type="auto"/>
            <w:tcBorders>
              <w:top w:val="single" w:color="auto" w:sz="12" w:space="0"/>
              <w:left w:val="nil"/>
              <w:bottom w:val="nil"/>
              <w:right w:val="nil"/>
            </w:tcBorders>
            <w:vAlign w:val="center"/>
          </w:tcPr>
          <w:p w14:paraId="27EA4F81">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15</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(37.50)</w:t>
            </w:r>
          </w:p>
        </w:tc>
      </w:tr>
      <w:tr w14:paraId="7C43D4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7FCC958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Group without irAEs, n (%)</w:t>
            </w:r>
          </w:p>
        </w:tc>
        <w:tc>
          <w:tcPr>
            <w:tcW w:w="0" w:type="auto"/>
            <w:tcBorders>
              <w:top w:val="nil"/>
              <w:left w:val="single" w:color="auto" w:sz="12" w:space="0"/>
              <w:bottom w:val="nil"/>
              <w:right w:val="nil"/>
            </w:tcBorders>
            <w:vAlign w:val="center"/>
          </w:tcPr>
          <w:p w14:paraId="6690A292">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(0.00)</w:t>
            </w:r>
          </w:p>
        </w:tc>
        <w:tc>
          <w:tcPr>
            <w:tcW w:w="0" w:type="auto"/>
            <w:tcBorders>
              <w:top w:val="nil"/>
              <w:left w:val="nil"/>
              <w:bottom w:val="nil"/>
              <w:right w:val="nil"/>
            </w:tcBorders>
            <w:vAlign w:val="center"/>
          </w:tcPr>
          <w:p w14:paraId="55B9AF1A">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14</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(36.84)</w:t>
            </w:r>
          </w:p>
        </w:tc>
        <w:tc>
          <w:tcPr>
            <w:tcW w:w="0" w:type="auto"/>
            <w:tcBorders>
              <w:top w:val="nil"/>
              <w:left w:val="nil"/>
              <w:bottom w:val="nil"/>
              <w:right w:val="nil"/>
            </w:tcBorders>
            <w:vAlign w:val="center"/>
          </w:tcPr>
          <w:p w14:paraId="4F7F602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24</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(63.16)</w:t>
            </w:r>
          </w:p>
        </w:tc>
        <w:tc>
          <w:tcPr>
            <w:tcW w:w="0" w:type="auto"/>
            <w:tcBorders>
              <w:top w:val="nil"/>
              <w:left w:val="nil"/>
              <w:bottom w:val="nil"/>
              <w:right w:val="nil"/>
            </w:tcBorders>
            <w:vAlign w:val="center"/>
          </w:tcPr>
          <w:p w14:paraId="64985444">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14</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(36.84)</w:t>
            </w:r>
          </w:p>
        </w:tc>
        <w:tc>
          <w:tcPr>
            <w:tcW w:w="0" w:type="auto"/>
            <w:tcBorders>
              <w:top w:val="nil"/>
              <w:left w:val="nil"/>
              <w:bottom w:val="nil"/>
              <w:right w:val="nil"/>
            </w:tcBorders>
            <w:vAlign w:val="center"/>
          </w:tcPr>
          <w:p w14:paraId="42E592F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16</w:t>
            </w:r>
            <w:r>
              <w:rPr>
                <w:rFonts w:hint="eastAsia" w:eastAsia="宋体"/>
                <w:b w:val="0"/>
                <w:bCs/>
                <w:color w:val="000000" w:themeColor="text1"/>
                <w14:textFill>
                  <w14:solidFill>
                    <w14:schemeClr w14:val="tx1"/>
                  </w14:solidFill>
                </w14:textFill>
              </w:rPr>
              <w:t xml:space="preserve"> </w:t>
            </w:r>
            <w:r>
              <w:rPr>
                <w:rFonts w:eastAsia="宋体"/>
                <w:b w:val="0"/>
                <w:bCs/>
                <w:color w:val="000000" w:themeColor="text1"/>
                <w14:textFill>
                  <w14:solidFill>
                    <w14:schemeClr w14:val="tx1"/>
                  </w14:solidFill>
                </w14:textFill>
              </w:rPr>
              <w:t>(42.11)</w:t>
            </w:r>
          </w:p>
        </w:tc>
      </w:tr>
      <w:tr w14:paraId="316AA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nil"/>
              <w:bottom w:val="nil"/>
              <w:right w:val="single" w:color="auto" w:sz="12" w:space="0"/>
            </w:tcBorders>
            <w:noWrap/>
            <w:vAlign w:val="center"/>
          </w:tcPr>
          <w:p w14:paraId="513D7E8F">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statistical values</w:t>
            </w:r>
          </w:p>
        </w:tc>
        <w:tc>
          <w:tcPr>
            <w:tcW w:w="0" w:type="auto"/>
            <w:tcBorders>
              <w:top w:val="nil"/>
              <w:left w:val="single" w:color="auto" w:sz="12" w:space="0"/>
              <w:bottom w:val="nil"/>
              <w:right w:val="nil"/>
            </w:tcBorders>
            <w:vAlign w:val="center"/>
          </w:tcPr>
          <w:p w14:paraId="3F2D184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w:t>
            </w:r>
          </w:p>
        </w:tc>
        <w:tc>
          <w:tcPr>
            <w:tcW w:w="0" w:type="auto"/>
            <w:tcBorders>
              <w:top w:val="nil"/>
              <w:left w:val="nil"/>
              <w:bottom w:val="nil"/>
              <w:right w:val="nil"/>
            </w:tcBorders>
            <w:vAlign w:val="center"/>
          </w:tcPr>
          <w:p w14:paraId="40093DF3">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0.260</w:t>
            </w:r>
          </w:p>
        </w:tc>
        <w:tc>
          <w:tcPr>
            <w:tcW w:w="0" w:type="auto"/>
            <w:tcBorders>
              <w:top w:val="nil"/>
              <w:left w:val="nil"/>
              <w:bottom w:val="nil"/>
              <w:right w:val="nil"/>
            </w:tcBorders>
            <w:vAlign w:val="center"/>
          </w:tcPr>
          <w:p w14:paraId="3D9A6B2B">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0.907</w:t>
            </w:r>
          </w:p>
        </w:tc>
        <w:tc>
          <w:tcPr>
            <w:tcW w:w="0" w:type="auto"/>
            <w:tcBorders>
              <w:top w:val="nil"/>
              <w:left w:val="nil"/>
              <w:bottom w:val="nil"/>
              <w:right w:val="nil"/>
            </w:tcBorders>
            <w:vAlign w:val="center"/>
          </w:tcPr>
          <w:p w14:paraId="680E2CE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0.907</w:t>
            </w:r>
          </w:p>
        </w:tc>
        <w:tc>
          <w:tcPr>
            <w:tcW w:w="0" w:type="auto"/>
            <w:tcBorders>
              <w:top w:val="nil"/>
              <w:left w:val="nil"/>
              <w:bottom w:val="nil"/>
              <w:right w:val="nil"/>
            </w:tcBorders>
            <w:vAlign w:val="center"/>
          </w:tcPr>
          <w:p w14:paraId="02DE9E46">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0.173</w:t>
            </w:r>
          </w:p>
        </w:tc>
      </w:tr>
      <w:tr w14:paraId="49C8B8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nil"/>
              <w:bottom w:val="single" w:color="auto" w:sz="12" w:space="0"/>
              <w:right w:val="single" w:color="auto" w:sz="12" w:space="0"/>
            </w:tcBorders>
            <w:noWrap/>
            <w:vAlign w:val="center"/>
          </w:tcPr>
          <w:p w14:paraId="63B89699">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i/>
                <w:iCs/>
                <w:color w:val="000000" w:themeColor="text1"/>
                <w14:textFill>
                  <w14:solidFill>
                    <w14:schemeClr w14:val="tx1"/>
                  </w14:solidFill>
                </w14:textFill>
              </w:rPr>
              <w:t>p</w:t>
            </w:r>
            <w:r>
              <w:rPr>
                <w:rFonts w:eastAsia="宋体"/>
                <w:b w:val="0"/>
                <w:bCs/>
                <w:color w:val="000000" w:themeColor="text1"/>
                <w14:textFill>
                  <w14:solidFill>
                    <w14:schemeClr w14:val="tx1"/>
                  </w14:solidFill>
                </w14:textFill>
              </w:rPr>
              <w:t>-value</w:t>
            </w:r>
          </w:p>
        </w:tc>
        <w:tc>
          <w:tcPr>
            <w:tcW w:w="0" w:type="auto"/>
            <w:tcBorders>
              <w:top w:val="nil"/>
              <w:left w:val="single" w:color="auto" w:sz="12" w:space="0"/>
              <w:right w:val="nil"/>
            </w:tcBorders>
            <w:vAlign w:val="center"/>
          </w:tcPr>
          <w:p w14:paraId="3B764D37">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0.494</w:t>
            </w:r>
          </w:p>
        </w:tc>
        <w:tc>
          <w:tcPr>
            <w:tcW w:w="0" w:type="auto"/>
            <w:tcBorders>
              <w:top w:val="nil"/>
              <w:left w:val="nil"/>
              <w:right w:val="nil"/>
            </w:tcBorders>
            <w:vAlign w:val="center"/>
          </w:tcPr>
          <w:p w14:paraId="447D0475">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0.610</w:t>
            </w:r>
          </w:p>
        </w:tc>
        <w:tc>
          <w:tcPr>
            <w:tcW w:w="0" w:type="auto"/>
            <w:tcBorders>
              <w:top w:val="nil"/>
              <w:left w:val="nil"/>
              <w:right w:val="nil"/>
            </w:tcBorders>
            <w:vAlign w:val="center"/>
          </w:tcPr>
          <w:p w14:paraId="0B20CF4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0.341</w:t>
            </w:r>
          </w:p>
        </w:tc>
        <w:tc>
          <w:tcPr>
            <w:tcW w:w="0" w:type="auto"/>
            <w:tcBorders>
              <w:top w:val="nil"/>
              <w:left w:val="nil"/>
              <w:right w:val="nil"/>
            </w:tcBorders>
            <w:vAlign w:val="center"/>
          </w:tcPr>
          <w:p w14:paraId="04BD8BCD">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0.341</w:t>
            </w:r>
          </w:p>
        </w:tc>
        <w:tc>
          <w:tcPr>
            <w:tcW w:w="0" w:type="auto"/>
            <w:tcBorders>
              <w:top w:val="nil"/>
              <w:left w:val="nil"/>
              <w:right w:val="nil"/>
            </w:tcBorders>
            <w:vAlign w:val="center"/>
          </w:tcPr>
          <w:p w14:paraId="76A8EE3E">
            <w:pPr>
              <w:spacing w:after="0" w:line="360" w:lineRule="auto"/>
              <w:ind w:left="0" w:firstLine="0"/>
              <w:jc w:val="both"/>
              <w:rPr>
                <w:rFonts w:eastAsia="宋体"/>
                <w:b w:val="0"/>
                <w:bCs/>
                <w:color w:val="000000" w:themeColor="text1"/>
                <w14:textFill>
                  <w14:solidFill>
                    <w14:schemeClr w14:val="tx1"/>
                  </w14:solidFill>
                </w14:textFill>
              </w:rPr>
            </w:pPr>
            <w:r>
              <w:rPr>
                <w:rFonts w:eastAsia="宋体"/>
                <w:b w:val="0"/>
                <w:bCs/>
                <w:color w:val="000000" w:themeColor="text1"/>
                <w14:textFill>
                  <w14:solidFill>
                    <w14:schemeClr w14:val="tx1"/>
                  </w14:solidFill>
                </w14:textFill>
              </w:rPr>
              <w:t>0.678</w:t>
            </w:r>
          </w:p>
        </w:tc>
      </w:tr>
    </w:tbl>
    <w:p w14:paraId="3451A002">
      <w:pPr>
        <w:spacing w:after="0" w:line="360" w:lineRule="auto"/>
        <w:ind w:left="0" w:firstLine="0"/>
        <w:jc w:val="both"/>
        <w:rPr>
          <w:rFonts w:eastAsiaTheme="minorEastAsia"/>
          <w:b w:val="0"/>
          <w:bCs/>
          <w:color w:val="000000" w:themeColor="text1"/>
          <w14:textFill>
            <w14:solidFill>
              <w14:schemeClr w14:val="tx1"/>
            </w14:solidFill>
          </w14:textFill>
        </w:rPr>
      </w:pPr>
      <w:r>
        <w:rPr>
          <w:rFonts w:hint="eastAsia" w:eastAsiaTheme="minorEastAsia"/>
          <w:b w:val="0"/>
          <w:bCs/>
          <w:color w:val="000000" w:themeColor="text1"/>
          <w14:textFill>
            <w14:solidFill>
              <w14:schemeClr w14:val="tx1"/>
            </w14:solidFill>
          </w14:textFill>
        </w:rPr>
        <w:t>Abbreviati</w:t>
      </w:r>
      <w:bookmarkStart w:id="0" w:name="_GoBack"/>
      <w:bookmarkEnd w:id="0"/>
      <w:r>
        <w:rPr>
          <w:rFonts w:hint="eastAsia" w:eastAsiaTheme="minorEastAsia"/>
          <w:b w:val="0"/>
          <w:bCs/>
          <w:color w:val="000000" w:themeColor="text1"/>
          <w14:textFill>
            <w14:solidFill>
              <w14:schemeClr w14:val="tx1"/>
            </w14:solidFill>
          </w14:textFill>
        </w:rPr>
        <w:t>ons:iCR, immune complete response; iPR, immune partial response; iSD, immune stable disease; ORR, objective response rate.</w:t>
      </w:r>
    </w:p>
    <w:sectPr>
      <w:pgSz w:w="12240" w:h="15840"/>
      <w:pgMar w:top="720" w:right="680" w:bottom="720" w:left="680" w:header="720" w:footer="720" w:gutter="0"/>
      <w:cols w:space="720" w:num="1"/>
      <w:docGrid w:linePitch="32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8" w:lineRule="auto"/>
      </w:pPr>
      <w:r>
        <w:separator/>
      </w:r>
    </w:p>
  </w:footnote>
  <w:footnote w:type="continuationSeparator" w:id="1">
    <w:p>
      <w:pPr>
        <w:spacing w:before="0" w:after="0" w:line="24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418D0"/>
    <w:multiLevelType w:val="multilevel"/>
    <w:tmpl w:val="342418D0"/>
    <w:lvl w:ilvl="0" w:tentative="0">
      <w:start w:val="1"/>
      <w:numFmt w:val="decimal"/>
      <w:lvlText w:val="%1."/>
      <w:lvlJc w:val="left"/>
      <w:pPr>
        <w:ind w:left="482" w:hanging="360"/>
      </w:pPr>
      <w:rPr>
        <w:rFonts w:hint="default"/>
      </w:rPr>
    </w:lvl>
    <w:lvl w:ilvl="1" w:tentative="0">
      <w:start w:val="1"/>
      <w:numFmt w:val="lowerLetter"/>
      <w:lvlText w:val="%2)"/>
      <w:lvlJc w:val="left"/>
      <w:pPr>
        <w:ind w:left="1002" w:hanging="440"/>
      </w:pPr>
    </w:lvl>
    <w:lvl w:ilvl="2" w:tentative="0">
      <w:start w:val="1"/>
      <w:numFmt w:val="lowerRoman"/>
      <w:lvlText w:val="%3."/>
      <w:lvlJc w:val="right"/>
      <w:pPr>
        <w:ind w:left="1442" w:hanging="440"/>
      </w:pPr>
    </w:lvl>
    <w:lvl w:ilvl="3" w:tentative="0">
      <w:start w:val="1"/>
      <w:numFmt w:val="decimal"/>
      <w:lvlText w:val="%4."/>
      <w:lvlJc w:val="left"/>
      <w:pPr>
        <w:ind w:left="1882" w:hanging="440"/>
      </w:pPr>
    </w:lvl>
    <w:lvl w:ilvl="4" w:tentative="0">
      <w:start w:val="1"/>
      <w:numFmt w:val="lowerLetter"/>
      <w:lvlText w:val="%5)"/>
      <w:lvlJc w:val="left"/>
      <w:pPr>
        <w:ind w:left="2322" w:hanging="440"/>
      </w:pPr>
    </w:lvl>
    <w:lvl w:ilvl="5" w:tentative="0">
      <w:start w:val="1"/>
      <w:numFmt w:val="lowerRoman"/>
      <w:lvlText w:val="%6."/>
      <w:lvlJc w:val="right"/>
      <w:pPr>
        <w:ind w:left="2762" w:hanging="440"/>
      </w:pPr>
    </w:lvl>
    <w:lvl w:ilvl="6" w:tentative="0">
      <w:start w:val="1"/>
      <w:numFmt w:val="decimal"/>
      <w:lvlText w:val="%7."/>
      <w:lvlJc w:val="left"/>
      <w:pPr>
        <w:ind w:left="3202" w:hanging="440"/>
      </w:pPr>
    </w:lvl>
    <w:lvl w:ilvl="7" w:tentative="0">
      <w:start w:val="1"/>
      <w:numFmt w:val="lowerLetter"/>
      <w:lvlText w:val="%8)"/>
      <w:lvlJc w:val="left"/>
      <w:pPr>
        <w:ind w:left="3642" w:hanging="440"/>
      </w:pPr>
    </w:lvl>
    <w:lvl w:ilvl="8" w:tentative="0">
      <w:start w:val="1"/>
      <w:numFmt w:val="lowerRoman"/>
      <w:lvlText w:val="%9."/>
      <w:lvlJc w:val="right"/>
      <w:pPr>
        <w:ind w:left="4082" w:hanging="440"/>
      </w:pPr>
    </w:lvl>
  </w:abstractNum>
  <w:abstractNum w:abstractNumId="1">
    <w:nsid w:val="73C2F8C0"/>
    <w:multiLevelType w:val="singleLevel"/>
    <w:tmpl w:val="73C2F8C0"/>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79"/>
    <w:rsid w:val="000F4C45"/>
    <w:rsid w:val="001517DD"/>
    <w:rsid w:val="00155FB2"/>
    <w:rsid w:val="00194ADF"/>
    <w:rsid w:val="001C170A"/>
    <w:rsid w:val="00295589"/>
    <w:rsid w:val="003461EF"/>
    <w:rsid w:val="00380FE5"/>
    <w:rsid w:val="003C632C"/>
    <w:rsid w:val="003F3D6B"/>
    <w:rsid w:val="00403BD3"/>
    <w:rsid w:val="00495F10"/>
    <w:rsid w:val="004C0C57"/>
    <w:rsid w:val="005A013E"/>
    <w:rsid w:val="0062496D"/>
    <w:rsid w:val="006612C5"/>
    <w:rsid w:val="00663AE8"/>
    <w:rsid w:val="00673579"/>
    <w:rsid w:val="00674C0D"/>
    <w:rsid w:val="006A4F46"/>
    <w:rsid w:val="006C098F"/>
    <w:rsid w:val="006D0CAD"/>
    <w:rsid w:val="006D78B9"/>
    <w:rsid w:val="00763C2B"/>
    <w:rsid w:val="00764920"/>
    <w:rsid w:val="00790181"/>
    <w:rsid w:val="007F2AA3"/>
    <w:rsid w:val="008020A5"/>
    <w:rsid w:val="008A035D"/>
    <w:rsid w:val="008F7CC2"/>
    <w:rsid w:val="00903B0E"/>
    <w:rsid w:val="00914E10"/>
    <w:rsid w:val="00923993"/>
    <w:rsid w:val="0096798B"/>
    <w:rsid w:val="00A14BF0"/>
    <w:rsid w:val="00A33A70"/>
    <w:rsid w:val="00A820F0"/>
    <w:rsid w:val="00A90F17"/>
    <w:rsid w:val="00A92517"/>
    <w:rsid w:val="00BA1298"/>
    <w:rsid w:val="00BF27B6"/>
    <w:rsid w:val="00C45A2D"/>
    <w:rsid w:val="00C53282"/>
    <w:rsid w:val="00C74279"/>
    <w:rsid w:val="00D16B27"/>
    <w:rsid w:val="00D67FD4"/>
    <w:rsid w:val="00D743B8"/>
    <w:rsid w:val="00EE47A7"/>
    <w:rsid w:val="00F76EA2"/>
    <w:rsid w:val="00FA60E4"/>
    <w:rsid w:val="00FE38C5"/>
    <w:rsid w:val="057C552B"/>
    <w:rsid w:val="136F2EA8"/>
    <w:rsid w:val="13873A19"/>
    <w:rsid w:val="15B34F99"/>
    <w:rsid w:val="16431FFD"/>
    <w:rsid w:val="1B1600A9"/>
    <w:rsid w:val="1D5E1C8E"/>
    <w:rsid w:val="39512536"/>
    <w:rsid w:val="41452699"/>
    <w:rsid w:val="423C1CEE"/>
    <w:rsid w:val="45EB1A60"/>
    <w:rsid w:val="47FE4FAD"/>
    <w:rsid w:val="522B1438"/>
    <w:rsid w:val="57E04A72"/>
    <w:rsid w:val="581556BC"/>
    <w:rsid w:val="608F34D9"/>
    <w:rsid w:val="65143FAD"/>
    <w:rsid w:val="67144738"/>
    <w:rsid w:val="68060525"/>
    <w:rsid w:val="6E761835"/>
    <w:rsid w:val="70CA62D6"/>
    <w:rsid w:val="7A4D02E3"/>
    <w:rsid w:val="7BB52D29"/>
    <w:rsid w:val="7C616331"/>
    <w:rsid w:val="7E9E2E0E"/>
    <w:rsid w:val="7ECD5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29" w:line="248" w:lineRule="auto"/>
      <w:ind w:left="10" w:hanging="10"/>
    </w:pPr>
    <w:rPr>
      <w:rFonts w:ascii="Times New Roman" w:hAnsi="Times New Roman" w:eastAsia="Times New Roman" w:cs="Times New Roman"/>
      <w:b/>
      <w:color w:val="000000"/>
      <w:kern w:val="2"/>
      <w:sz w:val="24"/>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annotation reference"/>
    <w:basedOn w:val="2"/>
    <w:semiHidden/>
    <w:unhideWhenUsed/>
    <w:qFormat/>
    <w:uiPriority w:val="99"/>
    <w:rPr>
      <w:sz w:val="21"/>
      <w:szCs w:val="21"/>
    </w:rPr>
  </w:style>
  <w:style w:type="paragraph" w:styleId="5">
    <w:name w:val="annotation text"/>
    <w:basedOn w:val="1"/>
    <w:link w:val="22"/>
    <w:semiHidden/>
    <w:unhideWhenUsed/>
    <w:qFormat/>
    <w:uiPriority w:val="99"/>
  </w:style>
  <w:style w:type="paragraph" w:styleId="6">
    <w:name w:val="annotation subject"/>
    <w:basedOn w:val="5"/>
    <w:next w:val="5"/>
    <w:link w:val="23"/>
    <w:semiHidden/>
    <w:unhideWhenUsed/>
    <w:qFormat/>
    <w:uiPriority w:val="99"/>
    <w:rPr>
      <w:bCs/>
    </w:rPr>
  </w:style>
  <w:style w:type="paragraph" w:styleId="7">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semiHidden/>
    <w:unhideWhenUsed/>
    <w:qFormat/>
    <w:uiPriority w:val="99"/>
    <w:pPr>
      <w:spacing w:beforeAutospacing="1" w:after="0" w:afterAutospacing="1"/>
      <w:ind w:left="0"/>
    </w:pPr>
    <w:rPr>
      <w:kern w:val="0"/>
    </w:rPr>
  </w:style>
  <w:style w:type="character" w:styleId="10">
    <w:name w:val="Strong"/>
    <w:basedOn w:val="2"/>
    <w:qFormat/>
    <w:uiPriority w:val="22"/>
    <w:rPr>
      <w:b/>
    </w:rPr>
  </w:style>
  <w:style w:type="table" w:styleId="11">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Grid"/>
    <w:qFormat/>
    <w:uiPriority w:val="0"/>
    <w:tblPr>
      <w:tblCellMar>
        <w:top w:w="0" w:type="dxa"/>
        <w:left w:w="0" w:type="dxa"/>
        <w:bottom w:w="0" w:type="dxa"/>
        <w:right w:w="0" w:type="dxa"/>
      </w:tblCellMar>
    </w:tblPr>
  </w:style>
  <w:style w:type="character" w:customStyle="1" w:styleId="13">
    <w:name w:val="Header Char"/>
    <w:basedOn w:val="2"/>
    <w:link w:val="8"/>
    <w:qFormat/>
    <w:uiPriority w:val="99"/>
    <w:rPr>
      <w:rFonts w:ascii="Times New Roman" w:hAnsi="Times New Roman" w:eastAsia="Times New Roman" w:cs="Times New Roman"/>
      <w:b/>
      <w:color w:val="000000"/>
      <w:sz w:val="18"/>
      <w:szCs w:val="18"/>
    </w:rPr>
  </w:style>
  <w:style w:type="character" w:customStyle="1" w:styleId="14">
    <w:name w:val="Footer Char"/>
    <w:basedOn w:val="2"/>
    <w:link w:val="7"/>
    <w:qFormat/>
    <w:uiPriority w:val="99"/>
    <w:rPr>
      <w:rFonts w:ascii="Times New Roman" w:hAnsi="Times New Roman" w:eastAsia="Times New Roman" w:cs="Times New Roman"/>
      <w:b/>
      <w:color w:val="000000"/>
      <w:sz w:val="18"/>
      <w:szCs w:val="18"/>
    </w:rPr>
  </w:style>
  <w:style w:type="paragraph" w:styleId="15">
    <w:name w:val="List Paragraph"/>
    <w:basedOn w:val="1"/>
    <w:unhideWhenUsed/>
    <w:qFormat/>
    <w:uiPriority w:val="99"/>
    <w:pPr>
      <w:ind w:firstLine="420" w:firstLineChars="200"/>
    </w:pPr>
  </w:style>
  <w:style w:type="table" w:customStyle="1" w:styleId="16">
    <w:name w:val="网格型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网格型22"/>
    <w:qFormat/>
    <w:uiPriority w:val="39"/>
    <w:rPr>
      <w:kern w:val="2"/>
      <w:sz w:val="21"/>
      <w:szCs w:val="22"/>
    </w:rPr>
    <w:tblPr>
      <w:tblBorders>
        <w:top w:val="single" w:color="auto" w:sz="12" w:space="0"/>
        <w:bottom w:val="single" w:color="auto" w:sz="12" w:space="0"/>
      </w:tblBorders>
      <w:tblCellMar>
        <w:top w:w="0" w:type="dxa"/>
        <w:left w:w="0" w:type="dxa"/>
        <w:bottom w:w="0" w:type="dxa"/>
        <w:right w:w="0" w:type="dxa"/>
      </w:tblCellMar>
    </w:tblPr>
    <w:tblStylePr w:type="firstRow">
      <w:pPr>
        <w:wordWrap/>
        <w:spacing w:line="360" w:lineRule="exact"/>
        <w:jc w:val="center"/>
      </w:pPr>
      <w:rPr>
        <w:rFonts w:ascii="Times New Roman" w:hAnsi="Times New Roman" w:eastAsia="宋体"/>
        <w:b w:val="0"/>
        <w:i w:val="0"/>
        <w:sz w:val="21"/>
      </w:rPr>
      <w:tcPr>
        <w:tcBorders>
          <w:top w:val="single" w:color="auto" w:sz="12" w:space="0"/>
          <w:left w:val="nil"/>
          <w:bottom w:val="single" w:color="auto" w:sz="6" w:space="0"/>
          <w:right w:val="nil"/>
          <w:insideH w:val="nil"/>
          <w:insideV w:val="nil"/>
          <w:tl2br w:val="nil"/>
          <w:tr2bl w:val="nil"/>
        </w:tcBorders>
      </w:tcPr>
    </w:tblStylePr>
  </w:style>
  <w:style w:type="table" w:customStyle="1" w:styleId="18">
    <w:name w:val="网格型31"/>
    <w:qFormat/>
    <w:uiPriority w:val="39"/>
    <w:rPr>
      <w:kern w:val="2"/>
      <w:sz w:val="21"/>
      <w:szCs w:val="22"/>
    </w:rPr>
    <w:tblPr>
      <w:tblBorders>
        <w:top w:val="single" w:color="auto" w:sz="12" w:space="0"/>
        <w:bottom w:val="single" w:color="auto" w:sz="12" w:space="0"/>
      </w:tblBorders>
      <w:tblCellMar>
        <w:top w:w="0" w:type="dxa"/>
        <w:left w:w="0" w:type="dxa"/>
        <w:bottom w:w="0" w:type="dxa"/>
        <w:right w:w="0" w:type="dxa"/>
      </w:tblCellMar>
    </w:tblPr>
    <w:tblStylePr w:type="firstRow">
      <w:pPr>
        <w:wordWrap/>
        <w:spacing w:line="360" w:lineRule="exact"/>
        <w:jc w:val="center"/>
      </w:pPr>
      <w:rPr>
        <w:rFonts w:ascii="Times New Roman" w:hAnsi="Times New Roman" w:eastAsia="宋体"/>
        <w:b w:val="0"/>
        <w:i w:val="0"/>
        <w:sz w:val="21"/>
      </w:rPr>
      <w:tcPr>
        <w:tcBorders>
          <w:top w:val="single" w:color="auto" w:sz="12" w:space="0"/>
          <w:left w:val="nil"/>
          <w:bottom w:val="single" w:color="auto" w:sz="6" w:space="0"/>
          <w:right w:val="nil"/>
          <w:insideH w:val="nil"/>
          <w:insideV w:val="nil"/>
          <w:tl2br w:val="nil"/>
          <w:tr2bl w:val="nil"/>
        </w:tcBorders>
      </w:tcPr>
    </w:tblStylePr>
  </w:style>
  <w:style w:type="table" w:customStyle="1" w:styleId="19">
    <w:name w:val="网格型41"/>
    <w:qFormat/>
    <w:uiPriority w:val="39"/>
    <w:rPr>
      <w:kern w:val="2"/>
      <w:sz w:val="21"/>
      <w:szCs w:val="22"/>
    </w:rPr>
    <w:tblPr>
      <w:tblBorders>
        <w:top w:val="single" w:color="auto" w:sz="12" w:space="0"/>
        <w:bottom w:val="single" w:color="auto" w:sz="12" w:space="0"/>
      </w:tblBorders>
      <w:tblCellMar>
        <w:top w:w="0" w:type="dxa"/>
        <w:left w:w="0" w:type="dxa"/>
        <w:bottom w:w="0" w:type="dxa"/>
        <w:right w:w="0" w:type="dxa"/>
      </w:tblCellMar>
    </w:tblPr>
    <w:tblStylePr w:type="firstRow">
      <w:pPr>
        <w:wordWrap/>
        <w:spacing w:line="360" w:lineRule="exact"/>
        <w:jc w:val="center"/>
      </w:pPr>
      <w:rPr>
        <w:rFonts w:ascii="Times New Roman" w:hAnsi="Times New Roman" w:eastAsia="宋体"/>
        <w:b w:val="0"/>
        <w:i w:val="0"/>
        <w:sz w:val="21"/>
      </w:rPr>
      <w:tcPr>
        <w:tcBorders>
          <w:top w:val="single" w:color="auto" w:sz="12" w:space="0"/>
          <w:left w:val="nil"/>
          <w:bottom w:val="single" w:color="auto" w:sz="6" w:space="0"/>
          <w:right w:val="nil"/>
          <w:insideH w:val="nil"/>
          <w:insideV w:val="nil"/>
          <w:tl2br w:val="nil"/>
          <w:tr2bl w:val="nil"/>
        </w:tcBorders>
      </w:tcPr>
    </w:tblStylePr>
  </w:style>
  <w:style w:type="table" w:customStyle="1" w:styleId="20">
    <w:name w:val="网格型1"/>
    <w:basedOn w:val="3"/>
    <w:autoRedefine/>
    <w:qFormat/>
    <w:uiPriority w:val="5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修订1"/>
    <w:hidden/>
    <w:unhideWhenUsed/>
    <w:qFormat/>
    <w:uiPriority w:val="99"/>
    <w:rPr>
      <w:rFonts w:ascii="Times New Roman" w:hAnsi="Times New Roman" w:eastAsia="Times New Roman" w:cs="Times New Roman"/>
      <w:b/>
      <w:color w:val="000000"/>
      <w:kern w:val="2"/>
      <w:sz w:val="24"/>
      <w:szCs w:val="22"/>
      <w:lang w:val="en-US" w:eastAsia="zh-CN" w:bidi="ar-SA"/>
    </w:rPr>
  </w:style>
  <w:style w:type="character" w:customStyle="1" w:styleId="22">
    <w:name w:val="Comment Text Char"/>
    <w:basedOn w:val="2"/>
    <w:link w:val="5"/>
    <w:semiHidden/>
    <w:qFormat/>
    <w:uiPriority w:val="99"/>
    <w:rPr>
      <w:rFonts w:eastAsia="Times New Roman"/>
      <w:b/>
      <w:color w:val="000000"/>
      <w:kern w:val="2"/>
      <w:sz w:val="24"/>
      <w:szCs w:val="22"/>
    </w:rPr>
  </w:style>
  <w:style w:type="character" w:customStyle="1" w:styleId="23">
    <w:name w:val="Comment Subject Char"/>
    <w:basedOn w:val="22"/>
    <w:link w:val="6"/>
    <w:semiHidden/>
    <w:qFormat/>
    <w:uiPriority w:val="99"/>
    <w:rPr>
      <w:rFonts w:eastAsia="Times New Roman"/>
      <w:bCs/>
      <w:color w:val="000000"/>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1198</Words>
  <Characters>6360</Characters>
  <Lines>86</Lines>
  <Paragraphs>24</Paragraphs>
  <TotalTime>43</TotalTime>
  <ScaleCrop>false</ScaleCrop>
  <LinksUpToDate>false</LinksUpToDate>
  <CharactersWithSpaces>7288</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2025-03-30T13:11:00Z</dcterms:created>
  <dc:creator>Frontiers Media SA</dc:creator>
  <cp:lastModifiedBy>Diana</cp:lastModifiedBy>
  <cp:lastPrinted>2026-04-02T06:30:00Z</cp:lastPrinted>
  <dcterms:modified xsi:type="dcterms:W3CDTF">2026-04-29T08:02:40Z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eyJoZGlkIjoiMWIxOWY5NjA2OGNlNjNmNGM0OGEyMzcyNDYwMmIzMTYiLCJ1c2VySWQiOiIxMzc0NDEyNzUyODEifQ==</vt:lpwstr>
  </property>
  <property fmtid="{D5CDD505-2E9C-101B-9397-08002B2CF9AE}" pid="3" name="KSOProductBuildVer">
    <vt:lpwstr>1033-12.1.0.25862</vt:lpwstr>
  </property>
  <property fmtid="{D5CDD505-2E9C-101B-9397-08002B2CF9AE}" pid="4" name="ICV">
    <vt:lpwstr>ECEE76B05D3A475D880410E904BA6F72_13</vt:lpwstr>
  </property>
  <property fmtid="{D5CDD505-2E9C-101B-9397-08002B2CF9AE}" pid="5" name="GrammarlyDocumentId">
    <vt:lpwstr>ddab3437-5253-4abd-82fb-eaf1ca31d547</vt:lpwstr>
  </property>
</Properties>
</file>