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C7D37" w14:textId="77777777" w:rsidR="002F3CA2" w:rsidRDefault="002F3CA2" w:rsidP="002F3CA2">
      <w:pPr>
        <w:keepNext/>
        <w:keepLines/>
        <w:spacing w:before="160" w:after="80" w:line="240" w:lineRule="auto"/>
        <w:ind w:left="567" w:right="567"/>
        <w:outlineLvl w:val="1"/>
        <w:rPr>
          <w:rFonts w:ascii="Times New Roman" w:eastAsiaTheme="majorEastAsia" w:hAnsi="Times New Roman" w:cs="Times New Roman"/>
          <w:b/>
          <w:iCs/>
          <w:color w:val="000000" w:themeColor="text1"/>
          <w:lang w:val="en-US"/>
        </w:rPr>
      </w:pPr>
      <w:r>
        <w:rPr>
          <w:rFonts w:ascii="Times New Roman" w:hAnsi="Times New Roman" w:cs="Times New Roman"/>
          <w:b/>
          <w:lang w:val="en-GB"/>
        </w:rPr>
        <w:t>Methods Supplementary</w:t>
      </w:r>
    </w:p>
    <w:p w14:paraId="2C4C76B5" w14:textId="77777777" w:rsidR="002F3CA2" w:rsidRDefault="002F3CA2" w:rsidP="002F3CA2">
      <w:pPr>
        <w:pStyle w:val="ListParagraph"/>
        <w:keepNext/>
        <w:keepLines/>
        <w:numPr>
          <w:ilvl w:val="0"/>
          <w:numId w:val="5"/>
        </w:numPr>
        <w:spacing w:before="160" w:after="80" w:line="240" w:lineRule="auto"/>
        <w:ind w:right="567" w:firstLineChars="0"/>
        <w:contextualSpacing/>
        <w:outlineLvl w:val="1"/>
        <w:rPr>
          <w:rFonts w:ascii="Times New Roman" w:eastAsiaTheme="majorEastAsia" w:hAnsi="Times New Roman" w:cs="Times New Roman"/>
          <w:b/>
          <w:i/>
          <w:color w:val="000000" w:themeColor="text1"/>
          <w:lang w:val="en-US"/>
        </w:rPr>
      </w:pPr>
      <w:r>
        <w:rPr>
          <w:rFonts w:ascii="Times New Roman" w:eastAsiaTheme="majorEastAsia" w:hAnsi="Times New Roman" w:cs="Times New Roman"/>
          <w:b/>
          <w:i/>
          <w:color w:val="000000" w:themeColor="text1"/>
          <w:lang w:val="en-US"/>
        </w:rPr>
        <w:t>Bradford Assay</w:t>
      </w:r>
    </w:p>
    <w:p w14:paraId="0C72BB6C" w14:textId="77777777" w:rsidR="002F3CA2" w:rsidRDefault="002F3CA2" w:rsidP="002F3CA2">
      <w:pPr>
        <w:spacing w:line="240" w:lineRule="auto"/>
        <w:ind w:left="567" w:right="567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 xml:space="preserve">Bradford protein assay (Quick Start™ Bradford Protein Assay Kit, 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Biorad</w:t>
      </w:r>
      <w:proofErr w:type="spellEnd"/>
      <w:r>
        <w:rPr>
          <w:rFonts w:ascii="Times New Roman" w:hAnsi="Times New Roman" w:cs="Times New Roman"/>
          <w:color w:val="000000" w:themeColor="text1"/>
          <w:lang w:val="en-US"/>
        </w:rPr>
        <w:t xml:space="preserve">, Hercules, CA, USA, Cat. No. </w:t>
      </w:r>
      <w:r>
        <w:rPr>
          <w:rFonts w:ascii="Times New Roman" w:hAnsi="Times New Roman" w:cs="Times New Roman"/>
          <w:color w:val="000000" w:themeColor="text1"/>
          <w:lang w:val="en-GB"/>
        </w:rPr>
        <w:t>5000006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) was performed to quantify protein levels. RES 186 and RES 259 were treated and lysed in 100 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μL</w:t>
      </w:r>
      <w:proofErr w:type="spellEnd"/>
      <w:r>
        <w:rPr>
          <w:rFonts w:ascii="Times New Roman" w:hAnsi="Times New Roman" w:cs="Times New Roman"/>
          <w:color w:val="000000" w:themeColor="text1"/>
          <w:lang w:val="en-US"/>
        </w:rPr>
        <w:t xml:space="preserve"> Triton. In total, 10 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μL</w:t>
      </w:r>
      <w:proofErr w:type="spellEnd"/>
      <w:r>
        <w:rPr>
          <w:rFonts w:ascii="Times New Roman" w:hAnsi="Times New Roman" w:cs="Times New Roman"/>
          <w:color w:val="000000" w:themeColor="text1"/>
          <w:lang w:val="en-US"/>
        </w:rPr>
        <w:t xml:space="preserve"> of each treatment was used to calculate the amount of protein per well. BSA was chosen as the standard to develop a calibration curve ranging from 1 mg/mL to 0 mg/mL and the protein amount was measured as a function of absorbance at 570 nm using a microplate photometer (Victor 4, PerkinElmer, Waltham, MA, USA). Results were expressed as a total 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μg</w:t>
      </w:r>
      <w:proofErr w:type="spellEnd"/>
      <w:r>
        <w:rPr>
          <w:rFonts w:ascii="Times New Roman" w:hAnsi="Times New Roman" w:cs="Times New Roman"/>
          <w:color w:val="000000" w:themeColor="text1"/>
          <w:lang w:val="en-US"/>
        </w:rPr>
        <w:t xml:space="preserve"> of proteins per well. Bradford assay was performed at 24h, 48h and 7 days of treatments.</w:t>
      </w:r>
    </w:p>
    <w:p w14:paraId="288CE485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lang w:val="en-US"/>
        </w:rPr>
      </w:pPr>
    </w:p>
    <w:p w14:paraId="40278454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lang w:val="en-US"/>
        </w:rPr>
      </w:pPr>
    </w:p>
    <w:p w14:paraId="470C6554" w14:textId="77777777" w:rsidR="002F3CA2" w:rsidRDefault="002F3CA2" w:rsidP="002F3CA2">
      <w:pPr>
        <w:keepNext/>
        <w:keepLines/>
        <w:spacing w:before="160" w:after="80" w:line="240" w:lineRule="auto"/>
        <w:ind w:left="567" w:right="567"/>
        <w:outlineLvl w:val="1"/>
        <w:rPr>
          <w:rFonts w:ascii="Times New Roman" w:eastAsiaTheme="majorEastAsia" w:hAnsi="Times New Roman" w:cs="Times New Roman"/>
          <w:b/>
          <w:iCs/>
          <w:color w:val="000000" w:themeColor="text1"/>
          <w:lang w:val="en-US"/>
        </w:rPr>
      </w:pPr>
      <w:r>
        <w:rPr>
          <w:rFonts w:ascii="Times New Roman" w:hAnsi="Times New Roman" w:cs="Times New Roman"/>
          <w:b/>
          <w:lang w:val="en-GB"/>
        </w:rPr>
        <w:t>Figure Supplementary</w:t>
      </w:r>
    </w:p>
    <w:p w14:paraId="4198270D" w14:textId="77777777" w:rsidR="002F3CA2" w:rsidRDefault="002F3CA2" w:rsidP="002F3CA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 wp14:anchorId="7696E6E3" wp14:editId="16249C30">
            <wp:extent cx="5105400" cy="2240280"/>
            <wp:effectExtent l="0" t="0" r="0" b="7620"/>
            <wp:docPr id="503928012" name="Picture 38" descr="Immagine che contiene diagramma, testo, schermata, line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928012" name="Picture 38" descr="Immagine che contiene diagramma, testo, schermata, line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EE7E8" w14:textId="77777777" w:rsidR="002F3CA2" w:rsidRDefault="002F3CA2" w:rsidP="002F3CA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>Supplementary Figure 1.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iCs/>
          <w:lang w:val="en-US"/>
        </w:rPr>
        <w:t>Effect of mebendazole on protein content in RES 259 and RES 186 cell lines.</w:t>
      </w:r>
      <w:r>
        <w:rPr>
          <w:rFonts w:ascii="Times New Roman" w:hAnsi="Times New Roman" w:cs="Times New Roman"/>
          <w:lang w:val="en-US"/>
        </w:rPr>
        <w:br/>
        <w:t>Protein amounts (µg/µL) were assessed after 48 h of treatment by the Bradford assay and expressed relative to untreated cells (control).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lang w:val="en-US"/>
        </w:rPr>
        <w:t>(A)</w:t>
      </w:r>
      <w:r>
        <w:rPr>
          <w:rFonts w:ascii="Times New Roman" w:hAnsi="Times New Roman" w:cs="Times New Roman"/>
          <w:lang w:val="en-US"/>
        </w:rPr>
        <w:t xml:space="preserve"> Effect of mebendazole (MBZ), tested at concentrations ranging from 100 </w:t>
      </w:r>
      <w:proofErr w:type="spellStart"/>
      <w:r>
        <w:rPr>
          <w:rFonts w:ascii="Times New Roman" w:hAnsi="Times New Roman" w:cs="Times New Roman"/>
          <w:lang w:val="en-US"/>
        </w:rPr>
        <w:t>nM</w:t>
      </w:r>
      <w:proofErr w:type="spellEnd"/>
      <w:r>
        <w:rPr>
          <w:rFonts w:ascii="Times New Roman" w:hAnsi="Times New Roman" w:cs="Times New Roman"/>
          <w:lang w:val="en-US"/>
        </w:rPr>
        <w:t xml:space="preserve"> to 10 µM, on protein content in RES 259 cells.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lang w:val="en-US"/>
        </w:rPr>
        <w:t>(B)</w:t>
      </w:r>
      <w:r>
        <w:rPr>
          <w:rFonts w:ascii="Times New Roman" w:hAnsi="Times New Roman" w:cs="Times New Roman"/>
          <w:lang w:val="en-US"/>
        </w:rPr>
        <w:t xml:space="preserve"> Effect of mebendazole (MBZ), tested at concentrations ranging from 100 </w:t>
      </w:r>
      <w:proofErr w:type="spellStart"/>
      <w:r>
        <w:rPr>
          <w:rFonts w:ascii="Times New Roman" w:hAnsi="Times New Roman" w:cs="Times New Roman"/>
          <w:lang w:val="en-US"/>
        </w:rPr>
        <w:t>nM</w:t>
      </w:r>
      <w:proofErr w:type="spellEnd"/>
      <w:r>
        <w:rPr>
          <w:rFonts w:ascii="Times New Roman" w:hAnsi="Times New Roman" w:cs="Times New Roman"/>
          <w:lang w:val="en-US"/>
        </w:rPr>
        <w:t xml:space="preserve"> to 10 µM, on protein content in RES 186 cells. Data are presented as mean ± SEM. Statistical analysis was performed using one-way ANOVA followed by Dunnett’s post hoc test. All p-values were calculated relative to the control sample. </w:t>
      </w: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i/>
          <w:iCs/>
        </w:rPr>
        <w:t>p</w:t>
      </w:r>
      <w:r>
        <w:rPr>
          <w:rFonts w:ascii="Times New Roman" w:hAnsi="Times New Roman" w:cs="Times New Roman"/>
        </w:rPr>
        <w:t xml:space="preserve"> &lt; 0.05, ****</w:t>
      </w:r>
      <w:r>
        <w:rPr>
          <w:rFonts w:ascii="Times New Roman" w:hAnsi="Times New Roman" w:cs="Times New Roman"/>
          <w:i/>
          <w:iCs/>
        </w:rPr>
        <w:t>p</w:t>
      </w:r>
      <w:r>
        <w:rPr>
          <w:rFonts w:ascii="Times New Roman" w:hAnsi="Times New Roman" w:cs="Times New Roman"/>
        </w:rPr>
        <w:t xml:space="preserve"> &lt; 0.0001. </w:t>
      </w:r>
    </w:p>
    <w:p w14:paraId="0DB35C04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lang w:val="en-GB"/>
        </w:rPr>
      </w:pPr>
    </w:p>
    <w:p w14:paraId="34DDC9CA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i/>
          <w:iCs/>
          <w:lang w:val="en-GB"/>
        </w:rPr>
      </w:pPr>
    </w:p>
    <w:p w14:paraId="3B931709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i/>
          <w:iCs/>
          <w:lang w:val="en-GB" w:eastAsia="zh-CN"/>
        </w:rPr>
      </w:pPr>
      <w:r>
        <w:rPr>
          <w:rFonts w:ascii="Times New Roman" w:hAnsi="Times New Roman" w:cs="Times New Roman"/>
          <w:noProof/>
          <w:lang w:eastAsia="it-IT"/>
        </w:rPr>
        <w:lastRenderedPageBreak/>
        <w:drawing>
          <wp:inline distT="0" distB="0" distL="0" distR="0" wp14:anchorId="15888B85" wp14:editId="325D3BFE">
            <wp:extent cx="6120130" cy="3039745"/>
            <wp:effectExtent l="0" t="0" r="0" b="8255"/>
            <wp:docPr id="1098791462" name="Immagine 1098791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791462" name="Immagine 109879146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3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78725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/>
        </w:rPr>
        <w:t xml:space="preserve">Supplementary Figure 2. </w:t>
      </w:r>
      <w:r>
        <w:rPr>
          <w:rFonts w:ascii="Times New Roman" w:hAnsi="Times New Roman" w:cs="Times New Roman"/>
          <w:lang w:val="en-US"/>
        </w:rPr>
        <w:t>Western blot analysis in RES 259 (green panels)</w:t>
      </w:r>
      <w:r>
        <w:rPr>
          <w:rFonts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and RES 186 (blue panels) of the main proteins involved in the MAPK pathway after 48 h of the following treatments: control, Mebendazole 100 </w:t>
      </w:r>
      <w:proofErr w:type="spellStart"/>
      <w:r>
        <w:rPr>
          <w:rFonts w:ascii="Times New Roman" w:hAnsi="Times New Roman" w:cs="Times New Roman"/>
          <w:lang w:val="en-US"/>
        </w:rPr>
        <w:t>nM</w:t>
      </w:r>
      <w:proofErr w:type="spellEnd"/>
      <w:r>
        <w:rPr>
          <w:rFonts w:ascii="Times New Roman" w:hAnsi="Times New Roman" w:cs="Times New Roman"/>
          <w:lang w:val="en-US"/>
        </w:rPr>
        <w:t xml:space="preserve">, Mebendazole 1 </w:t>
      </w:r>
      <w:r>
        <w:rPr>
          <w:rFonts w:ascii="Times New Roman" w:hAnsi="Times New Roman" w:cs="Times New Roman"/>
          <w:lang w:val="en-US"/>
        </w:rPr>
        <w:sym w:font="Symbol" w:char="F06D"/>
      </w:r>
      <w:r>
        <w:rPr>
          <w:rFonts w:ascii="Times New Roman" w:hAnsi="Times New Roman" w:cs="Times New Roman"/>
          <w:lang w:val="en-US"/>
        </w:rPr>
        <w:t xml:space="preserve">M, Mebendazole 10 </w:t>
      </w:r>
      <w:r>
        <w:rPr>
          <w:rFonts w:ascii="Times New Roman" w:hAnsi="Times New Roman" w:cs="Times New Roman"/>
          <w:lang w:val="en-US"/>
        </w:rPr>
        <w:sym w:font="Symbol" w:char="F06D"/>
      </w:r>
      <w:r>
        <w:rPr>
          <w:rFonts w:ascii="Times New Roman" w:hAnsi="Times New Roman" w:cs="Times New Roman"/>
          <w:lang w:val="en-US"/>
        </w:rPr>
        <w:t>M.</w:t>
      </w:r>
      <w:r>
        <w:rPr>
          <w:rFonts w:ascii="Times New Roman" w:hAnsi="Times New Roman" w:cs="Times New Roman"/>
          <w:lang w:val="en-GB"/>
        </w:rPr>
        <w:t xml:space="preserve">  Data are means ± SEM, and were </w:t>
      </w:r>
      <w:proofErr w:type="spellStart"/>
      <w:r>
        <w:rPr>
          <w:rFonts w:ascii="Times New Roman" w:hAnsi="Times New Roman" w:cs="Times New Roman"/>
          <w:lang w:val="en-GB"/>
        </w:rPr>
        <w:t>analyzed</w:t>
      </w:r>
      <w:proofErr w:type="spellEnd"/>
      <w:r>
        <w:rPr>
          <w:rFonts w:ascii="Times New Roman" w:hAnsi="Times New Roman" w:cs="Times New Roman"/>
          <w:lang w:val="en-GB"/>
        </w:rPr>
        <w:t xml:space="preserve"> by one-way ANOVA, followed by Dunnett’s post-test. * </w:t>
      </w:r>
      <w:r>
        <w:rPr>
          <w:rFonts w:ascii="Times New Roman" w:hAnsi="Times New Roman" w:cs="Times New Roman"/>
          <w:i/>
          <w:iCs/>
          <w:lang w:val="en-GB"/>
        </w:rPr>
        <w:t>p</w:t>
      </w:r>
      <w:r>
        <w:rPr>
          <w:rFonts w:ascii="Times New Roman" w:hAnsi="Times New Roman" w:cs="Times New Roman"/>
          <w:lang w:val="en-GB"/>
        </w:rPr>
        <w:t xml:space="preserve"> &lt; 0.05, ** </w:t>
      </w:r>
      <w:r>
        <w:rPr>
          <w:rFonts w:ascii="Times New Roman" w:hAnsi="Times New Roman" w:cs="Times New Roman"/>
          <w:i/>
          <w:iCs/>
          <w:lang w:val="en-GB"/>
        </w:rPr>
        <w:t>p</w:t>
      </w:r>
      <w:r>
        <w:rPr>
          <w:rFonts w:ascii="Times New Roman" w:hAnsi="Times New Roman" w:cs="Times New Roman"/>
          <w:lang w:val="en-GB"/>
        </w:rPr>
        <w:t xml:space="preserve"> &lt; 0.001, *** </w:t>
      </w:r>
      <w:r>
        <w:rPr>
          <w:rFonts w:ascii="Times New Roman" w:hAnsi="Times New Roman" w:cs="Times New Roman"/>
          <w:i/>
          <w:iCs/>
          <w:lang w:val="en-GB"/>
        </w:rPr>
        <w:t>p</w:t>
      </w:r>
      <w:r>
        <w:rPr>
          <w:rFonts w:ascii="Times New Roman" w:hAnsi="Times New Roman" w:cs="Times New Roman"/>
          <w:lang w:val="en-GB"/>
        </w:rPr>
        <w:t xml:space="preserve"> &lt; 0.001, **** </w:t>
      </w:r>
      <w:r>
        <w:rPr>
          <w:rFonts w:ascii="Times New Roman" w:hAnsi="Times New Roman" w:cs="Times New Roman"/>
          <w:i/>
          <w:iCs/>
          <w:lang w:val="en-GB"/>
        </w:rPr>
        <w:t>p</w:t>
      </w:r>
      <w:r>
        <w:rPr>
          <w:rFonts w:ascii="Times New Roman" w:hAnsi="Times New Roman" w:cs="Times New Roman"/>
          <w:lang w:val="en-GB"/>
        </w:rPr>
        <w:t xml:space="preserve"> &lt; 0.0001. </w:t>
      </w:r>
      <w:r>
        <w:rPr>
          <w:rFonts w:ascii="Times New Roman" w:hAnsi="Times New Roman" w:cs="Times New Roman"/>
          <w:lang w:val="en-US"/>
        </w:rPr>
        <w:t xml:space="preserve">For every protein set, </w:t>
      </w:r>
      <w:r>
        <w:rPr>
          <w:rFonts w:ascii="Times New Roman" w:hAnsi="Times New Roman" w:cs="Times New Roman"/>
        </w:rPr>
        <w:t>β</w:t>
      </w:r>
      <w:r>
        <w:rPr>
          <w:rFonts w:ascii="Times New Roman" w:hAnsi="Times New Roman" w:cs="Times New Roman"/>
          <w:lang w:val="en-US"/>
        </w:rPr>
        <w:t>-actin is reported as the normalizer gene.</w:t>
      </w:r>
    </w:p>
    <w:p w14:paraId="113845E0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 wp14:anchorId="3DD34E79" wp14:editId="6E765192">
            <wp:extent cx="6120130" cy="3406775"/>
            <wp:effectExtent l="0" t="0" r="0" b="3175"/>
            <wp:docPr id="1098791461" name="Immagine 1098791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791461" name="Immagine 10987914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0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D5507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Supplementary Figure 3. The involvement of MBZ in regulating apoptosis and autophagy mechanisms was assessed after 48 h of treatment. (A) Apoptosis-related proteins in RES 259 (green panels) and RES 186 (blue panels) cells. (B) Autophagy-related proteins in RES 259 (green panels) and RES 186 (blue panels) </w:t>
      </w:r>
      <w:proofErr w:type="spellStart"/>
      <w:proofErr w:type="gramStart"/>
      <w:r>
        <w:rPr>
          <w:rFonts w:ascii="Times New Roman" w:hAnsi="Times New Roman" w:cs="Times New Roman"/>
          <w:lang w:val="en-GB"/>
        </w:rPr>
        <w:t>cells.Cells</w:t>
      </w:r>
      <w:proofErr w:type="spellEnd"/>
      <w:proofErr w:type="gramEnd"/>
      <w:r>
        <w:rPr>
          <w:rFonts w:ascii="Times New Roman" w:hAnsi="Times New Roman" w:cs="Times New Roman"/>
          <w:lang w:val="en-GB"/>
        </w:rPr>
        <w:t xml:space="preserve"> were treated with: control, MBZ 100 </w:t>
      </w:r>
      <w:proofErr w:type="spellStart"/>
      <w:r>
        <w:rPr>
          <w:rFonts w:ascii="Times New Roman" w:hAnsi="Times New Roman" w:cs="Times New Roman"/>
          <w:lang w:val="en-GB"/>
        </w:rPr>
        <w:t>nM</w:t>
      </w:r>
      <w:proofErr w:type="spellEnd"/>
      <w:r>
        <w:rPr>
          <w:rFonts w:ascii="Times New Roman" w:hAnsi="Times New Roman" w:cs="Times New Roman"/>
          <w:lang w:val="en-GB"/>
        </w:rPr>
        <w:t>, MBZ 1 µM, and MBZ 10 µM. Data are presented as mean ± SEM. For every protein set, β-actin was used as the normalizer. Statistical analysis was performed using one-way ANOVA followed by Dunnett’s post hoc test. *</w:t>
      </w:r>
      <w:r>
        <w:rPr>
          <w:rFonts w:ascii="Times New Roman" w:hAnsi="Times New Roman" w:cs="Times New Roman"/>
          <w:i/>
          <w:iCs/>
          <w:lang w:val="en-GB"/>
        </w:rPr>
        <w:t>p</w:t>
      </w:r>
      <w:r>
        <w:rPr>
          <w:rFonts w:ascii="Times New Roman" w:hAnsi="Times New Roman" w:cs="Times New Roman"/>
          <w:lang w:val="en-GB"/>
        </w:rPr>
        <w:t xml:space="preserve"> &lt; 0.05;</w:t>
      </w:r>
      <w:r>
        <w:rPr>
          <w:rFonts w:ascii="Times New Roman" w:hAnsi="Times New Roman" w:cs="Times New Roman" w:hint="eastAsia"/>
          <w:lang w:val="en-GB" w:eastAsia="zh-CN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** </w:t>
      </w:r>
      <w:r>
        <w:rPr>
          <w:rFonts w:ascii="Times New Roman" w:hAnsi="Times New Roman" w:cs="Times New Roman"/>
          <w:i/>
          <w:iCs/>
          <w:lang w:val="en-GB"/>
        </w:rPr>
        <w:t>p</w:t>
      </w:r>
      <w:r>
        <w:rPr>
          <w:rFonts w:ascii="Times New Roman" w:hAnsi="Times New Roman" w:cs="Times New Roman"/>
          <w:lang w:val="en-GB"/>
        </w:rPr>
        <w:t xml:space="preserve"> &lt; 0.01, ***</w:t>
      </w:r>
      <w:r>
        <w:rPr>
          <w:rFonts w:ascii="Times New Roman" w:hAnsi="Times New Roman" w:cs="Times New Roman"/>
          <w:i/>
          <w:iCs/>
          <w:lang w:val="en-GB"/>
        </w:rPr>
        <w:t>p</w:t>
      </w:r>
      <w:r>
        <w:rPr>
          <w:rFonts w:ascii="Times New Roman" w:hAnsi="Times New Roman" w:cs="Times New Roman"/>
          <w:lang w:val="en-GB"/>
        </w:rPr>
        <w:t xml:space="preserve"> &lt; 0.001; ****</w:t>
      </w:r>
      <w:r>
        <w:rPr>
          <w:rFonts w:ascii="Times New Roman" w:hAnsi="Times New Roman" w:cs="Times New Roman"/>
          <w:i/>
          <w:iCs/>
          <w:lang w:val="en-GB"/>
        </w:rPr>
        <w:t xml:space="preserve">p </w:t>
      </w:r>
      <w:r>
        <w:rPr>
          <w:rFonts w:ascii="Times New Roman" w:hAnsi="Times New Roman" w:cs="Times New Roman"/>
          <w:lang w:val="en-GB"/>
        </w:rPr>
        <w:t>&lt; 0.0001.</w:t>
      </w:r>
      <w:r>
        <w:rPr>
          <w:rFonts w:ascii="Times New Roman" w:hAnsi="Times New Roman" w:cs="Times New Roman"/>
          <w:lang w:val="en-GB" w:eastAsia="zh-CN"/>
        </w:rPr>
        <w:t xml:space="preserve"> </w:t>
      </w:r>
    </w:p>
    <w:p w14:paraId="6413BF4A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iCs/>
          <w:lang w:val="en-GB" w:eastAsia="zh-CN"/>
        </w:rPr>
      </w:pPr>
    </w:p>
    <w:p w14:paraId="649E5A3D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iCs/>
          <w:lang w:val="en-GB" w:eastAsia="zh-CN"/>
        </w:rPr>
      </w:pPr>
      <w:r>
        <w:rPr>
          <w:rFonts w:ascii="Times New Roman" w:hAnsi="Times New Roman" w:cs="Times New Roman"/>
          <w:noProof/>
          <w:lang w:eastAsia="it-IT"/>
        </w:rPr>
        <w:lastRenderedPageBreak/>
        <w:drawing>
          <wp:inline distT="0" distB="0" distL="0" distR="0" wp14:anchorId="4C24312B" wp14:editId="237F2473">
            <wp:extent cx="6120130" cy="3578860"/>
            <wp:effectExtent l="0" t="0" r="0" b="2540"/>
            <wp:docPr id="1098791458" name="Immagine 1098791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791458" name="Immagine 10987914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7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8C6A1" w14:textId="77777777" w:rsidR="002F3CA2" w:rsidRPr="009143DD" w:rsidRDefault="002F3CA2" w:rsidP="002F3CA2">
      <w:pPr>
        <w:spacing w:line="240" w:lineRule="auto"/>
        <w:rPr>
          <w:rFonts w:ascii="Times New Roman" w:hAnsi="Times New Roman" w:cs="Times New Roman"/>
          <w:iCs/>
          <w:lang w:val="en-GB"/>
        </w:rPr>
      </w:pPr>
      <w:r>
        <w:rPr>
          <w:rFonts w:ascii="Times New Roman" w:hAnsi="Times New Roman" w:cs="Times New Roman"/>
          <w:iCs/>
          <w:lang w:val="en-GB"/>
        </w:rPr>
        <w:t xml:space="preserve">Supplementary Figure 4. Effect of MBZ on the migration of RES 259 and RES 186 and potential role in reducing </w:t>
      </w:r>
      <w:proofErr w:type="spellStart"/>
      <w:r>
        <w:rPr>
          <w:rFonts w:ascii="Times New Roman" w:hAnsi="Times New Roman" w:cs="Times New Roman"/>
          <w:iCs/>
          <w:lang w:val="en-GB"/>
        </w:rPr>
        <w:t>tumor</w:t>
      </w:r>
      <w:proofErr w:type="spellEnd"/>
      <w:r>
        <w:rPr>
          <w:rFonts w:ascii="Times New Roman" w:hAnsi="Times New Roman" w:cs="Times New Roman"/>
          <w:iCs/>
          <w:lang w:val="en-GB"/>
        </w:rPr>
        <w:t xml:space="preserve"> invasiveness, evaluating the protein level expression of some important proteins </w:t>
      </w:r>
      <w:r w:rsidRPr="009143DD">
        <w:rPr>
          <w:rFonts w:ascii="Times New Roman" w:hAnsi="Times New Roman" w:cs="Times New Roman"/>
          <w:iCs/>
          <w:lang w:val="en-US"/>
        </w:rPr>
        <w:t xml:space="preserve">( Panel A: N-Cadherin; Panel B: IKBα; Panel C: Total </w:t>
      </w:r>
      <w:proofErr w:type="spellStart"/>
      <w:r w:rsidRPr="009143DD">
        <w:rPr>
          <w:rFonts w:ascii="Times New Roman" w:hAnsi="Times New Roman" w:cs="Times New Roman"/>
          <w:iCs/>
          <w:lang w:val="en-US"/>
        </w:rPr>
        <w:t>Creb</w:t>
      </w:r>
      <w:proofErr w:type="spellEnd"/>
      <w:r w:rsidRPr="009143DD">
        <w:rPr>
          <w:rFonts w:ascii="Times New Roman" w:hAnsi="Times New Roman" w:cs="Times New Roman"/>
          <w:iCs/>
          <w:lang w:val="en-US"/>
        </w:rPr>
        <w:t xml:space="preserve">; Panel D: ratio </w:t>
      </w:r>
      <w:proofErr w:type="spellStart"/>
      <w:r w:rsidRPr="009143DD">
        <w:rPr>
          <w:rFonts w:ascii="Times New Roman" w:hAnsi="Times New Roman" w:cs="Times New Roman"/>
          <w:iCs/>
          <w:lang w:val="en-US"/>
        </w:rPr>
        <w:t>pCreb</w:t>
      </w:r>
      <w:proofErr w:type="spellEnd"/>
      <w:r w:rsidRPr="009143DD">
        <w:rPr>
          <w:rFonts w:ascii="Times New Roman" w:hAnsi="Times New Roman" w:cs="Times New Roman"/>
          <w:iCs/>
          <w:lang w:val="en-US"/>
        </w:rPr>
        <w:t xml:space="preserve">/Total </w:t>
      </w:r>
      <w:proofErr w:type="spellStart"/>
      <w:r w:rsidRPr="009143DD">
        <w:rPr>
          <w:rFonts w:ascii="Times New Roman" w:hAnsi="Times New Roman" w:cs="Times New Roman"/>
          <w:iCs/>
          <w:lang w:val="en-US"/>
        </w:rPr>
        <w:t>Creb</w:t>
      </w:r>
      <w:proofErr w:type="spellEnd"/>
      <w:r w:rsidRPr="009143DD">
        <w:rPr>
          <w:rFonts w:ascii="Times New Roman" w:hAnsi="Times New Roman" w:cs="Times New Roman"/>
          <w:iCs/>
          <w:lang w:val="en-US"/>
        </w:rPr>
        <w:t xml:space="preserve">; Panel E: </w:t>
      </w:r>
      <w:proofErr w:type="spellStart"/>
      <w:r w:rsidRPr="009143DD">
        <w:rPr>
          <w:rFonts w:ascii="Times New Roman" w:hAnsi="Times New Roman" w:cs="Times New Roman"/>
          <w:iCs/>
          <w:lang w:val="en-US"/>
        </w:rPr>
        <w:t>pCreb</w:t>
      </w:r>
      <w:proofErr w:type="spellEnd"/>
      <w:r w:rsidRPr="009143DD">
        <w:rPr>
          <w:rFonts w:ascii="Times New Roman" w:hAnsi="Times New Roman" w:cs="Times New Roman"/>
          <w:iCs/>
          <w:lang w:val="en-US"/>
        </w:rPr>
        <w:t>)</w:t>
      </w:r>
      <w:r w:rsidRPr="009143DD">
        <w:rPr>
          <w:rFonts w:ascii="Times New Roman" w:hAnsi="Times New Roman" w:cs="Times New Roman"/>
          <w:iCs/>
          <w:lang w:val="en-GB"/>
        </w:rPr>
        <w:t xml:space="preserve"> involved in the EMT mechanism</w:t>
      </w:r>
      <w:r w:rsidRPr="009143DD">
        <w:rPr>
          <w:rFonts w:ascii="Times New Roman" w:hAnsi="Times New Roman" w:cs="Times New Roman"/>
          <w:iCs/>
          <w:lang w:val="en-US"/>
        </w:rPr>
        <w:t xml:space="preserve"> after 48 h of the following treatments: control, Mebendazole 100 </w:t>
      </w:r>
      <w:proofErr w:type="spellStart"/>
      <w:r w:rsidRPr="009143DD">
        <w:rPr>
          <w:rFonts w:ascii="Times New Roman" w:hAnsi="Times New Roman" w:cs="Times New Roman"/>
          <w:iCs/>
          <w:lang w:val="en-US"/>
        </w:rPr>
        <w:t>nM</w:t>
      </w:r>
      <w:proofErr w:type="spellEnd"/>
      <w:r w:rsidRPr="009143DD">
        <w:rPr>
          <w:rFonts w:ascii="Times New Roman" w:hAnsi="Times New Roman" w:cs="Times New Roman"/>
          <w:iCs/>
          <w:lang w:val="en-US"/>
        </w:rPr>
        <w:t xml:space="preserve">, Mebendazole 1 </w:t>
      </w:r>
      <w:proofErr w:type="spellStart"/>
      <w:r w:rsidRPr="009143DD">
        <w:rPr>
          <w:rFonts w:ascii="Times New Roman" w:hAnsi="Times New Roman" w:cs="Times New Roman"/>
          <w:iCs/>
          <w:lang w:val="en-US"/>
        </w:rPr>
        <w:t>μM</w:t>
      </w:r>
      <w:proofErr w:type="spellEnd"/>
      <w:r w:rsidRPr="009143DD">
        <w:rPr>
          <w:rFonts w:ascii="Times New Roman" w:hAnsi="Times New Roman" w:cs="Times New Roman"/>
          <w:iCs/>
          <w:lang w:val="en-US"/>
        </w:rPr>
        <w:t xml:space="preserve">, Mebendazole 10 </w:t>
      </w:r>
      <w:proofErr w:type="spellStart"/>
      <w:r w:rsidRPr="009143DD">
        <w:rPr>
          <w:rFonts w:ascii="Times New Roman" w:hAnsi="Times New Roman" w:cs="Times New Roman"/>
          <w:iCs/>
          <w:lang w:val="en-US"/>
        </w:rPr>
        <w:t>μM</w:t>
      </w:r>
      <w:proofErr w:type="spellEnd"/>
      <w:r w:rsidRPr="009143DD">
        <w:rPr>
          <w:rFonts w:ascii="Times New Roman" w:hAnsi="Times New Roman" w:cs="Times New Roman"/>
          <w:iCs/>
          <w:lang w:val="en-GB"/>
        </w:rPr>
        <w:t xml:space="preserve">* </w:t>
      </w:r>
      <w:r w:rsidRPr="009143DD">
        <w:rPr>
          <w:rFonts w:ascii="Times New Roman" w:hAnsi="Times New Roman" w:cs="Times New Roman"/>
          <w:i/>
          <w:iCs/>
          <w:lang w:val="en-GB"/>
        </w:rPr>
        <w:t>p</w:t>
      </w:r>
      <w:r w:rsidRPr="009143DD">
        <w:rPr>
          <w:rFonts w:ascii="Times New Roman" w:hAnsi="Times New Roman" w:cs="Times New Roman"/>
          <w:iCs/>
          <w:lang w:val="en-GB"/>
        </w:rPr>
        <w:t xml:space="preserve"> &lt; 0.05, ** </w:t>
      </w:r>
      <w:r w:rsidRPr="009143DD">
        <w:rPr>
          <w:rFonts w:ascii="Times New Roman" w:hAnsi="Times New Roman" w:cs="Times New Roman"/>
          <w:i/>
          <w:iCs/>
          <w:lang w:val="en-GB"/>
        </w:rPr>
        <w:t>p</w:t>
      </w:r>
      <w:r w:rsidRPr="009143DD">
        <w:rPr>
          <w:rFonts w:ascii="Times New Roman" w:hAnsi="Times New Roman" w:cs="Times New Roman"/>
          <w:iCs/>
          <w:lang w:val="en-GB"/>
        </w:rPr>
        <w:t xml:space="preserve"> &lt; 0.01, *** </w:t>
      </w:r>
      <w:r w:rsidRPr="009143DD">
        <w:rPr>
          <w:rFonts w:ascii="Times New Roman" w:hAnsi="Times New Roman" w:cs="Times New Roman"/>
          <w:i/>
          <w:iCs/>
          <w:lang w:val="en-GB"/>
        </w:rPr>
        <w:t>p</w:t>
      </w:r>
      <w:r w:rsidRPr="009143DD">
        <w:rPr>
          <w:rFonts w:ascii="Times New Roman" w:hAnsi="Times New Roman" w:cs="Times New Roman"/>
          <w:iCs/>
          <w:lang w:val="en-GB"/>
        </w:rPr>
        <w:t xml:space="preserve"> &lt; 0.001, **** </w:t>
      </w:r>
      <w:r w:rsidRPr="009143DD">
        <w:rPr>
          <w:rFonts w:ascii="Times New Roman" w:hAnsi="Times New Roman" w:cs="Times New Roman"/>
          <w:i/>
          <w:iCs/>
          <w:lang w:val="en-GB"/>
        </w:rPr>
        <w:t>p</w:t>
      </w:r>
      <w:r w:rsidRPr="009143DD">
        <w:rPr>
          <w:rFonts w:ascii="Times New Roman" w:hAnsi="Times New Roman" w:cs="Times New Roman"/>
          <w:iCs/>
          <w:lang w:val="en-GB"/>
        </w:rPr>
        <w:t xml:space="preserve"> &lt; 0.0001.</w:t>
      </w:r>
      <w:r w:rsidRPr="009143DD">
        <w:rPr>
          <w:rFonts w:ascii="Times New Roman" w:hAnsi="Times New Roman" w:cs="Times New Roman"/>
          <w:iCs/>
          <w:lang w:val="en-US"/>
        </w:rPr>
        <w:t xml:space="preserve">For every protein set, </w:t>
      </w:r>
      <w:r w:rsidRPr="009143DD">
        <w:rPr>
          <w:rFonts w:ascii="Times New Roman" w:hAnsi="Times New Roman" w:cs="Times New Roman"/>
          <w:iCs/>
        </w:rPr>
        <w:t>β</w:t>
      </w:r>
      <w:r w:rsidRPr="009143DD">
        <w:rPr>
          <w:rFonts w:ascii="Times New Roman" w:hAnsi="Times New Roman" w:cs="Times New Roman"/>
          <w:iCs/>
          <w:lang w:val="en-US"/>
        </w:rPr>
        <w:t xml:space="preserve">-actin is reported as the normalizer gene.  </w:t>
      </w:r>
    </w:p>
    <w:p w14:paraId="47E8DA9E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i/>
          <w:iCs/>
          <w:lang w:val="en-GB"/>
        </w:rPr>
      </w:pPr>
    </w:p>
    <w:p w14:paraId="4B17A7DB" w14:textId="77777777" w:rsidR="002F3CA2" w:rsidRDefault="002F3CA2" w:rsidP="002F3CA2">
      <w:pPr>
        <w:spacing w:line="240" w:lineRule="auto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noProof/>
          <w:lang w:eastAsia="it-IT"/>
        </w:rPr>
        <w:drawing>
          <wp:inline distT="0" distB="0" distL="0" distR="0" wp14:anchorId="5FA623D8" wp14:editId="03BA0E08">
            <wp:extent cx="6111240" cy="2926080"/>
            <wp:effectExtent l="0" t="0" r="3810" b="7620"/>
            <wp:docPr id="1835027222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027222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124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F48D5" w14:textId="77777777" w:rsidR="002F3CA2" w:rsidRPr="001A51C7" w:rsidRDefault="002F3CA2" w:rsidP="002F3CA2">
      <w:pPr>
        <w:pStyle w:val="NormalWeb"/>
        <w:rPr>
          <w:szCs w:val="22"/>
          <w:lang w:val="en-US"/>
        </w:rPr>
      </w:pPr>
      <w:r>
        <w:rPr>
          <w:szCs w:val="22"/>
          <w:lang w:val="en-GB"/>
        </w:rPr>
        <w:t>Supplementary Figure 5. Effect of Mebendazole on protein amounts (µg/µ</w:t>
      </w:r>
      <w:r>
        <w:rPr>
          <w:szCs w:val="22"/>
          <w:lang w:val="en-GB" w:eastAsia="zh-CN"/>
        </w:rPr>
        <w:t>L</w:t>
      </w:r>
      <w:r>
        <w:rPr>
          <w:szCs w:val="22"/>
          <w:lang w:val="en-GB"/>
        </w:rPr>
        <w:t>) measured by the Bradford method after 48 h treatment in RES 259</w:t>
      </w:r>
      <w:r>
        <w:rPr>
          <w:rFonts w:hint="eastAsia"/>
          <w:szCs w:val="22"/>
          <w:lang w:val="en-GB" w:eastAsia="zh-CN"/>
        </w:rPr>
        <w:t xml:space="preserve"> </w:t>
      </w:r>
      <w:r>
        <w:rPr>
          <w:szCs w:val="22"/>
          <w:lang w:val="en-GB"/>
        </w:rPr>
        <w:t xml:space="preserve">and in RES 186. </w:t>
      </w:r>
      <w:r>
        <w:rPr>
          <w:szCs w:val="22"/>
          <w:lang w:val="en-US"/>
        </w:rPr>
        <w:t>Protein amounts (µg/µL) were measured after 48 h of treatment by the Bradford assay and expressed relative to untreated cells (control).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rStyle w:val="Strong"/>
          <w:szCs w:val="22"/>
          <w:lang w:val="en-US"/>
        </w:rPr>
        <w:t>(A)</w:t>
      </w:r>
      <w:r>
        <w:rPr>
          <w:szCs w:val="22"/>
          <w:lang w:val="en-US"/>
        </w:rPr>
        <w:t xml:space="preserve"> RES 259 cells treated with: control, MBZ 100 </w:t>
      </w:r>
      <w:proofErr w:type="spellStart"/>
      <w:r>
        <w:rPr>
          <w:szCs w:val="22"/>
          <w:lang w:val="en-US"/>
        </w:rPr>
        <w:t>nM</w:t>
      </w:r>
      <w:proofErr w:type="spellEnd"/>
      <w:r>
        <w:rPr>
          <w:szCs w:val="22"/>
          <w:lang w:val="en-US"/>
        </w:rPr>
        <w:t xml:space="preserve">, MBZ 1 µM, MBZ 100 </w:t>
      </w:r>
      <w:proofErr w:type="spellStart"/>
      <w:r>
        <w:rPr>
          <w:szCs w:val="22"/>
          <w:lang w:val="en-US"/>
        </w:rPr>
        <w:t>nM</w:t>
      </w:r>
      <w:proofErr w:type="spellEnd"/>
      <w:r>
        <w:rPr>
          <w:szCs w:val="22"/>
          <w:lang w:val="en-US"/>
        </w:rPr>
        <w:t xml:space="preserve"> + VIN 1 </w:t>
      </w:r>
      <w:proofErr w:type="spellStart"/>
      <w:r>
        <w:rPr>
          <w:szCs w:val="22"/>
          <w:lang w:val="en-US"/>
        </w:rPr>
        <w:t>nM</w:t>
      </w:r>
      <w:proofErr w:type="spellEnd"/>
      <w:r>
        <w:rPr>
          <w:szCs w:val="22"/>
          <w:lang w:val="en-US"/>
        </w:rPr>
        <w:t xml:space="preserve">, MBZ 1 µM + VIN 1 </w:t>
      </w:r>
      <w:proofErr w:type="spellStart"/>
      <w:r>
        <w:rPr>
          <w:szCs w:val="22"/>
          <w:lang w:val="en-US"/>
        </w:rPr>
        <w:t>nM</w:t>
      </w:r>
      <w:proofErr w:type="spellEnd"/>
      <w:r>
        <w:rPr>
          <w:szCs w:val="22"/>
          <w:lang w:val="en-US"/>
        </w:rPr>
        <w:t xml:space="preserve">, and VIN 1 </w:t>
      </w:r>
      <w:proofErr w:type="spellStart"/>
      <w:r>
        <w:rPr>
          <w:szCs w:val="22"/>
          <w:lang w:val="en-US"/>
        </w:rPr>
        <w:t>nM.</w:t>
      </w:r>
      <w:proofErr w:type="spellEnd"/>
      <w:r>
        <w:rPr>
          <w:rStyle w:val="Strong"/>
          <w:rFonts w:hint="eastAsia"/>
          <w:szCs w:val="22"/>
          <w:lang w:val="en-US" w:eastAsia="zh-CN"/>
        </w:rPr>
        <w:t xml:space="preserve"> </w:t>
      </w:r>
      <w:r>
        <w:rPr>
          <w:rStyle w:val="Strong"/>
          <w:szCs w:val="22"/>
          <w:lang w:val="en-US"/>
        </w:rPr>
        <w:t>(B)</w:t>
      </w:r>
      <w:r>
        <w:rPr>
          <w:szCs w:val="22"/>
          <w:lang w:val="en-US"/>
        </w:rPr>
        <w:t xml:space="preserve"> RES 186 cells treated with the same conditions as in (A). Data are presented as mean ± SEM. </w:t>
      </w:r>
      <w:r>
        <w:rPr>
          <w:szCs w:val="22"/>
          <w:lang w:val="en-US"/>
        </w:rPr>
        <w:lastRenderedPageBreak/>
        <w:t xml:space="preserve">Statistical analysis was performed using one-way ANOVA followed by Dunnett’s post hoc test. All p-values were calculated relative to the control sample. </w:t>
      </w:r>
      <w:r w:rsidRPr="001A51C7">
        <w:rPr>
          <w:szCs w:val="22"/>
          <w:lang w:val="en-US"/>
        </w:rPr>
        <w:t>*</w:t>
      </w:r>
      <w:r w:rsidRPr="001A51C7">
        <w:rPr>
          <w:i/>
          <w:iCs/>
          <w:szCs w:val="22"/>
          <w:lang w:val="en-US"/>
        </w:rPr>
        <w:t>p</w:t>
      </w:r>
      <w:r w:rsidRPr="001A51C7">
        <w:rPr>
          <w:szCs w:val="22"/>
          <w:lang w:val="en-US"/>
        </w:rPr>
        <w:t xml:space="preserve"> &lt; 0.05; **</w:t>
      </w:r>
      <w:r w:rsidRPr="001A51C7">
        <w:rPr>
          <w:i/>
          <w:iCs/>
          <w:szCs w:val="22"/>
          <w:lang w:val="en-US"/>
        </w:rPr>
        <w:t>p</w:t>
      </w:r>
      <w:r w:rsidRPr="001A51C7">
        <w:rPr>
          <w:szCs w:val="22"/>
          <w:lang w:val="en-US"/>
        </w:rPr>
        <w:t xml:space="preserve"> &lt; 0.01; ***</w:t>
      </w:r>
      <w:r w:rsidRPr="001A51C7">
        <w:rPr>
          <w:i/>
          <w:iCs/>
          <w:szCs w:val="22"/>
          <w:lang w:val="en-US"/>
        </w:rPr>
        <w:t>p</w:t>
      </w:r>
      <w:r w:rsidRPr="001A51C7">
        <w:rPr>
          <w:szCs w:val="22"/>
          <w:lang w:val="en-US"/>
        </w:rPr>
        <w:t xml:space="preserve"> &lt; 0.001.</w:t>
      </w:r>
    </w:p>
    <w:p w14:paraId="44EA1022" w14:textId="77777777" w:rsidR="002F3CA2" w:rsidRDefault="002F3CA2" w:rsidP="002F3CA2">
      <w:pPr>
        <w:spacing w:after="240" w:line="240" w:lineRule="auto"/>
        <w:rPr>
          <w:rFonts w:ascii="Times New Roman" w:hAnsi="Times New Roman" w:cs="Times New Roman"/>
          <w:iCs/>
          <w:lang w:val="en-GB" w:eastAsia="zh-CN"/>
        </w:rPr>
      </w:pPr>
      <w:r>
        <w:rPr>
          <w:rFonts w:ascii="Times New Roman" w:hAnsi="Times New Roman" w:cs="Times New Roman"/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13B9065A" wp14:editId="3C355C13">
            <wp:simplePos x="723900" y="895350"/>
            <wp:positionH relativeFrom="column">
              <wp:align>left</wp:align>
            </wp:positionH>
            <wp:positionV relativeFrom="paragraph">
              <wp:align>top</wp:align>
            </wp:positionV>
            <wp:extent cx="6120130" cy="3375660"/>
            <wp:effectExtent l="0" t="0" r="0" b="0"/>
            <wp:wrapSquare wrapText="bothSides"/>
            <wp:docPr id="1098791460" name="Immagine 1098791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791460" name="Immagine 1098791460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75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Cs/>
          <w:lang w:val="en-GB" w:eastAsia="zh-CN"/>
        </w:rPr>
        <w:br w:type="textWrapping" w:clear="all"/>
      </w:r>
    </w:p>
    <w:p w14:paraId="6279D2BF" w14:textId="77777777" w:rsidR="002F3CA2" w:rsidRDefault="002F3CA2" w:rsidP="002F3CA2">
      <w:pPr>
        <w:spacing w:after="240" w:line="240" w:lineRule="auto"/>
        <w:rPr>
          <w:rFonts w:ascii="Times New Roman" w:hAnsi="Times New Roman" w:cs="Times New Roman"/>
          <w:iCs/>
          <w:lang w:val="en-US"/>
        </w:rPr>
      </w:pPr>
      <w:r>
        <w:rPr>
          <w:rFonts w:ascii="Times New Roman" w:hAnsi="Times New Roman" w:cs="Times New Roman"/>
          <w:iCs/>
          <w:lang w:val="en-GB"/>
        </w:rPr>
        <w:t xml:space="preserve">Supplementary Figure 6. </w:t>
      </w:r>
      <w:r>
        <w:rPr>
          <w:rFonts w:ascii="Times New Roman" w:hAnsi="Times New Roman" w:cs="Times New Roman"/>
          <w:iCs/>
          <w:lang w:val="en-US"/>
        </w:rPr>
        <w:t xml:space="preserve">Western blot analysis in RES 259 and RES 186 of some proteins involved in the MAPK pathway after 48 h of the following treatments: control, Mebendazole 100 </w:t>
      </w:r>
      <w:proofErr w:type="spellStart"/>
      <w:r>
        <w:rPr>
          <w:rFonts w:ascii="Times New Roman" w:hAnsi="Times New Roman" w:cs="Times New Roman"/>
          <w:iCs/>
          <w:lang w:val="en-US"/>
        </w:rPr>
        <w:t>nM</w:t>
      </w:r>
      <w:proofErr w:type="spellEnd"/>
      <w:r>
        <w:rPr>
          <w:rFonts w:ascii="Times New Roman" w:hAnsi="Times New Roman" w:cs="Times New Roman"/>
          <w:iCs/>
          <w:lang w:val="en-US"/>
        </w:rPr>
        <w:t xml:space="preserve">, Mebendazole 1 </w:t>
      </w:r>
      <w:r>
        <w:rPr>
          <w:rFonts w:ascii="Times New Roman" w:hAnsi="Times New Roman" w:cs="Times New Roman"/>
          <w:iCs/>
          <w:lang w:val="en-US"/>
        </w:rPr>
        <w:sym w:font="Symbol" w:char="F06D"/>
      </w:r>
      <w:r>
        <w:rPr>
          <w:rFonts w:ascii="Times New Roman" w:hAnsi="Times New Roman" w:cs="Times New Roman"/>
          <w:iCs/>
          <w:lang w:val="en-US"/>
        </w:rPr>
        <w:t xml:space="preserve">M, Mebendazole 100 </w:t>
      </w:r>
      <w:proofErr w:type="spellStart"/>
      <w:r>
        <w:rPr>
          <w:rFonts w:ascii="Times New Roman" w:hAnsi="Times New Roman" w:cs="Times New Roman"/>
          <w:iCs/>
          <w:lang w:val="en-US"/>
        </w:rPr>
        <w:t>nM</w:t>
      </w:r>
      <w:proofErr w:type="spellEnd"/>
      <w:r>
        <w:rPr>
          <w:rFonts w:ascii="Times New Roman" w:hAnsi="Times New Roman" w:cs="Times New Roman"/>
          <w:iCs/>
          <w:lang w:val="en-US"/>
        </w:rPr>
        <w:t xml:space="preserve"> and Vinblastine 1 </w:t>
      </w:r>
      <w:proofErr w:type="spellStart"/>
      <w:r>
        <w:rPr>
          <w:rFonts w:ascii="Times New Roman" w:hAnsi="Times New Roman" w:cs="Times New Roman"/>
          <w:iCs/>
          <w:lang w:val="en-US"/>
        </w:rPr>
        <w:t>nM</w:t>
      </w:r>
      <w:proofErr w:type="spellEnd"/>
      <w:r>
        <w:rPr>
          <w:rFonts w:ascii="Times New Roman" w:hAnsi="Times New Roman" w:cs="Times New Roman"/>
          <w:iCs/>
          <w:lang w:val="en-US"/>
        </w:rPr>
        <w:t xml:space="preserve">, Mebendazole 1 </w:t>
      </w:r>
      <w:r>
        <w:rPr>
          <w:rFonts w:ascii="Times New Roman" w:hAnsi="Times New Roman" w:cs="Times New Roman"/>
          <w:iCs/>
          <w:lang w:val="en-US"/>
        </w:rPr>
        <w:sym w:font="Symbol" w:char="F06D"/>
      </w:r>
      <w:r>
        <w:rPr>
          <w:rFonts w:ascii="Times New Roman" w:hAnsi="Times New Roman" w:cs="Times New Roman"/>
          <w:iCs/>
          <w:lang w:val="en-US"/>
        </w:rPr>
        <w:t xml:space="preserve">M and Vinblastine 1 </w:t>
      </w:r>
      <w:proofErr w:type="spellStart"/>
      <w:r>
        <w:rPr>
          <w:rFonts w:ascii="Times New Roman" w:hAnsi="Times New Roman" w:cs="Times New Roman"/>
          <w:iCs/>
          <w:lang w:val="en-US"/>
        </w:rPr>
        <w:t>nM</w:t>
      </w:r>
      <w:proofErr w:type="spellEnd"/>
      <w:r>
        <w:rPr>
          <w:rFonts w:ascii="Times New Roman" w:hAnsi="Times New Roman" w:cs="Times New Roman"/>
          <w:iCs/>
          <w:lang w:val="en-US"/>
        </w:rPr>
        <w:t xml:space="preserve">, Vinblastine 1 </w:t>
      </w:r>
      <w:proofErr w:type="spellStart"/>
      <w:r>
        <w:rPr>
          <w:rFonts w:ascii="Times New Roman" w:hAnsi="Times New Roman" w:cs="Times New Roman"/>
          <w:iCs/>
          <w:lang w:val="en-US"/>
        </w:rPr>
        <w:t>nM.</w:t>
      </w:r>
      <w:proofErr w:type="spellEnd"/>
      <w:r>
        <w:rPr>
          <w:rFonts w:ascii="Times New Roman" w:hAnsi="Times New Roman" w:cs="Times New Roman"/>
          <w:iCs/>
          <w:lang w:val="en-US"/>
        </w:rPr>
        <w:t xml:space="preserve"> </w:t>
      </w:r>
      <w:r>
        <w:rPr>
          <w:rFonts w:ascii="Times New Roman" w:hAnsi="Times New Roman" w:cs="Times New Roman"/>
          <w:iCs/>
          <w:lang w:val="en-GB"/>
        </w:rPr>
        <w:t xml:space="preserve">Values represent the mean ± standard error (SEM) and were evaluated by a one-way ANOVA followed by Dunnett's post-test.  * </w:t>
      </w:r>
      <w:r>
        <w:rPr>
          <w:rFonts w:ascii="Times New Roman" w:hAnsi="Times New Roman" w:cs="Times New Roman"/>
          <w:i/>
          <w:lang w:val="en-GB"/>
        </w:rPr>
        <w:t>p</w:t>
      </w:r>
      <w:r>
        <w:rPr>
          <w:rFonts w:ascii="Times New Roman" w:hAnsi="Times New Roman" w:cs="Times New Roman"/>
          <w:iCs/>
          <w:lang w:val="en-GB"/>
        </w:rPr>
        <w:t xml:space="preserve"> &lt; 0.05</w:t>
      </w:r>
      <w:r>
        <w:rPr>
          <w:rFonts w:ascii="Times New Roman" w:hAnsi="Times New Roman" w:cs="Times New Roman"/>
          <w:iCs/>
          <w:lang w:val="en-GB" w:eastAsia="zh-CN"/>
        </w:rPr>
        <w:t xml:space="preserve">; </w:t>
      </w:r>
      <w:r>
        <w:rPr>
          <w:rFonts w:ascii="Times New Roman" w:hAnsi="Times New Roman" w:cs="Times New Roman"/>
          <w:iCs/>
          <w:lang w:val="en-GB"/>
        </w:rPr>
        <w:t xml:space="preserve">** </w:t>
      </w:r>
      <w:r>
        <w:rPr>
          <w:rFonts w:ascii="Times New Roman" w:hAnsi="Times New Roman" w:cs="Times New Roman"/>
          <w:i/>
          <w:lang w:val="en-GB"/>
        </w:rPr>
        <w:t>p</w:t>
      </w:r>
      <w:r>
        <w:rPr>
          <w:rFonts w:ascii="Times New Roman" w:hAnsi="Times New Roman" w:cs="Times New Roman"/>
          <w:iCs/>
          <w:lang w:val="en-GB"/>
        </w:rPr>
        <w:t xml:space="preserve"> &lt; 0.01; ***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Pr="00317132">
        <w:rPr>
          <w:rFonts w:ascii="Times New Roman" w:hAnsi="Times New Roman" w:cs="Times New Roman"/>
          <w:i/>
          <w:lang w:val="en-GB"/>
        </w:rPr>
        <w:t>p</w:t>
      </w:r>
      <w:r>
        <w:rPr>
          <w:rFonts w:ascii="Times New Roman" w:hAnsi="Times New Roman" w:cs="Times New Roman"/>
          <w:iCs/>
          <w:lang w:val="en-GB"/>
        </w:rPr>
        <w:t xml:space="preserve"> &lt; 0.001; **** </w:t>
      </w:r>
      <w:r>
        <w:rPr>
          <w:rFonts w:ascii="Times New Roman" w:hAnsi="Times New Roman" w:cs="Times New Roman"/>
          <w:i/>
          <w:lang w:val="en-GB"/>
        </w:rPr>
        <w:t>p</w:t>
      </w:r>
      <w:r>
        <w:rPr>
          <w:rFonts w:ascii="Times New Roman" w:hAnsi="Times New Roman" w:cs="Times New Roman"/>
          <w:iCs/>
          <w:lang w:val="en-GB"/>
        </w:rPr>
        <w:t xml:space="preserve"> &lt; 0.0001. </w:t>
      </w:r>
      <w:r>
        <w:rPr>
          <w:rFonts w:ascii="Times New Roman" w:hAnsi="Times New Roman" w:cs="Times New Roman"/>
          <w:iCs/>
          <w:lang w:val="en-US"/>
        </w:rPr>
        <w:t xml:space="preserve">For every protein set, </w:t>
      </w:r>
      <w:r>
        <w:rPr>
          <w:rFonts w:ascii="Times New Roman" w:hAnsi="Times New Roman" w:cs="Times New Roman"/>
          <w:iCs/>
        </w:rPr>
        <w:t>β</w:t>
      </w:r>
      <w:r>
        <w:rPr>
          <w:rFonts w:ascii="Times New Roman" w:hAnsi="Times New Roman" w:cs="Times New Roman"/>
          <w:iCs/>
          <w:lang w:val="en-US"/>
        </w:rPr>
        <w:t>-actin is reported as the normalizer gene.</w:t>
      </w:r>
    </w:p>
    <w:p w14:paraId="2FBAC236" w14:textId="77777777" w:rsidR="005258B8" w:rsidRDefault="005258B8"/>
    <w:sectPr w:rsidR="005258B8" w:rsidSect="002F3CA2">
      <w:footerReference w:type="even" r:id="rId13"/>
      <w:foot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8A4EA" w14:textId="77777777" w:rsidR="002C29FA" w:rsidRDefault="002C29FA" w:rsidP="002F3CA2">
      <w:pPr>
        <w:spacing w:after="0" w:line="240" w:lineRule="auto"/>
      </w:pPr>
      <w:r>
        <w:separator/>
      </w:r>
    </w:p>
  </w:endnote>
  <w:endnote w:type="continuationSeparator" w:id="0">
    <w:p w14:paraId="6305A240" w14:textId="77777777" w:rsidR="002C29FA" w:rsidRDefault="002C29FA" w:rsidP="002F3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60305164"/>
    </w:sdtPr>
    <w:sdtContent>
      <w:p w14:paraId="661A1346" w14:textId="5A81A382" w:rsidR="002F3CA2" w:rsidRDefault="002F3CA2">
        <w:pPr>
          <w:pStyle w:val="Footer"/>
          <w:framePr w:wrap="auto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162647C" w14:textId="77777777" w:rsidR="002F3CA2" w:rsidRDefault="002F3C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41468026"/>
    </w:sdtPr>
    <w:sdtContent>
      <w:p w14:paraId="02B2564B" w14:textId="4D3554A6" w:rsidR="002F3CA2" w:rsidRDefault="002F3CA2">
        <w:pPr>
          <w:pStyle w:val="Footer"/>
          <w:framePr w:wrap="auto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0EA5225D" w14:textId="77777777" w:rsidR="002F3CA2" w:rsidRDefault="002F3C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56B0F" w14:textId="77777777" w:rsidR="002C29FA" w:rsidRDefault="002C29FA" w:rsidP="002F3CA2">
      <w:pPr>
        <w:spacing w:after="0" w:line="240" w:lineRule="auto"/>
      </w:pPr>
      <w:r>
        <w:separator/>
      </w:r>
    </w:p>
  </w:footnote>
  <w:footnote w:type="continuationSeparator" w:id="0">
    <w:p w14:paraId="3A946813" w14:textId="77777777" w:rsidR="002C29FA" w:rsidRDefault="002C29FA" w:rsidP="002F3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40E97"/>
    <w:multiLevelType w:val="multilevel"/>
    <w:tmpl w:val="15940E97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4"/>
  </w:num>
  <w:num w:numId="2" w16cid:durableId="1510633002">
    <w:abstractNumId w:val="1"/>
  </w:num>
  <w:num w:numId="3" w16cid:durableId="395858669">
    <w:abstractNumId w:val="2"/>
  </w:num>
  <w:num w:numId="4" w16cid:durableId="554780636">
    <w:abstractNumId w:val="3"/>
  </w:num>
  <w:num w:numId="5" w16cid:durableId="1972326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2F4"/>
    <w:rsid w:val="000908E1"/>
    <w:rsid w:val="000C1CDB"/>
    <w:rsid w:val="00167D48"/>
    <w:rsid w:val="002C29FA"/>
    <w:rsid w:val="002F3CA2"/>
    <w:rsid w:val="00315C91"/>
    <w:rsid w:val="00425DE1"/>
    <w:rsid w:val="0042613F"/>
    <w:rsid w:val="005258B8"/>
    <w:rsid w:val="005C0944"/>
    <w:rsid w:val="00714041"/>
    <w:rsid w:val="007327FE"/>
    <w:rsid w:val="007D2656"/>
    <w:rsid w:val="008A305C"/>
    <w:rsid w:val="00937749"/>
    <w:rsid w:val="00952D5C"/>
    <w:rsid w:val="00B822F4"/>
    <w:rsid w:val="00D14399"/>
    <w:rsid w:val="00D25790"/>
    <w:rsid w:val="00D30F0B"/>
    <w:rsid w:val="00DE58B5"/>
    <w:rsid w:val="00E43258"/>
    <w:rsid w:val="00EC1C4C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3606CD84-EC15-4856-AF5F-CF22A7FA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CA2"/>
    <w:pPr>
      <w:spacing w:line="259" w:lineRule="auto"/>
    </w:pPr>
    <w:rPr>
      <w:rFonts w:eastAsiaTheme="minorEastAsia"/>
      <w:kern w:val="0"/>
      <w:sz w:val="22"/>
      <w:szCs w:val="22"/>
      <w:lang w:val="it-IT" w:eastAsia="en-US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spacing w:before="240" w:line="280" w:lineRule="atLeast"/>
      <w:outlineLvl w:val="0"/>
    </w:pPr>
    <w:rPr>
      <w:rFonts w:ascii="Arial" w:hAnsi="Arial"/>
      <w:b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spacing w:before="120" w:line="280" w:lineRule="atLeast"/>
      <w:outlineLvl w:val="1"/>
    </w:pPr>
    <w:rPr>
      <w:rFonts w:ascii="Arial" w:hAnsi="Arial" w:cstheme="majorBidi"/>
      <w:b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spacing w:line="280" w:lineRule="atLeast"/>
      <w:ind w:left="360"/>
      <w:outlineLvl w:val="2"/>
    </w:pPr>
    <w:rPr>
      <w:rFonts w:ascii="Palatino Linotype" w:hAnsi="Palatino Linotype"/>
      <w:b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spacing w:line="280" w:lineRule="atLeast"/>
      <w:ind w:left="706"/>
      <w:outlineLvl w:val="4"/>
    </w:pPr>
    <w:rPr>
      <w:rFonts w:ascii="Palatino Linotype" w:hAnsi="Palatino Linotype"/>
      <w:b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spacing w:line="280" w:lineRule="atLeast"/>
      <w:ind w:left="706"/>
      <w:outlineLvl w:val="5"/>
    </w:pPr>
    <w:rPr>
      <w:rFonts w:ascii="Palatino Linotype" w:hAnsi="Palatino Linotype" w:cstheme="majorBidi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spacing w:line="280" w:lineRule="atLeast"/>
      <w:ind w:left="706"/>
      <w:outlineLvl w:val="6"/>
    </w:pPr>
    <w:rPr>
      <w:rFonts w:ascii="Palatino Linotype" w:hAnsi="Palatino Linotype"/>
      <w:i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spacing w:line="280" w:lineRule="atLeast"/>
      <w:ind w:left="706"/>
      <w:outlineLvl w:val="7"/>
    </w:pPr>
    <w:rPr>
      <w:rFonts w:ascii="Palatino Linotype" w:hAnsi="Palatino Linotype" w:cstheme="majorBidi"/>
      <w:i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spacing w:line="280" w:lineRule="atLeast"/>
      <w:ind w:left="706"/>
      <w:outlineLvl w:val="8"/>
    </w:pPr>
    <w:rPr>
      <w:rFonts w:ascii="Palatino Linotype" w:hAnsi="Palatino Linotype" w:cstheme="majorBidi"/>
      <w:i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</w:pPr>
    <w:rPr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</w:pPr>
    <w:rPr>
      <w:rFonts w:eastAsia="Times New Roman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uiPriority w:val="99"/>
    <w:qFormat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qFormat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spacing w:line="280" w:lineRule="atLeast"/>
    </w:pPr>
    <w:rPr>
      <w:rFonts w:ascii="Times New Roman" w:hAnsi="Times New Roman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spacing w:line="280" w:lineRule="atLeast"/>
      <w:ind w:firstLineChars="200" w:firstLine="420"/>
    </w:pPr>
    <w:rPr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ind w:firstLine="42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F3C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648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2</cp:revision>
  <dcterms:created xsi:type="dcterms:W3CDTF">2026-04-16T09:22:00Z</dcterms:created>
  <dcterms:modified xsi:type="dcterms:W3CDTF">2026-04-16T09:23:00Z</dcterms:modified>
</cp:coreProperties>
</file>