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6A772">
      <w:pPr>
        <w:spacing w:before="0" w:after="240"/>
        <w:jc w:val="left"/>
      </w:pPr>
      <w:bookmarkStart w:id="0" w:name="_GoBack"/>
      <w:bookmarkEnd w:id="0"/>
      <w:r>
        <w:rPr>
          <w:b/>
          <w:bCs/>
          <w:sz w:val="24"/>
          <w:szCs w:val="24"/>
        </w:rPr>
        <w:t>Supplementary Figure S1.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Traffic-light summary of risk-of-bias judgements by study and Joanna Briggs Institute (JBI) domain.</w:t>
      </w:r>
    </w:p>
    <w:p w14:paraId="75C3C154">
      <w:pPr>
        <w:spacing w:before="240" w:after="240"/>
        <w:jc w:val="center"/>
      </w:pPr>
      <w:r>
        <w:drawing>
          <wp:inline distT="0" distB="0" distL="0" distR="0">
            <wp:extent cx="3381375" cy="7677150"/>
            <wp:effectExtent l="0" t="0" r="0" b="0"/>
            <wp:docPr id="1" name="SupplementaryFigureS1" descr="Traffic-light plot showing item-level risk-of-bias judgements (low/unclear/high/not applicable) across JBI critical appraisal domains for the 24 studies included in the systematic review, grouped by study design (prospective, observational, case-level)." title="Supplementary Figure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FigureS1" descr="Traffic-light plot showing item-level risk-of-bias judgements (low/unclear/high/not applicable) across JBI critical appraisal domains for the 24 studies included in the systematic review, grouped by study design (prospective, observational, case-level)." title="Supplementary Figure S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767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51CE7">
      <w:pPr>
        <w:spacing w:before="240" w:after="120"/>
        <w:jc w:val="both"/>
      </w:pPr>
      <w:r>
        <w:rPr>
          <w:b/>
          <w:bCs/>
        </w:rPr>
        <w:t xml:space="preserve">Figure legend. </w:t>
      </w:r>
      <w:r>
        <w:t>Graphical traffic-light summary of the item-level risk-of-bias appraisal for the 24 studies included in this systematic review of immune checkpoint inhibitor (ICI)-based therapy in collecting duct carcinoma (CDC). Studies are grouped by design — prospective (top), observational cohorts/series (middle), and case-level publications (bottom) — and listed chronologically within each group. Columns correspond to the seven Joanna Briggs Institute (JBI) critical appraisal domains common to the four checklists applied in this review (RCT, quasi-experimental, cohort, case-series, and case-report tools): D1, selection of participants; D2, definition / measurement of the intervention or exposure; D3, validity and reliability of the outcome measurement; D4, identification and adjustment for confounders or comparability of groups; D5, completeness and duration of follow-up; D6, appropriateness of the statistical analysis; D7, completeness and transparency of reporting. The right-most column (“Overall”) shows the overall risk-of-bias judgement per study, derived by integrating the item-level appraisals using the JBI design-matched algorithm described in the Methods section. Cells are colour-coded as: green plus = Yes (low risk of bias, item adequately addressed and clearly reported); amber question mark = Unclear / some concerns (item partially addressed or insufficiently reported to permit a definitive judgement); red minus = No (high risk of bias, item not addressed, inadequately addressed, or reported in a way that introduces a substantial threat to validity); grey cross = Not applicable (domain not assessable in single-patient case reports — e.g., confounding adjustment or formal statistical analysis). For retrospective observational cohorts evaluating overall and progression-free survival with time-varying immunotherapy exposures, the assessment additionally incorporated immortal time bias as a design-level threat to validity. Each circle reflects the consensus judgement of two pairs of reviewers using the JBI critical appraisal tool matched to study design: RCT for SUNNIFORECAST [13]; Quasi-Experimental for CheckMate 374 [12]; Cohort for the eight observational series; and Case-Series or Case-Report for the case-level publications. Full item-level appraisals for each study and each design are provided in Supplementary Tables S3–S6.</w:t>
      </w:r>
    </w:p>
    <w:p w14:paraId="67E17A8B">
      <w:pPr>
        <w:spacing w:before="240" w:after="120"/>
        <w:jc w:val="both"/>
      </w:pPr>
      <w:r>
        <w:rPr>
          <w:b/>
          <w:bCs/>
          <w:i/>
          <w:iCs/>
        </w:rPr>
        <w:t xml:space="preserve">Abbreviations: </w:t>
      </w:r>
      <w:r>
        <w:rPr>
          <w:i/>
          <w:iCs/>
        </w:rPr>
        <w:t>CDC = collecting duct carcinoma; ICI = immune checkpoint inhibitor; JBI = Joanna Briggs Institute; PFS = progression-free survival; OS = overall survival; RCT = randomised controlled trial.</w:t>
      </w:r>
    </w:p>
    <w:sectPr>
      <w:pgSz w:w="12240" w:h="15840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48FF5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sz w:val="22"/>
      <w:szCs w:val="22"/>
    </w:rPr>
  </w:style>
  <w:style w:type="paragraph" w:styleId="2">
    <w:name w:val="heading 1"/>
    <w:next w:val="1"/>
    <w:qFormat/>
    <w:uiPriority w:val="0"/>
    <w:rPr>
      <w:rFonts w:ascii="Times New Roman" w:hAnsi="Times New Roman" w:eastAsia="Times New Roman" w:cs="Times New Roman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="Times New Roman" w:hAnsi="Times New Roman" w:eastAsia="Times New Roman" w:cs="Times New Roman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="Times New Roman" w:hAnsi="Times New Roman" w:eastAsia="Times New Roman" w:cs="Times New Roman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Times New Roman" w:hAnsi="Times New Roman" w:eastAsia="Times New Roman" w:cs="Times New Roman"/>
      <w:i/>
      <w:iCs/>
      <w:color w:val="2E74B5"/>
      <w:sz w:val="22"/>
      <w:szCs w:val="22"/>
    </w:rPr>
  </w:style>
  <w:style w:type="paragraph" w:styleId="6">
    <w:name w:val="heading 5"/>
    <w:next w:val="1"/>
    <w:qFormat/>
    <w:uiPriority w:val="0"/>
    <w:rPr>
      <w:rFonts w:ascii="Times New Roman" w:hAnsi="Times New Roman" w:eastAsia="Times New Roman" w:cs="Times New Roman"/>
      <w:color w:val="2E74B5"/>
      <w:sz w:val="22"/>
      <w:szCs w:val="22"/>
    </w:rPr>
  </w:style>
  <w:style w:type="paragraph" w:styleId="7">
    <w:name w:val="heading 6"/>
    <w:next w:val="1"/>
    <w:qFormat/>
    <w:uiPriority w:val="0"/>
    <w:rPr>
      <w:rFonts w:ascii="Times New Roman" w:hAnsi="Times New Roman" w:eastAsia="Times New Roman" w:cs="Times New Roman"/>
      <w:color w:val="1F4D78"/>
      <w:sz w:val="22"/>
      <w:szCs w:val="22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9">
    <w:name w:val="footnote text"/>
    <w:link w:val="17"/>
    <w:semi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">
    <w:name w:val="Title"/>
    <w:qFormat/>
    <w:uiPriority w:val="0"/>
    <w:rPr>
      <w:rFonts w:ascii="Times New Roman" w:hAnsi="Times New Roman" w:eastAsia="Times New Roman" w:cs="Times New Roman"/>
      <w:sz w:val="56"/>
      <w:szCs w:val="56"/>
    </w:rPr>
  </w:style>
  <w:style w:type="character" w:styleId="13">
    <w:name w:val="endnote reference"/>
    <w:semiHidden/>
    <w:unhideWhenUsed/>
    <w:qFormat/>
    <w:uiPriority w:val="99"/>
    <w:rPr>
      <w:vertAlign w:val="superscript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qFormat/>
    <w:uiPriority w:val="0"/>
    <w:rPr>
      <w:rFonts w:ascii="Times New Roman" w:hAnsi="Times New Roman" w:eastAsia="Times New Roman" w:cs="Times New Roman"/>
      <w:sz w:val="22"/>
      <w:szCs w:val="22"/>
    </w:rPr>
  </w:style>
  <w:style w:type="character" w:customStyle="1" w:styleId="17">
    <w:name w:val="Footnote Text Char"/>
    <w:link w:val="9"/>
    <w:semiHidden/>
    <w:unhideWhenUsed/>
    <w:qFormat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368</Words>
  <Characters>2343</Characters>
  <TotalTime>0</TotalTime>
  <ScaleCrop>false</ScaleCrop>
  <LinksUpToDate>false</LinksUpToDate>
  <CharactersWithSpaces>2708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2026-05-26T08:22:00Z</dcterms:created>
  <dc:creator>Un-named</dc:creator>
  <cp:lastModifiedBy>Mia Du</cp:lastModifiedBy>
  <dcterms:modified xsi:type="dcterms:W3CDTF">2026-05-27T07:34:10Z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BB70406422F94BA0ADE7110086598A0B_13</vt:lpwstr>
  </property>
</Properties>
</file>