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8A20B4">
      <w:pPr>
        <w:spacing w:after="120"/>
      </w:pPr>
      <w:bookmarkStart w:id="0" w:name="_GoBack"/>
      <w:bookmarkEnd w:id="0"/>
      <w:r>
        <w:rPr>
          <w:b/>
          <w:bCs/>
          <w:sz w:val="26"/>
          <w:szCs w:val="26"/>
        </w:rPr>
        <w:t>Supplementary Table S1.</w:t>
      </w:r>
      <w:r>
        <w:t xml:space="preserve"> Individual-patient data (IPD) summary of the 16 case-level patients included in the review, and pooled descriptive statistics.</w:t>
      </w:r>
    </w:p>
    <w:p w14:paraId="12154740">
      <w:pPr>
        <w:spacing w:before="120" w:after="120"/>
      </w:pPr>
      <w:r>
        <w:rPr>
          <w:b/>
          <w:bCs/>
        </w:rPr>
        <w:t>Part A. Individual-patient data.</w:t>
      </w:r>
    </w:p>
    <w:tbl>
      <w:tblPr>
        <w:tblStyle w:val="11"/>
        <w:tblW w:w="12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318"/>
        <w:gridCol w:w="659"/>
        <w:gridCol w:w="819"/>
        <w:gridCol w:w="1410"/>
        <w:gridCol w:w="1260"/>
        <w:gridCol w:w="1880"/>
        <w:gridCol w:w="1424"/>
        <w:gridCol w:w="1058"/>
        <w:gridCol w:w="1060"/>
        <w:gridCol w:w="2072"/>
      </w:tblGrid>
      <w:tr w14:paraId="0DE7F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55B1C05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Patient # (Study, Year)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34EC761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Age (y)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043ACBB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Sex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F464944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Metastatic sites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6758C8C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Line of therapy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69D9E58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Regimen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7D05462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Best response (RECIST)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E421934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PD-L1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8CDC56C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Duration / Follow-up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91B786E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Notes / AEs</w:t>
            </w:r>
          </w:p>
        </w:tc>
      </w:tr>
      <w:tr w14:paraId="098954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6EDD3E3">
            <w:pPr>
              <w:spacing w:before="30" w:after="30"/>
            </w:pPr>
            <w:r>
              <w:rPr>
                <w:sz w:val="18"/>
                <w:szCs w:val="18"/>
              </w:rPr>
              <w:t>1 — Mizutani, 2017 [27]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CE66AEE">
            <w:pPr>
              <w:spacing w:before="30" w:after="30"/>
            </w:pPr>
            <w:r>
              <w:rPr>
                <w:sz w:val="18"/>
                <w:szCs w:val="18"/>
              </w:rPr>
              <w:t>64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EA10087">
            <w:pPr>
              <w:spacing w:before="30" w:after="30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19E339B">
            <w:pPr>
              <w:spacing w:before="30" w:after="30"/>
            </w:pPr>
            <w:r>
              <w:rPr>
                <w:sz w:val="18"/>
                <w:szCs w:val="18"/>
              </w:rPr>
              <w:t>Lung (nodes)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D2E7ED4">
            <w:pPr>
              <w:spacing w:before="30" w:after="30"/>
            </w:pPr>
            <w:r>
              <w:rPr>
                <w:sz w:val="18"/>
                <w:szCs w:val="18"/>
              </w:rPr>
              <w:t>Multiline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BC4435D">
            <w:pPr>
              <w:spacing w:before="30" w:after="30"/>
            </w:pPr>
            <w:r>
              <w:rPr>
                <w:sz w:val="18"/>
                <w:szCs w:val="18"/>
              </w:rPr>
              <w:t>Nivolumab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359110A">
            <w:pPr>
              <w:spacing w:before="30" w:after="30"/>
            </w:pPr>
            <w:r>
              <w:rPr>
                <w:sz w:val="18"/>
                <w:szCs w:val="18"/>
              </w:rPr>
              <w:t>CR (lung), SD (nodes)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AEF86B3">
            <w:pPr>
              <w:spacing w:before="30" w:after="30"/>
            </w:pPr>
            <w:r>
              <w:rPr>
                <w:sz w:val="18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20F413D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E46B48D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</w:tr>
      <w:tr w14:paraId="0D2A70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47E4C96">
            <w:pPr>
              <w:spacing w:before="30" w:after="30"/>
            </w:pPr>
            <w:r>
              <w:rPr>
                <w:sz w:val="18"/>
                <w:szCs w:val="18"/>
              </w:rPr>
              <w:t>2 — Rimar, 2016 [22]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C4D17BF">
            <w:pPr>
              <w:spacing w:before="30" w:after="30"/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494BA9A">
            <w:pPr>
              <w:spacing w:before="30" w:after="30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8C772F8">
            <w:pPr>
              <w:spacing w:before="30" w:after="30"/>
            </w:pPr>
            <w:r>
              <w:rPr>
                <w:sz w:val="18"/>
                <w:szCs w:val="18"/>
              </w:rPr>
              <w:t>Lung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69289CF">
            <w:pPr>
              <w:spacing w:before="30" w:after="30"/>
            </w:pPr>
            <w:r>
              <w:rPr>
                <w:sz w:val="18"/>
                <w:szCs w:val="18"/>
              </w:rPr>
              <w:t>Multiline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EBD8B77">
            <w:pPr>
              <w:spacing w:before="30" w:after="30"/>
            </w:pPr>
            <w:r>
              <w:rPr>
                <w:sz w:val="18"/>
                <w:szCs w:val="18"/>
              </w:rPr>
              <w:t>Nivolumab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89C0FBA">
            <w:pPr>
              <w:spacing w:before="30" w:after="30"/>
            </w:pPr>
            <w:r>
              <w:rPr>
                <w:sz w:val="18"/>
                <w:szCs w:val="18"/>
              </w:rPr>
              <w:t>PR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6140E97">
            <w:pPr>
              <w:spacing w:before="30" w:after="30"/>
            </w:pPr>
            <w:r>
              <w:rPr>
                <w:sz w:val="18"/>
                <w:szCs w:val="18"/>
              </w:rPr>
              <w:t>High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A807D4A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E534FD4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</w:tr>
      <w:tr w14:paraId="1D02C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03BFA90">
            <w:pPr>
              <w:spacing w:before="30" w:after="30"/>
            </w:pPr>
            <w:r>
              <w:rPr>
                <w:sz w:val="18"/>
                <w:szCs w:val="18"/>
              </w:rPr>
              <w:t>3 — Yasuoka, 2018 [28]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8082974">
            <w:pPr>
              <w:spacing w:before="30" w:after="30"/>
            </w:pPr>
            <w:r>
              <w:rPr>
                <w:sz w:val="18"/>
                <w:szCs w:val="18"/>
              </w:rPr>
              <w:t>53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C2AF107">
            <w:pPr>
              <w:spacing w:before="30" w:after="30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66D619F">
            <w:pPr>
              <w:spacing w:before="30" w:after="30"/>
            </w:pPr>
            <w:r>
              <w:rPr>
                <w:sz w:val="18"/>
                <w:szCs w:val="18"/>
              </w:rPr>
              <w:t>Liver, bone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D4706ED">
            <w:pPr>
              <w:spacing w:before="30" w:after="30"/>
            </w:pPr>
            <w:r>
              <w:rPr>
                <w:sz w:val="18"/>
                <w:szCs w:val="18"/>
              </w:rPr>
              <w:t>Multiline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8E176BB">
            <w:pPr>
              <w:spacing w:before="30" w:after="30"/>
            </w:pPr>
            <w:r>
              <w:rPr>
                <w:sz w:val="18"/>
                <w:szCs w:val="18"/>
              </w:rPr>
              <w:t>Nivolumab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C94CC76">
            <w:pPr>
              <w:spacing w:before="30" w:after="30"/>
            </w:pPr>
            <w:r>
              <w:rPr>
                <w:sz w:val="18"/>
                <w:szCs w:val="18"/>
              </w:rPr>
              <w:t>PR at 3 mo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3748D40">
            <w:pPr>
              <w:spacing w:before="30" w:after="30"/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95BCDE9">
            <w:pPr>
              <w:spacing w:before="30" w:after="30"/>
            </w:pPr>
            <w:r>
              <w:rPr>
                <w:sz w:val="18"/>
                <w:szCs w:val="18"/>
              </w:rPr>
              <w:t>5 cycles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1F70836">
            <w:pPr>
              <w:spacing w:before="30" w:after="30"/>
            </w:pPr>
            <w:r>
              <w:rPr>
                <w:sz w:val="18"/>
                <w:szCs w:val="18"/>
              </w:rPr>
              <w:t>No AEs during 5 cycles</w:t>
            </w:r>
          </w:p>
        </w:tc>
      </w:tr>
      <w:tr w14:paraId="469EE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F4C46FA">
            <w:pPr>
              <w:spacing w:before="30" w:after="30"/>
            </w:pPr>
            <w:r>
              <w:rPr>
                <w:sz w:val="18"/>
                <w:szCs w:val="18"/>
              </w:rPr>
              <w:t>4 — Zeng, 2020 [34]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C4B8EDA">
            <w:pPr>
              <w:spacing w:before="30" w:after="30"/>
            </w:pPr>
            <w:r>
              <w:rPr>
                <w:sz w:val="18"/>
                <w:szCs w:val="18"/>
              </w:rPr>
              <w:t>73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9B43D93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2AB1E53">
            <w:pPr>
              <w:spacing w:before="30" w:after="30"/>
            </w:pPr>
            <w:r>
              <w:rPr>
                <w:sz w:val="18"/>
                <w:szCs w:val="18"/>
              </w:rPr>
              <w:t>Bone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9B71B9C">
            <w:pPr>
              <w:spacing w:before="30" w:after="30"/>
            </w:pPr>
            <w:r>
              <w:rPr>
                <w:sz w:val="18"/>
                <w:szCs w:val="18"/>
              </w:rPr>
              <w:t>2L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0AB1820">
            <w:pPr>
              <w:spacing w:before="30" w:after="30"/>
            </w:pPr>
            <w:r>
              <w:rPr>
                <w:sz w:val="18"/>
                <w:szCs w:val="18"/>
              </w:rPr>
              <w:t>Personalised neoantigen IO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EC93F0C">
            <w:pPr>
              <w:spacing w:before="30" w:after="30"/>
            </w:pPr>
            <w:r>
              <w:rPr>
                <w:sz w:val="18"/>
                <w:szCs w:val="18"/>
              </w:rPr>
              <w:t>SD + clinical benefit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9846468">
            <w:pPr>
              <w:spacing w:before="30" w:after="30"/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70CDAB3">
            <w:pPr>
              <w:spacing w:before="30" w:after="30"/>
            </w:pPr>
            <w:r>
              <w:rPr>
                <w:sz w:val="18"/>
                <w:szCs w:val="18"/>
              </w:rPr>
              <w:t>6 cycles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32ED49A">
            <w:pPr>
              <w:spacing w:before="30" w:after="30"/>
            </w:pPr>
            <w:r>
              <w:rPr>
                <w:sz w:val="18"/>
                <w:szCs w:val="18"/>
              </w:rPr>
              <w:t>No obvious side effects</w:t>
            </w:r>
          </w:p>
        </w:tc>
      </w:tr>
      <w:tr w14:paraId="2025C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A1EC428">
            <w:pPr>
              <w:spacing w:before="30" w:after="30"/>
            </w:pPr>
            <w:r>
              <w:rPr>
                <w:sz w:val="18"/>
                <w:szCs w:val="18"/>
              </w:rPr>
              <w:t>5 — Pyrgidis, 2023 [33]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9581A28">
            <w:pPr>
              <w:spacing w:before="30" w:after="30"/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3F05262">
            <w:pPr>
              <w:spacing w:before="30" w:after="30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5958258">
            <w:pPr>
              <w:spacing w:before="30" w:after="30"/>
            </w:pPr>
            <w:r>
              <w:rPr>
                <w:sz w:val="18"/>
                <w:szCs w:val="18"/>
              </w:rPr>
              <w:t>Bone, liver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3B656D7">
            <w:pPr>
              <w:spacing w:before="30" w:after="30"/>
            </w:pPr>
            <w:r>
              <w:rPr>
                <w:sz w:val="18"/>
                <w:szCs w:val="18"/>
              </w:rPr>
              <w:t>2L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52E4D05">
            <w:pPr>
              <w:spacing w:before="30" w:after="30"/>
            </w:pPr>
            <w:r>
              <w:rPr>
                <w:sz w:val="18"/>
                <w:szCs w:val="18"/>
              </w:rPr>
              <w:t>Avelumab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C4DADA2">
            <w:pPr>
              <w:spacing w:before="30" w:after="30"/>
            </w:pPr>
            <w:r>
              <w:rPr>
                <w:sz w:val="18"/>
                <w:szCs w:val="18"/>
              </w:rPr>
              <w:t>SD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B0ADA39">
            <w:pPr>
              <w:spacing w:before="30" w:after="30"/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A62834B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0538BC6">
            <w:pPr>
              <w:spacing w:before="30" w:after="30"/>
            </w:pPr>
            <w:r>
              <w:rPr>
                <w:sz w:val="18"/>
                <w:szCs w:val="18"/>
              </w:rPr>
              <w:t>Fatal pneumonia on avelumab</w:t>
            </w:r>
          </w:p>
        </w:tc>
      </w:tr>
      <w:tr w14:paraId="7BDC5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57F0839">
            <w:pPr>
              <w:spacing w:before="30" w:after="30"/>
            </w:pPr>
            <w:r>
              <w:rPr>
                <w:sz w:val="18"/>
                <w:szCs w:val="18"/>
              </w:rPr>
              <w:t>6 — Watanabe, 2019 [23]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56B638C">
            <w:pPr>
              <w:spacing w:before="30" w:after="30"/>
            </w:pPr>
            <w:r>
              <w:rPr>
                <w:sz w:val="18"/>
                <w:szCs w:val="18"/>
              </w:rPr>
              <w:t>44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3D6E0D5">
            <w:pPr>
              <w:spacing w:before="30" w:after="30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57BFF3B">
            <w:pPr>
              <w:spacing w:before="30" w:after="30"/>
            </w:pPr>
            <w:r>
              <w:rPr>
                <w:sz w:val="18"/>
                <w:szCs w:val="18"/>
              </w:rPr>
              <w:t>Nodal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0FB4895">
            <w:pPr>
              <w:spacing w:before="30" w:after="30"/>
            </w:pPr>
            <w:r>
              <w:rPr>
                <w:sz w:val="18"/>
                <w:szCs w:val="18"/>
              </w:rPr>
              <w:t>1L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31C6746">
            <w:pPr>
              <w:spacing w:before="30" w:after="30"/>
            </w:pPr>
            <w:r>
              <w:rPr>
                <w:sz w:val="18"/>
                <w:szCs w:val="18"/>
              </w:rPr>
              <w:t>Nivolumab + ipilimumab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3B2DEE5">
            <w:pPr>
              <w:spacing w:before="30" w:after="30"/>
            </w:pPr>
            <w:r>
              <w:rPr>
                <w:sz w:val="18"/>
                <w:szCs w:val="18"/>
              </w:rPr>
              <w:t>CR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01DB16A">
            <w:pPr>
              <w:spacing w:before="30" w:after="30"/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E2BE828">
            <w:pPr>
              <w:spacing w:before="30" w:after="30"/>
            </w:pPr>
            <w:r>
              <w:rPr>
                <w:sz w:val="18"/>
                <w:szCs w:val="18"/>
              </w:rPr>
              <w:t>&gt;36 mo (ongoing CR)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576064B">
            <w:pPr>
              <w:spacing w:before="30" w:after="30"/>
            </w:pPr>
            <w:r>
              <w:rPr>
                <w:sz w:val="18"/>
                <w:szCs w:val="18"/>
              </w:rPr>
              <w:t>No irAE reported</w:t>
            </w:r>
          </w:p>
        </w:tc>
      </w:tr>
      <w:tr w14:paraId="6F9A52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FA32883">
            <w:pPr>
              <w:spacing w:before="30" w:after="30"/>
            </w:pPr>
            <w:r>
              <w:rPr>
                <w:sz w:val="18"/>
                <w:szCs w:val="18"/>
              </w:rPr>
              <w:t>7 — Wu, 2021 [24]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1560EF8">
            <w:pPr>
              <w:spacing w:before="30" w:after="30"/>
            </w:pPr>
            <w:r>
              <w:rPr>
                <w:sz w:val="18"/>
                <w:szCs w:val="18"/>
              </w:rPr>
              <w:t>59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D8910B8">
            <w:pPr>
              <w:spacing w:before="30" w:after="30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E532768">
            <w:pPr>
              <w:spacing w:before="30" w:after="30"/>
            </w:pPr>
            <w:r>
              <w:rPr>
                <w:sz w:val="18"/>
                <w:szCs w:val="18"/>
              </w:rPr>
              <w:t>Peritoneal, L adrenal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71B7BF9">
            <w:pPr>
              <w:spacing w:before="30" w:after="30"/>
            </w:pPr>
            <w:r>
              <w:rPr>
                <w:sz w:val="18"/>
                <w:szCs w:val="18"/>
              </w:rPr>
              <w:t>Multiline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46FEC55">
            <w:pPr>
              <w:spacing w:before="30" w:after="30"/>
            </w:pPr>
            <w:r>
              <w:rPr>
                <w:sz w:val="18"/>
                <w:szCs w:val="18"/>
              </w:rPr>
              <w:t>Nivolumab (± prior sorafenib)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4CA296E">
            <w:pPr>
              <w:spacing w:before="30" w:after="30"/>
            </w:pPr>
            <w:r>
              <w:rPr>
                <w:sz w:val="18"/>
                <w:szCs w:val="18"/>
              </w:rPr>
              <w:t>CR &gt;6 y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AA455C6">
            <w:pPr>
              <w:spacing w:before="30" w:after="30"/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D7B6D96">
            <w:pPr>
              <w:spacing w:before="30" w:after="30"/>
            </w:pPr>
            <w:r>
              <w:rPr>
                <w:sz w:val="18"/>
                <w:szCs w:val="18"/>
              </w:rPr>
              <w:t>&gt;72 mo (ongoing)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327F978">
            <w:pPr>
              <w:spacing w:before="30" w:after="30"/>
            </w:pPr>
            <w:r>
              <w:rPr>
                <w:sz w:val="18"/>
                <w:szCs w:val="18"/>
              </w:rPr>
              <w:t>Prior sunitinib discontinued for proteinuria</w:t>
            </w:r>
          </w:p>
        </w:tc>
      </w:tr>
      <w:tr w14:paraId="23438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E5FA7E7">
            <w:pPr>
              <w:spacing w:before="30" w:after="30"/>
            </w:pPr>
            <w:r>
              <w:rPr>
                <w:sz w:val="18"/>
                <w:szCs w:val="18"/>
              </w:rPr>
              <w:t>8 — Liu, 2010 [35]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6B90730">
            <w:pPr>
              <w:spacing w:before="30" w:after="30"/>
            </w:pPr>
            <w:r>
              <w:rPr>
                <w:sz w:val="18"/>
                <w:szCs w:val="18"/>
              </w:rPr>
              <w:t>33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3556DBF">
            <w:pPr>
              <w:spacing w:before="30" w:after="30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F5FD96D">
            <w:pPr>
              <w:spacing w:before="30" w:after="30"/>
            </w:pPr>
            <w:r>
              <w:rPr>
                <w:sz w:val="18"/>
                <w:szCs w:val="18"/>
              </w:rPr>
              <w:t>Pleural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B252EC7">
            <w:pPr>
              <w:spacing w:before="30" w:after="30"/>
            </w:pPr>
            <w:r>
              <w:rPr>
                <w:sz w:val="18"/>
                <w:szCs w:val="18"/>
              </w:rPr>
              <w:t>1L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C803C37">
            <w:pPr>
              <w:spacing w:before="30" w:after="30"/>
            </w:pPr>
            <w:r>
              <w:rPr>
                <w:sz w:val="18"/>
                <w:szCs w:val="18"/>
              </w:rPr>
              <w:t>Cascade-primed immune cells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E930576">
            <w:pPr>
              <w:spacing w:before="30" w:after="30"/>
            </w:pPr>
            <w:r>
              <w:rPr>
                <w:sz w:val="18"/>
                <w:szCs w:val="18"/>
              </w:rPr>
              <w:t>Symptom relief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94566E5">
            <w:pPr>
              <w:spacing w:before="30" w:after="30"/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6892FAB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7F669BE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</w:tr>
      <w:tr w14:paraId="0CA6A5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0BE6F68">
            <w:pPr>
              <w:spacing w:before="30" w:after="30"/>
            </w:pPr>
            <w:r>
              <w:rPr>
                <w:sz w:val="18"/>
                <w:szCs w:val="18"/>
              </w:rPr>
              <w:t>9 — Fuu, 2022 [25]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4C4ED1B">
            <w:pPr>
              <w:spacing w:before="30" w:after="30"/>
            </w:pPr>
            <w:r>
              <w:rPr>
                <w:sz w:val="18"/>
                <w:szCs w:val="18"/>
              </w:rPr>
              <w:t>70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1C8F61C">
            <w:pPr>
              <w:spacing w:before="30" w:after="30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59646B8">
            <w:pPr>
              <w:spacing w:before="30" w:after="30"/>
            </w:pPr>
            <w:r>
              <w:rPr>
                <w:sz w:val="18"/>
                <w:szCs w:val="18"/>
              </w:rPr>
              <w:t>Lung, liver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123E3AC">
            <w:pPr>
              <w:spacing w:before="30" w:after="30"/>
            </w:pPr>
            <w:r>
              <w:rPr>
                <w:sz w:val="18"/>
                <w:szCs w:val="18"/>
              </w:rPr>
              <w:t>1L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8E22DBA">
            <w:pPr>
              <w:spacing w:before="30" w:after="30"/>
            </w:pPr>
            <w:r>
              <w:rPr>
                <w:sz w:val="18"/>
                <w:szCs w:val="18"/>
              </w:rPr>
              <w:t>Nivolumab + ipilimumab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8011628">
            <w:pPr>
              <w:spacing w:before="30" w:after="30"/>
            </w:pPr>
            <w:r>
              <w:rPr>
                <w:sz w:val="18"/>
                <w:szCs w:val="18"/>
              </w:rPr>
              <w:t>CR &gt;3 y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CBBD15A">
            <w:pPr>
              <w:spacing w:before="30" w:after="30"/>
            </w:pPr>
            <w:r>
              <w:rPr>
                <w:sz w:val="18"/>
                <w:szCs w:val="18"/>
              </w:rPr>
              <w:t>&gt;10%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C5B34DA">
            <w:pPr>
              <w:spacing w:before="30" w:after="30"/>
            </w:pPr>
            <w:r>
              <w:rPr>
                <w:sz w:val="18"/>
                <w:szCs w:val="18"/>
              </w:rPr>
              <w:t>&gt;36 mo (ongoing)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20749CB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</w:tr>
      <w:tr w14:paraId="40869D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0362D88">
            <w:pPr>
              <w:spacing w:before="30" w:after="30"/>
            </w:pPr>
            <w:r>
              <w:rPr>
                <w:sz w:val="18"/>
                <w:szCs w:val="18"/>
              </w:rPr>
              <w:t>10 — Zhou W., 2021 [32]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97DAC38">
            <w:pPr>
              <w:spacing w:before="30" w:after="30"/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544DD41">
            <w:pPr>
              <w:spacing w:before="30" w:after="30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DE8B23A">
            <w:pPr>
              <w:spacing w:before="30" w:after="30"/>
            </w:pPr>
            <w:r>
              <w:rPr>
                <w:sz w:val="18"/>
                <w:szCs w:val="18"/>
              </w:rPr>
              <w:t>Lung, bone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30A039C">
            <w:pPr>
              <w:spacing w:before="30" w:after="30"/>
            </w:pPr>
            <w:r>
              <w:rPr>
                <w:sz w:val="18"/>
                <w:szCs w:val="18"/>
              </w:rPr>
              <w:t>1L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239356A">
            <w:pPr>
              <w:spacing w:before="30" w:after="30"/>
            </w:pPr>
            <w:r>
              <w:rPr>
                <w:sz w:val="18"/>
                <w:szCs w:val="18"/>
              </w:rPr>
              <w:t>Camrelizumab + pazopanib → axitinib + sintilimab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7C2F0C3">
            <w:pPr>
              <w:spacing w:before="30" w:after="30"/>
            </w:pPr>
            <w:r>
              <w:rPr>
                <w:sz w:val="18"/>
                <w:szCs w:val="18"/>
              </w:rPr>
              <w:t>PR; lung cleared; &gt;14 mo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C9B26BB">
            <w:pPr>
              <w:spacing w:before="30" w:after="30"/>
            </w:pPr>
            <w:r>
              <w:rPr>
                <w:sz w:val="18"/>
                <w:szCs w:val="18"/>
              </w:rPr>
              <w:t>Positive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729AF1F">
            <w:pPr>
              <w:spacing w:before="30" w:after="30"/>
            </w:pPr>
            <w:r>
              <w:rPr>
                <w:sz w:val="18"/>
                <w:szCs w:val="18"/>
              </w:rPr>
              <w:t>&gt;14 mo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5301447">
            <w:pPr>
              <w:spacing w:before="30" w:after="30"/>
            </w:pPr>
            <w:r>
              <w:rPr>
                <w:sz w:val="18"/>
                <w:szCs w:val="18"/>
              </w:rPr>
              <w:t>Drug-induced hepatitis on pazopanib+camrelizumab; steroids; HTN on second regimen</w:t>
            </w:r>
          </w:p>
        </w:tc>
      </w:tr>
      <w:tr w14:paraId="0CE41F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74FF41F">
            <w:pPr>
              <w:spacing w:before="30" w:after="30"/>
            </w:pPr>
            <w:r>
              <w:rPr>
                <w:sz w:val="18"/>
                <w:szCs w:val="18"/>
              </w:rPr>
              <w:t>11 — Tamada, 2022 [30] (case 1)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154FBFE">
            <w:pPr>
              <w:spacing w:before="30" w:after="30"/>
            </w:pPr>
            <w:r>
              <w:rPr>
                <w:sz w:val="18"/>
                <w:szCs w:val="18"/>
              </w:rPr>
              <w:t>62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453F1A0">
            <w:pPr>
              <w:spacing w:before="30" w:after="30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369635D">
            <w:pPr>
              <w:spacing w:before="30" w:after="30"/>
            </w:pPr>
            <w:r>
              <w:rPr>
                <w:sz w:val="18"/>
                <w:szCs w:val="18"/>
              </w:rPr>
              <w:t>Bone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D15B143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43E464E">
            <w:pPr>
              <w:spacing w:before="30" w:after="30"/>
            </w:pPr>
            <w:r>
              <w:rPr>
                <w:sz w:val="18"/>
                <w:szCs w:val="18"/>
              </w:rPr>
              <w:t>Pembrolizumab + axitinib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41C1EFE">
            <w:pPr>
              <w:spacing w:before="30" w:after="30"/>
            </w:pPr>
            <w:r>
              <w:rPr>
                <w:sz w:val="18"/>
                <w:szCs w:val="18"/>
              </w:rPr>
              <w:t>PR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5DDA51B">
            <w:pPr>
              <w:spacing w:before="30" w:after="30"/>
            </w:pPr>
            <w:r>
              <w:rPr>
                <w:sz w:val="18"/>
                <w:szCs w:val="18"/>
              </w:rPr>
              <w:t>Negative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313C470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863EF67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</w:tr>
      <w:tr w14:paraId="6436EE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6A6DB71">
            <w:pPr>
              <w:spacing w:before="30" w:after="30"/>
            </w:pPr>
            <w:r>
              <w:rPr>
                <w:sz w:val="18"/>
                <w:szCs w:val="18"/>
              </w:rPr>
              <w:t>12 — Tamada, 2022 [30] (case 2)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A3D5172">
            <w:pPr>
              <w:spacing w:before="30" w:after="30"/>
            </w:pPr>
            <w:r>
              <w:rPr>
                <w:sz w:val="18"/>
                <w:szCs w:val="18"/>
              </w:rPr>
              <w:t>71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D6A629F">
            <w:pPr>
              <w:spacing w:before="30" w:after="30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556504C">
            <w:pPr>
              <w:spacing w:before="30" w:after="30"/>
            </w:pPr>
            <w:r>
              <w:rPr>
                <w:sz w:val="18"/>
                <w:szCs w:val="18"/>
              </w:rPr>
              <w:t>Adrenal, lung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B53219D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F3D721B">
            <w:pPr>
              <w:spacing w:before="30" w:after="30"/>
            </w:pPr>
            <w:r>
              <w:rPr>
                <w:sz w:val="18"/>
                <w:szCs w:val="18"/>
              </w:rPr>
              <w:t>Pembrolizumab + axitinib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34F4922">
            <w:pPr>
              <w:spacing w:before="30" w:after="30"/>
            </w:pPr>
            <w:r>
              <w:rPr>
                <w:sz w:val="18"/>
                <w:szCs w:val="18"/>
              </w:rPr>
              <w:t>PR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3B5503A">
            <w:pPr>
              <w:spacing w:before="30" w:after="30"/>
            </w:pPr>
            <w:r>
              <w:rPr>
                <w:sz w:val="18"/>
                <w:szCs w:val="18"/>
              </w:rPr>
              <w:t>Negative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DD3A7B9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BD63833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</w:tr>
      <w:tr w14:paraId="19166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A59DCD3">
            <w:pPr>
              <w:spacing w:before="30" w:after="30"/>
            </w:pPr>
            <w:r>
              <w:rPr>
                <w:sz w:val="18"/>
                <w:szCs w:val="18"/>
              </w:rPr>
              <w:t>13 — Abe, 2024 [26]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4796205">
            <w:pPr>
              <w:spacing w:before="30" w:after="30"/>
            </w:pPr>
            <w:r>
              <w:rPr>
                <w:sz w:val="18"/>
                <w:szCs w:val="18"/>
              </w:rPr>
              <w:t>67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FB22BB6">
            <w:pPr>
              <w:spacing w:before="30" w:after="30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143D36A">
            <w:pPr>
              <w:spacing w:before="30" w:after="30"/>
            </w:pPr>
            <w:r>
              <w:rPr>
                <w:sz w:val="18"/>
                <w:szCs w:val="18"/>
              </w:rPr>
              <w:t>Liver, peritoneum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2124B5F">
            <w:pPr>
              <w:spacing w:before="30" w:after="30"/>
            </w:pPr>
            <w:r>
              <w:rPr>
                <w:sz w:val="18"/>
                <w:szCs w:val="18"/>
              </w:rPr>
              <w:t>2L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2E24864">
            <w:pPr>
              <w:spacing w:before="30" w:after="30"/>
            </w:pPr>
            <w:r>
              <w:rPr>
                <w:sz w:val="18"/>
                <w:szCs w:val="18"/>
              </w:rPr>
              <w:t>Pembrolizumab monotherapy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DFFF13E">
            <w:pPr>
              <w:spacing w:before="30" w:after="30"/>
            </w:pPr>
            <w:r>
              <w:rPr>
                <w:sz w:val="18"/>
                <w:szCs w:val="18"/>
              </w:rPr>
              <w:t>CR &gt;5 y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ED6AF9A">
            <w:pPr>
              <w:spacing w:before="30" w:after="30"/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D1B8180">
            <w:pPr>
              <w:spacing w:before="30" w:after="30"/>
            </w:pPr>
            <w:r>
              <w:rPr>
                <w:sz w:val="18"/>
                <w:szCs w:val="18"/>
              </w:rPr>
              <w:t>&gt;60 mo (ongoing)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343BF80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</w:tr>
      <w:tr w14:paraId="116F63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C76F667">
            <w:pPr>
              <w:spacing w:before="30" w:after="30"/>
            </w:pPr>
            <w:r>
              <w:rPr>
                <w:sz w:val="18"/>
                <w:szCs w:val="18"/>
              </w:rPr>
              <w:t>14 — Atagi, 2023 [31]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AD777E7">
            <w:pPr>
              <w:spacing w:before="30" w:after="30"/>
            </w:pPr>
            <w:r>
              <w:rPr>
                <w:sz w:val="18"/>
                <w:szCs w:val="18"/>
              </w:rPr>
              <w:t>69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71FB262">
            <w:pPr>
              <w:spacing w:before="30" w:after="30"/>
            </w:pPr>
            <w:r>
              <w:rPr>
                <w:sz w:val="18"/>
                <w:szCs w:val="18"/>
              </w:rPr>
              <w:t>M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60B2ECC">
            <w:pPr>
              <w:spacing w:before="30" w:after="30"/>
            </w:pPr>
            <w:r>
              <w:rPr>
                <w:sz w:val="18"/>
                <w:szCs w:val="18"/>
              </w:rPr>
              <w:t>Adrenal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60F0FBE">
            <w:pPr>
              <w:spacing w:before="30" w:after="30"/>
            </w:pPr>
            <w:r>
              <w:rPr>
                <w:sz w:val="18"/>
                <w:szCs w:val="18"/>
              </w:rPr>
              <w:t>1L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ADBB860">
            <w:pPr>
              <w:spacing w:before="30" w:after="30"/>
            </w:pPr>
            <w:r>
              <w:rPr>
                <w:sz w:val="18"/>
                <w:szCs w:val="18"/>
              </w:rPr>
              <w:t>Pembrolizumab + axitinib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A3D183D">
            <w:pPr>
              <w:spacing w:before="30" w:after="30"/>
            </w:pPr>
            <w:r>
              <w:rPr>
                <w:sz w:val="18"/>
                <w:szCs w:val="18"/>
              </w:rPr>
              <w:t>PR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4D79C13">
            <w:pPr>
              <w:spacing w:before="30" w:after="30"/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E8B5C6B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36554B4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</w:tr>
      <w:tr w14:paraId="6FC9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949AEF8">
            <w:pPr>
              <w:spacing w:before="30" w:after="30"/>
            </w:pPr>
            <w:r>
              <w:rPr>
                <w:sz w:val="18"/>
                <w:szCs w:val="18"/>
              </w:rPr>
              <w:t>15 — Danno, 2021 [29] (case 1)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ACA4F24">
            <w:pPr>
              <w:spacing w:before="30" w:after="30"/>
            </w:pPr>
            <w:r>
              <w:rPr>
                <w:sz w:val="18"/>
                <w:szCs w:val="18"/>
              </w:rPr>
              <w:t>75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E4AD2E5">
            <w:pPr>
              <w:spacing w:before="30" w:after="30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7898B95">
            <w:pPr>
              <w:spacing w:before="30" w:after="30"/>
            </w:pPr>
            <w:r>
              <w:rPr>
                <w:sz w:val="18"/>
                <w:szCs w:val="18"/>
              </w:rPr>
              <w:t>Bone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2BCBEA6">
            <w:pPr>
              <w:spacing w:before="30" w:after="30"/>
            </w:pPr>
            <w:r>
              <w:rPr>
                <w:sz w:val="18"/>
                <w:szCs w:val="18"/>
              </w:rPr>
              <w:t>1L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DEAD952">
            <w:pPr>
              <w:spacing w:before="30" w:after="30"/>
            </w:pPr>
            <w:r>
              <w:rPr>
                <w:sz w:val="18"/>
                <w:szCs w:val="18"/>
              </w:rPr>
              <w:t>Nivolumab + ipilimumab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59FF1BC">
            <w:pPr>
              <w:spacing w:before="30" w:after="30"/>
            </w:pPr>
            <w:r>
              <w:rPr>
                <w:sz w:val="18"/>
                <w:szCs w:val="18"/>
              </w:rPr>
              <w:t>SD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409960F">
            <w:pPr>
              <w:spacing w:before="30" w:after="30"/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ECE9258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5D10C16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</w:tr>
      <w:tr w14:paraId="2C1F5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6B952BD">
            <w:pPr>
              <w:spacing w:before="30" w:after="30"/>
            </w:pPr>
            <w:r>
              <w:rPr>
                <w:sz w:val="18"/>
                <w:szCs w:val="18"/>
              </w:rPr>
              <w:t>16 — Danno, 2021 [29] (case 2)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EA7F1B5">
            <w:pPr>
              <w:spacing w:before="30" w:after="30"/>
            </w:pPr>
            <w:r>
              <w:rPr>
                <w:sz w:val="18"/>
                <w:szCs w:val="18"/>
              </w:rPr>
              <w:t>79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BF06672">
            <w:pPr>
              <w:spacing w:before="30" w:after="30"/>
            </w:pPr>
            <w:r>
              <w:rPr>
                <w:sz w:val="18"/>
                <w:szCs w:val="18"/>
              </w:rPr>
              <w:t>F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0971E5F">
            <w:pPr>
              <w:spacing w:before="30" w:after="30"/>
            </w:pPr>
            <w:r>
              <w:rPr>
                <w:sz w:val="18"/>
                <w:szCs w:val="18"/>
              </w:rPr>
              <w:t>Lung, nodes</w:t>
            </w:r>
          </w:p>
        </w:tc>
        <w:tc>
          <w:tcPr>
            <w:tcW w:w="1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074FF33">
            <w:pPr>
              <w:spacing w:before="30" w:after="30"/>
            </w:pPr>
            <w:r>
              <w:rPr>
                <w:sz w:val="18"/>
                <w:szCs w:val="18"/>
              </w:rPr>
              <w:t>1L</w:t>
            </w:r>
          </w:p>
        </w:tc>
        <w:tc>
          <w:tcPr>
            <w:tcW w:w="2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36F1574">
            <w:pPr>
              <w:spacing w:before="30" w:after="30"/>
            </w:pPr>
            <w:r>
              <w:rPr>
                <w:sz w:val="18"/>
                <w:szCs w:val="18"/>
              </w:rPr>
              <w:t>Nivolumab + ipilimumab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796D962">
            <w:pPr>
              <w:spacing w:before="30" w:after="30"/>
            </w:pPr>
            <w:r>
              <w:rPr>
                <w:sz w:val="18"/>
                <w:szCs w:val="18"/>
              </w:rPr>
              <w:t>PR</w:t>
            </w:r>
          </w:p>
        </w:tc>
        <w:tc>
          <w:tcPr>
            <w:tcW w:w="11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11E6111">
            <w:pPr>
              <w:spacing w:before="30" w:after="30"/>
            </w:pPr>
            <w:r>
              <w:rPr>
                <w:sz w:val="18"/>
                <w:szCs w:val="18"/>
              </w:rPr>
              <w:t>NA</w:t>
            </w:r>
          </w:p>
        </w:tc>
        <w:tc>
          <w:tcPr>
            <w:tcW w:w="11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57E8233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1559AC5">
            <w:pPr>
              <w:spacing w:before="30" w:after="30"/>
            </w:pPr>
            <w:r>
              <w:rPr>
                <w:sz w:val="18"/>
                <w:szCs w:val="18"/>
              </w:rPr>
              <w:t>NR</w:t>
            </w:r>
          </w:p>
        </w:tc>
      </w:tr>
    </w:tbl>
    <w:p w14:paraId="4A758E0D">
      <w:pPr>
        <w:spacing w:before="240" w:after="60"/>
      </w:pPr>
      <w:r>
        <w:rPr>
          <w:i/>
          <w:iCs/>
          <w:sz w:val="18"/>
          <w:szCs w:val="18"/>
        </w:rPr>
        <w:t>CR = complete response; PR = partial response; SD = stable disease; PD = progressive disease; RECIST = Response Evaluation Criteria in Solid Tumors; PD-L1 = programmed death-ligand 1; 1L/2L = first-/second-line therapy; F = female; M = male; NR = not reported; NA = not available; HTN = hypertension; IO = immunotherapy; irAE = immune-related adverse event.</w:t>
      </w:r>
    </w:p>
    <w:p w14:paraId="1AD77380">
      <w:pPr>
        <w:spacing w:before="240" w:after="120"/>
      </w:pPr>
      <w:r>
        <w:rPr>
          <w:b/>
          <w:bCs/>
        </w:rPr>
        <w:t>Part B. Pooled descriptive statistics.</w:t>
      </w:r>
    </w:p>
    <w:tbl>
      <w:tblPr>
        <w:tblStyle w:val="11"/>
        <w:tblW w:w="129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3500"/>
        <w:gridCol w:w="3500"/>
        <w:gridCol w:w="5960"/>
      </w:tblGrid>
      <w:tr w14:paraId="26D1D7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blHeader/>
        </w:trPr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676A2C1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Variable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04EBB3A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n / N (%) or summary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7E6E6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771763E">
            <w:pPr>
              <w:spacing w:before="40" w:after="40"/>
            </w:pPr>
            <w:r>
              <w:rPr>
                <w:b/>
                <w:bCs/>
                <w:sz w:val="18"/>
                <w:szCs w:val="18"/>
              </w:rPr>
              <w:t>Notes</w:t>
            </w:r>
          </w:p>
        </w:tc>
      </w:tr>
      <w:tr w14:paraId="40BC1F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B4B052C">
            <w:pPr>
              <w:spacing w:before="30" w:after="30"/>
            </w:pPr>
            <w:r>
              <w:rPr>
                <w:sz w:val="18"/>
                <w:szCs w:val="18"/>
              </w:rPr>
              <w:t>Total patients (denominator N)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8124B37">
            <w:pPr>
              <w:spacing w:before="30" w:after="30"/>
            </w:pPr>
            <w:r>
              <w:rPr>
                <w:sz w:val="18"/>
                <w:szCs w:val="18"/>
              </w:rPr>
              <w:t>16 / 16 (100%)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0DC5BD8">
            <w:pPr>
              <w:spacing w:before="30" w:after="30"/>
            </w:pPr>
            <w:r>
              <w:rPr>
                <w:sz w:val="18"/>
                <w:szCs w:val="18"/>
              </w:rPr>
              <w:t>Independent case-level patients from 14 publications (overlap-verified)</w:t>
            </w:r>
          </w:p>
        </w:tc>
      </w:tr>
      <w:tr w14:paraId="609A1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C09786F">
            <w:pPr>
              <w:spacing w:before="30" w:after="30"/>
            </w:pPr>
            <w:r>
              <w:rPr>
                <w:sz w:val="18"/>
                <w:szCs w:val="18"/>
              </w:rPr>
              <w:t>Median age (range)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25DFB49">
            <w:pPr>
              <w:spacing w:before="30" w:after="30"/>
            </w:pPr>
            <w:r>
              <w:rPr>
                <w:sz w:val="18"/>
                <w:szCs w:val="18"/>
              </w:rPr>
              <w:t>66 y (33–79)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A7E0BDE">
            <w:pPr>
              <w:spacing w:before="30" w:after="30"/>
            </w:pPr>
            <w:r>
              <w:rPr>
                <w:sz w:val="18"/>
                <w:szCs w:val="18"/>
              </w:rPr>
              <w:t>Age reported for 15/16 patients; one case (Zeng 2020) reported age but not sex</w:t>
            </w:r>
          </w:p>
        </w:tc>
      </w:tr>
      <w:tr w14:paraId="0A4DED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16A6D1B">
            <w:pPr>
              <w:spacing w:before="30" w:after="30"/>
            </w:pPr>
            <w:r>
              <w:rPr>
                <w:sz w:val="18"/>
                <w:szCs w:val="18"/>
              </w:rPr>
              <w:t>Sex (Male)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AE85C7B">
            <w:pPr>
              <w:spacing w:before="30" w:after="30"/>
            </w:pPr>
            <w:r>
              <w:rPr>
                <w:sz w:val="18"/>
                <w:szCs w:val="18"/>
              </w:rPr>
              <w:t>8 / 15 (53%)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F30B2F2">
            <w:pPr>
              <w:spacing w:before="30" w:after="30"/>
            </w:pPr>
            <w:r>
              <w:rPr>
                <w:sz w:val="18"/>
                <w:szCs w:val="18"/>
              </w:rPr>
              <w:t>One case did not report sex; excluded from denominator</w:t>
            </w:r>
          </w:p>
        </w:tc>
      </w:tr>
      <w:tr w14:paraId="2E025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A8C8874">
            <w:pPr>
              <w:spacing w:before="30" w:after="30"/>
            </w:pPr>
            <w:r>
              <w:rPr>
                <w:sz w:val="18"/>
                <w:szCs w:val="18"/>
              </w:rPr>
              <w:t>First-line therapy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C5BBDD5">
            <w:pPr>
              <w:spacing w:before="30" w:after="30"/>
            </w:pPr>
            <w:r>
              <w:rPr>
                <w:sz w:val="18"/>
                <w:szCs w:val="18"/>
              </w:rPr>
              <w:t>8 / 16 (50%)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68E593D">
            <w:pPr>
              <w:spacing w:before="30" w:after="30"/>
            </w:pPr>
            <w:r>
              <w:rPr>
                <w:sz w:val="18"/>
                <w:szCs w:val="18"/>
              </w:rPr>
              <w:t>1L vs 2L/multiline split</w:t>
            </w:r>
          </w:p>
        </w:tc>
      </w:tr>
      <w:tr w14:paraId="0A5FF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9CC9D75">
            <w:pPr>
              <w:spacing w:before="30" w:after="30"/>
            </w:pPr>
            <w:r>
              <w:rPr>
                <w:sz w:val="18"/>
                <w:szCs w:val="18"/>
              </w:rPr>
              <w:t>Best response — CR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9C169EC">
            <w:pPr>
              <w:spacing w:before="30" w:after="30"/>
            </w:pPr>
            <w:r>
              <w:rPr>
                <w:sz w:val="18"/>
                <w:szCs w:val="18"/>
              </w:rPr>
              <w:t>4 / 16 (25%)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C094318">
            <w:pPr>
              <w:spacing w:before="30" w:after="30"/>
            </w:pPr>
            <w:r>
              <w:rPr>
                <w:sz w:val="18"/>
                <w:szCs w:val="18"/>
              </w:rPr>
              <w:t>Wu, Watanabe, Fuu, Abe (durable CRs)</w:t>
            </w:r>
          </w:p>
        </w:tc>
      </w:tr>
      <w:tr w14:paraId="291BC0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DAF2078">
            <w:pPr>
              <w:spacing w:before="30" w:after="30"/>
            </w:pPr>
            <w:r>
              <w:rPr>
                <w:sz w:val="18"/>
                <w:szCs w:val="18"/>
              </w:rPr>
              <w:t>Best response — PR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27D5D87">
            <w:pPr>
              <w:spacing w:before="30" w:after="30"/>
            </w:pPr>
            <w:r>
              <w:rPr>
                <w:sz w:val="18"/>
                <w:szCs w:val="18"/>
              </w:rPr>
              <w:t>7 / 16 (44%)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E79FE3F">
            <w:pPr>
              <w:spacing w:before="30" w:after="30"/>
            </w:pPr>
            <w:r>
              <w:rPr>
                <w:sz w:val="18"/>
                <w:szCs w:val="18"/>
              </w:rPr>
              <w:t>Rimar, Yasuoka, Mizutani (lung-focus), Zhou W., Tamada×2, Atagi, Danno-2</w:t>
            </w:r>
          </w:p>
        </w:tc>
      </w:tr>
      <w:tr w14:paraId="514D3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8C44E16">
            <w:pPr>
              <w:spacing w:before="30" w:after="30"/>
            </w:pPr>
            <w:r>
              <w:rPr>
                <w:sz w:val="18"/>
                <w:szCs w:val="18"/>
              </w:rPr>
              <w:t>Best response — SD/clinical benefit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DF4789D">
            <w:pPr>
              <w:spacing w:before="30" w:after="30"/>
            </w:pPr>
            <w:r>
              <w:rPr>
                <w:sz w:val="18"/>
                <w:szCs w:val="18"/>
              </w:rPr>
              <w:t>4 / 16 (25%)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6C3D19C">
            <w:pPr>
              <w:spacing w:before="30" w:after="30"/>
            </w:pPr>
            <w:r>
              <w:rPr>
                <w:sz w:val="18"/>
                <w:szCs w:val="18"/>
              </w:rPr>
              <w:t>Zeng (neoantigen), Pyrgidis (avelumab), Liu (cell therapy), Danno-1</w:t>
            </w:r>
          </w:p>
        </w:tc>
      </w:tr>
      <w:tr w14:paraId="127CE9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B6F960B">
            <w:pPr>
              <w:spacing w:before="30" w:after="30"/>
            </w:pPr>
            <w:r>
              <w:rPr>
                <w:sz w:val="18"/>
                <w:szCs w:val="18"/>
              </w:rPr>
              <w:t>Best response — PD / primary progression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2DBEDBA">
            <w:pPr>
              <w:spacing w:before="30" w:after="30"/>
            </w:pPr>
            <w:r>
              <w:rPr>
                <w:sz w:val="18"/>
                <w:szCs w:val="18"/>
              </w:rPr>
              <w:t>0 / 16 (0%)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A3BC838">
            <w:pPr>
              <w:spacing w:before="30" w:after="30"/>
            </w:pPr>
            <w:r>
              <w:rPr>
                <w:sz w:val="18"/>
                <w:szCs w:val="18"/>
              </w:rPr>
              <w:t>No primary progression documented (selection bias likely)</w:t>
            </w:r>
          </w:p>
        </w:tc>
      </w:tr>
      <w:tr w14:paraId="5B4D5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D13052F">
            <w:pPr>
              <w:spacing w:before="30" w:after="30"/>
            </w:pPr>
            <w:r>
              <w:rPr>
                <w:sz w:val="18"/>
                <w:szCs w:val="18"/>
              </w:rPr>
              <w:t>Objective response rate (ORR = CR+PR)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DBAC413">
            <w:pPr>
              <w:spacing w:before="30" w:after="30"/>
            </w:pPr>
            <w:r>
              <w:rPr>
                <w:sz w:val="18"/>
                <w:szCs w:val="18"/>
              </w:rPr>
              <w:t>11 / 16 (69%)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100EB3D">
            <w:pPr>
              <w:spacing w:before="30" w:after="30"/>
            </w:pPr>
            <w:r>
              <w:rPr>
                <w:sz w:val="18"/>
                <w:szCs w:val="18"/>
              </w:rPr>
              <w:t>High ORR reflects publication bias in case-level literature</w:t>
            </w:r>
          </w:p>
        </w:tc>
      </w:tr>
      <w:tr w14:paraId="3FC0C9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026CF7E">
            <w:pPr>
              <w:spacing w:before="30" w:after="30"/>
            </w:pPr>
            <w:r>
              <w:rPr>
                <w:sz w:val="18"/>
                <w:szCs w:val="18"/>
              </w:rPr>
              <w:t>Disease control rate (DCR = CR+PR+SD)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BF2F97B">
            <w:pPr>
              <w:spacing w:before="30" w:after="30"/>
            </w:pPr>
            <w:r>
              <w:rPr>
                <w:sz w:val="18"/>
                <w:szCs w:val="18"/>
              </w:rPr>
              <w:t>15 / 16 (94%)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3599BF5">
            <w:pPr>
              <w:spacing w:before="30" w:after="30"/>
            </w:pPr>
            <w:r>
              <w:rPr>
                <w:sz w:val="18"/>
                <w:szCs w:val="18"/>
              </w:rPr>
              <w:t>Same caveat</w:t>
            </w:r>
          </w:p>
        </w:tc>
      </w:tr>
      <w:tr w14:paraId="22BDB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1F6FA11">
            <w:pPr>
              <w:spacing w:before="30" w:after="30"/>
            </w:pPr>
            <w:r>
              <w:rPr>
                <w:sz w:val="18"/>
                <w:szCs w:val="18"/>
              </w:rPr>
              <w:t>Duration of response (months, median where reported)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AE44460">
            <w:pPr>
              <w:spacing w:before="30" w:after="30"/>
            </w:pPr>
            <w:r>
              <w:rPr>
                <w:sz w:val="18"/>
                <w:szCs w:val="18"/>
              </w:rPr>
              <w:t>Not estimable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2200DCA">
            <w:pPr>
              <w:spacing w:before="30" w:after="30"/>
            </w:pPr>
            <w:r>
              <w:rPr>
                <w:sz w:val="18"/>
                <w:szCs w:val="18"/>
              </w:rPr>
              <w:t>Heterogeneous follow-up; at least 9/16 had response sustained ≥12 months</w:t>
            </w:r>
          </w:p>
        </w:tc>
      </w:tr>
      <w:tr w14:paraId="56849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3E12523">
            <w:pPr>
              <w:spacing w:before="30" w:after="30"/>
            </w:pPr>
            <w:r>
              <w:rPr>
                <w:sz w:val="18"/>
                <w:szCs w:val="18"/>
              </w:rPr>
              <w:t>Regimen: anti-PD-1 monotherapy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F5A8CDA">
            <w:pPr>
              <w:spacing w:before="30" w:after="30"/>
            </w:pPr>
            <w:r>
              <w:rPr>
                <w:sz w:val="18"/>
                <w:szCs w:val="18"/>
              </w:rPr>
              <w:t>5 / 16 (31%)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FDA5891">
            <w:pPr>
              <w:spacing w:before="30" w:after="30"/>
            </w:pPr>
            <w:r>
              <w:rPr>
                <w:sz w:val="18"/>
                <w:szCs w:val="18"/>
              </w:rPr>
              <w:t>Nivolumab ×4, pembrolizumab ×1</w:t>
            </w:r>
          </w:p>
        </w:tc>
      </w:tr>
      <w:tr w14:paraId="41C4DD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790A44C">
            <w:pPr>
              <w:spacing w:before="30" w:after="30"/>
            </w:pPr>
            <w:r>
              <w:rPr>
                <w:sz w:val="18"/>
                <w:szCs w:val="18"/>
              </w:rPr>
              <w:t>Regimen: dual checkpoint (nivolumab + ipilimumab)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2FBC1DD">
            <w:pPr>
              <w:spacing w:before="30" w:after="30"/>
            </w:pPr>
            <w:r>
              <w:rPr>
                <w:sz w:val="18"/>
                <w:szCs w:val="18"/>
              </w:rPr>
              <w:t>4 / 16 (25%)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F491559">
            <w:pPr>
              <w:spacing w:before="30" w:after="30"/>
            </w:pPr>
            <w:r>
              <w:rPr>
                <w:sz w:val="18"/>
                <w:szCs w:val="18"/>
              </w:rPr>
              <w:t>Watanabe, Fuu, Danno×2</w:t>
            </w:r>
          </w:p>
        </w:tc>
      </w:tr>
      <w:tr w14:paraId="447ACC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88200AC">
            <w:pPr>
              <w:spacing w:before="30" w:after="30"/>
            </w:pPr>
            <w:r>
              <w:rPr>
                <w:sz w:val="18"/>
                <w:szCs w:val="18"/>
              </w:rPr>
              <w:t>Regimen: ICI + TKI (anti-PD-1/L1 + axitinib or pazopanib)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E6095D5">
            <w:pPr>
              <w:spacing w:before="30" w:after="30"/>
            </w:pPr>
            <w:r>
              <w:rPr>
                <w:sz w:val="18"/>
                <w:szCs w:val="18"/>
              </w:rPr>
              <w:t>4 / 16 (25%)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A60F3EF">
            <w:pPr>
              <w:spacing w:before="30" w:after="30"/>
            </w:pPr>
            <w:r>
              <w:rPr>
                <w:sz w:val="18"/>
                <w:szCs w:val="18"/>
              </w:rPr>
              <w:t>Tamada×2, Atagi, Zhou W.</w:t>
            </w:r>
          </w:p>
        </w:tc>
      </w:tr>
      <w:tr w14:paraId="154C0A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5FE58D6">
            <w:pPr>
              <w:spacing w:before="30" w:after="30"/>
            </w:pPr>
            <w:r>
              <w:rPr>
                <w:sz w:val="18"/>
                <w:szCs w:val="18"/>
              </w:rPr>
              <w:t>Regimen: other (avelumab, neoantigen vaccine, cell therapy)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9A2CFCC">
            <w:pPr>
              <w:spacing w:before="30" w:after="30"/>
            </w:pPr>
            <w:r>
              <w:rPr>
                <w:sz w:val="18"/>
                <w:szCs w:val="18"/>
              </w:rPr>
              <w:t>3 / 16 (19%)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60ABEF1">
            <w:pPr>
              <w:spacing w:before="30" w:after="30"/>
            </w:pPr>
            <w:r>
              <w:rPr>
                <w:sz w:val="18"/>
                <w:szCs w:val="18"/>
              </w:rPr>
              <w:t>Pyrgidis, Zeng, Liu</w:t>
            </w:r>
          </w:p>
        </w:tc>
      </w:tr>
      <w:tr w14:paraId="73F379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144600F">
            <w:pPr>
              <w:spacing w:before="30" w:after="30"/>
            </w:pPr>
            <w:r>
              <w:rPr>
                <w:sz w:val="18"/>
                <w:szCs w:val="18"/>
              </w:rPr>
              <w:t>PD-L1 positive (when reported)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725D4CC">
            <w:pPr>
              <w:spacing w:before="30" w:after="30"/>
            </w:pPr>
            <w:r>
              <w:rPr>
                <w:sz w:val="18"/>
                <w:szCs w:val="18"/>
              </w:rPr>
              <w:t>4 / 7 reported (57%)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1617C89">
            <w:pPr>
              <w:spacing w:before="30" w:after="30"/>
            </w:pPr>
            <w:r>
              <w:rPr>
                <w:sz w:val="18"/>
                <w:szCs w:val="18"/>
              </w:rPr>
              <w:t>PD-L1 status reported in only 7/16; 4 positive, 3 negative</w:t>
            </w:r>
          </w:p>
        </w:tc>
      </w:tr>
      <w:tr w14:paraId="4E535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E7E574C">
            <w:pPr>
              <w:spacing w:before="30" w:after="30"/>
            </w:pPr>
            <w:r>
              <w:rPr>
                <w:sz w:val="18"/>
                <w:szCs w:val="18"/>
              </w:rPr>
              <w:t>Serious adverse events documented</w:t>
            </w:r>
          </w:p>
        </w:tc>
        <w:tc>
          <w:tcPr>
            <w:tcW w:w="3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FE7E57D">
            <w:pPr>
              <w:spacing w:before="30" w:after="30"/>
            </w:pPr>
            <w:r>
              <w:rPr>
                <w:sz w:val="18"/>
                <w:szCs w:val="18"/>
              </w:rPr>
              <w:t>2 / 16 (13%)</w:t>
            </w:r>
          </w:p>
        </w:tc>
        <w:tc>
          <w:tcPr>
            <w:tcW w:w="5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E5BAEF2">
            <w:pPr>
              <w:spacing w:before="30" w:after="30"/>
            </w:pPr>
            <w:r>
              <w:rPr>
                <w:sz w:val="18"/>
                <w:szCs w:val="18"/>
              </w:rPr>
              <w:t>Pyrgidis (fatal pneumonia); Zhou W. (drug-induced hepatitis, managed with steroids)</w:t>
            </w:r>
          </w:p>
        </w:tc>
      </w:tr>
    </w:tbl>
    <w:p w14:paraId="6F75D133">
      <w:pPr>
        <w:spacing w:before="240" w:after="60"/>
      </w:pPr>
      <w:r>
        <w:rPr>
          <w:b/>
          <w:bCs/>
          <w:sz w:val="20"/>
          <w:szCs w:val="20"/>
        </w:rPr>
        <w:t>Interpretative notes.</w:t>
      </w:r>
    </w:p>
    <w:p w14:paraId="15E78BAA">
      <w:pPr>
        <w:spacing w:before="40" w:after="40" w:line="280" w:lineRule="auto"/>
        <w:jc w:val="both"/>
      </w:pPr>
      <w:r>
        <w:rPr>
          <w:i/>
          <w:iCs/>
          <w:sz w:val="20"/>
          <w:szCs w:val="20"/>
        </w:rPr>
        <w:t>The figures above are crude proportions derived from published case-level reports. They are presented for descriptive purposes only and must not be interpreted as population-level estimates of ICI efficacy in CDC. The most important caveats are: (i) near-certain positive-outcome selection bias (no primary progression event is documented across the 16 cases, which is implausible for a disease of this aggressiveness in an unselected population); (ii) heterogeneity in line of therapy, regimen, and follow-up; (iii) variable reporting of PD-L1 status, with status reported in only 7/16 patients; (iv) overlap with larger observational cohorts in the review was verified and excluded. Formal Kaplan–Meier aggregation and forest plots were not constructed because line-of-therapy, regimen class, and censoring definitions differed too markedly across case-level reports to support valid aggregation. Any pooled effect-size estimate should therefore be regarded as hypothesis-generating.</w:t>
      </w:r>
    </w:p>
    <w:sectPr>
      <w:pgSz w:w="15840" w:h="12240" w:orient="landscape"/>
      <w:pgMar w:top="1440" w:right="1440" w:bottom="1440" w:left="1440" w:header="708" w:footer="708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documentProtection w:enforcement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5471"/>
    <w:rsid w:val="002D5471"/>
    <w:rsid w:val="002E4C64"/>
    <w:rsid w:val="005624FD"/>
    <w:rsid w:val="00A331FE"/>
    <w:rsid w:val="60202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2"/>
      <w:szCs w:val="22"/>
      <w:lang w:val="es-ES" w:bidi="ar-SA"/>
    </w:rPr>
  </w:style>
  <w:style w:type="paragraph" w:styleId="2">
    <w:name w:val="heading 1"/>
    <w:qFormat/>
    <w:uiPriority w:val="9"/>
    <w:pPr>
      <w:outlineLvl w:val="0"/>
    </w:pPr>
    <w:rPr>
      <w:rFonts w:ascii="Times New Roman" w:hAnsi="Times New Roman" w:eastAsia="Times New Roman" w:cs="Times New Roman"/>
      <w:color w:val="2E74B5"/>
      <w:sz w:val="32"/>
      <w:szCs w:val="32"/>
      <w:lang w:val="es-ES" w:bidi="ar-SA"/>
    </w:rPr>
  </w:style>
  <w:style w:type="paragraph" w:styleId="3">
    <w:name w:val="heading 2"/>
    <w:semiHidden/>
    <w:unhideWhenUsed/>
    <w:qFormat/>
    <w:uiPriority w:val="9"/>
    <w:pPr>
      <w:outlineLvl w:val="1"/>
    </w:pPr>
    <w:rPr>
      <w:rFonts w:ascii="Times New Roman" w:hAnsi="Times New Roman" w:eastAsia="Times New Roman" w:cs="Times New Roman"/>
      <w:color w:val="2E74B5"/>
      <w:sz w:val="26"/>
      <w:szCs w:val="26"/>
      <w:lang w:val="es-ES" w:bidi="ar-SA"/>
    </w:rPr>
  </w:style>
  <w:style w:type="paragraph" w:styleId="4">
    <w:name w:val="heading 3"/>
    <w:semiHidden/>
    <w:unhideWhenUsed/>
    <w:qFormat/>
    <w:uiPriority w:val="9"/>
    <w:pPr>
      <w:outlineLvl w:val="2"/>
    </w:pPr>
    <w:rPr>
      <w:rFonts w:ascii="Times New Roman" w:hAnsi="Times New Roman" w:eastAsia="Times New Roman" w:cs="Times New Roman"/>
      <w:color w:val="1F4D78"/>
      <w:sz w:val="24"/>
      <w:szCs w:val="24"/>
      <w:lang w:val="es-ES" w:bidi="ar-SA"/>
    </w:rPr>
  </w:style>
  <w:style w:type="paragraph" w:styleId="5">
    <w:name w:val="heading 4"/>
    <w:semiHidden/>
    <w:unhideWhenUsed/>
    <w:qFormat/>
    <w:uiPriority w:val="9"/>
    <w:pPr>
      <w:outlineLvl w:val="3"/>
    </w:pPr>
    <w:rPr>
      <w:rFonts w:ascii="Times New Roman" w:hAnsi="Times New Roman" w:eastAsia="Times New Roman" w:cs="Times New Roman"/>
      <w:i/>
      <w:iCs/>
      <w:color w:val="2E74B5"/>
      <w:sz w:val="22"/>
      <w:szCs w:val="22"/>
      <w:lang w:val="es-ES" w:bidi="ar-SA"/>
    </w:rPr>
  </w:style>
  <w:style w:type="paragraph" w:styleId="6">
    <w:name w:val="heading 5"/>
    <w:semiHidden/>
    <w:unhideWhenUsed/>
    <w:qFormat/>
    <w:uiPriority w:val="9"/>
    <w:pPr>
      <w:outlineLvl w:val="4"/>
    </w:pPr>
    <w:rPr>
      <w:rFonts w:ascii="Times New Roman" w:hAnsi="Times New Roman" w:eastAsia="Times New Roman" w:cs="Times New Roman"/>
      <w:color w:val="2E74B5"/>
      <w:sz w:val="22"/>
      <w:szCs w:val="22"/>
      <w:lang w:val="es-ES" w:bidi="ar-SA"/>
    </w:rPr>
  </w:style>
  <w:style w:type="paragraph" w:styleId="7">
    <w:name w:val="heading 6"/>
    <w:semiHidden/>
    <w:unhideWhenUsed/>
    <w:qFormat/>
    <w:uiPriority w:val="9"/>
    <w:pPr>
      <w:outlineLvl w:val="5"/>
    </w:pPr>
    <w:rPr>
      <w:rFonts w:ascii="Times New Roman" w:hAnsi="Times New Roman" w:eastAsia="Times New Roman" w:cs="Times New Roman"/>
      <w:color w:val="1F4D78"/>
      <w:sz w:val="22"/>
      <w:szCs w:val="22"/>
      <w:lang w:val="es-ES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endnote text"/>
    <w:link w:val="19"/>
    <w:semiHidden/>
    <w:unhideWhenUsed/>
    <w:qFormat/>
    <w:uiPriority w:val="99"/>
    <w:rPr>
      <w:rFonts w:ascii="Times New Roman" w:hAnsi="Times New Roman" w:eastAsia="Times New Roman" w:cs="Times New Roman"/>
      <w:sz w:val="20"/>
      <w:szCs w:val="20"/>
      <w:lang w:val="es-ES" w:bidi="ar-SA"/>
    </w:rPr>
  </w:style>
  <w:style w:type="paragraph" w:styleId="9">
    <w:name w:val="footnote text"/>
    <w:link w:val="18"/>
    <w:semiHidden/>
    <w:unhideWhenUsed/>
    <w:uiPriority w:val="99"/>
    <w:rPr>
      <w:rFonts w:ascii="Times New Roman" w:hAnsi="Times New Roman" w:eastAsia="Times New Roman" w:cs="Times New Roman"/>
      <w:sz w:val="20"/>
      <w:szCs w:val="20"/>
      <w:lang w:val="es-ES" w:bidi="ar-SA"/>
    </w:rPr>
  </w:style>
  <w:style w:type="paragraph" w:styleId="10">
    <w:name w:val="Title"/>
    <w:qFormat/>
    <w:uiPriority w:val="10"/>
    <w:rPr>
      <w:rFonts w:ascii="Times New Roman" w:hAnsi="Times New Roman" w:eastAsia="Times New Roman" w:cs="Times New Roman"/>
      <w:sz w:val="56"/>
      <w:szCs w:val="56"/>
      <w:lang w:val="es-ES" w:bidi="ar-SA"/>
    </w:rPr>
  </w:style>
  <w:style w:type="character" w:styleId="13">
    <w:name w:val="endnote reference"/>
    <w:semiHidden/>
    <w:unhideWhenUsed/>
    <w:uiPriority w:val="99"/>
    <w:rPr>
      <w:vertAlign w:val="superscript"/>
    </w:rPr>
  </w:style>
  <w:style w:type="character" w:styleId="14">
    <w:name w:val="Hyperlink"/>
    <w:unhideWhenUsed/>
    <w:qFormat/>
    <w:uiPriority w:val="99"/>
    <w:rPr>
      <w:color w:val="0563C1"/>
      <w:u w:val="single"/>
    </w:rPr>
  </w:style>
  <w:style w:type="character" w:styleId="15">
    <w:name w:val="footnote reference"/>
    <w:semiHidden/>
    <w:unhideWhenUsed/>
    <w:qFormat/>
    <w:uiPriority w:val="99"/>
    <w:rPr>
      <w:vertAlign w:val="superscript"/>
    </w:rPr>
  </w:style>
  <w:style w:type="paragraph" w:customStyle="1" w:styleId="16">
    <w:name w:val="Fuerte1"/>
    <w:qFormat/>
    <w:uiPriority w:val="0"/>
    <w:rPr>
      <w:rFonts w:ascii="Times New Roman" w:hAnsi="Times New Roman" w:eastAsia="Times New Roman" w:cs="Times New Roman"/>
      <w:b/>
      <w:bCs/>
      <w:sz w:val="22"/>
      <w:szCs w:val="22"/>
      <w:lang w:val="es-ES" w:bidi="ar-SA"/>
    </w:rPr>
  </w:style>
  <w:style w:type="paragraph" w:styleId="17">
    <w:name w:val="List Paragraph"/>
    <w:qFormat/>
    <w:uiPriority w:val="0"/>
    <w:rPr>
      <w:rFonts w:ascii="Times New Roman" w:hAnsi="Times New Roman" w:eastAsia="Times New Roman" w:cs="Times New Roman"/>
      <w:sz w:val="22"/>
      <w:szCs w:val="22"/>
      <w:lang w:val="es-ES" w:bidi="ar-SA"/>
    </w:rPr>
  </w:style>
  <w:style w:type="character" w:customStyle="1" w:styleId="18">
    <w:name w:val="Texto nota pie Car"/>
    <w:link w:val="9"/>
    <w:semiHidden/>
    <w:unhideWhenUsed/>
    <w:qFormat/>
    <w:uiPriority w:val="99"/>
    <w:rPr>
      <w:sz w:val="20"/>
      <w:szCs w:val="20"/>
    </w:rPr>
  </w:style>
  <w:style w:type="character" w:customStyle="1" w:styleId="19">
    <w:name w:val="Texto nota al final Car"/>
    <w:link w:val="8"/>
    <w:semiHidden/>
    <w:unhideWhenUsed/>
    <w:qFormat/>
    <w:uiPriority w:val="99"/>
    <w:rPr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849</Words>
  <Characters>4252</Characters>
  <Lines>306</Lines>
  <Paragraphs>270</Paragraphs>
  <TotalTime>2</TotalTime>
  <ScaleCrop>false</ScaleCrop>
  <LinksUpToDate>false</LinksUpToDate>
  <CharactersWithSpaces>4871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2026-04-20T21:09:00Z</dcterms:created>
  <dc:creator>Un-named</dc:creator>
  <cp:lastModifiedBy>Mia Du</cp:lastModifiedBy>
  <dcterms:modified xsi:type="dcterms:W3CDTF">2026-05-27T07:33:52Z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4A089B9030C444D28F989E4BE24C0EB6_13</vt:lpwstr>
  </property>
</Properties>
</file>