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FBA41">
      <w:pPr>
        <w:spacing w:after="120"/>
      </w:pPr>
      <w:bookmarkStart w:id="0" w:name="_GoBack"/>
      <w:bookmarkEnd w:id="0"/>
      <w:r>
        <w:rPr>
          <w:b/>
          <w:bCs/>
          <w:sz w:val="26"/>
          <w:szCs w:val="26"/>
        </w:rPr>
        <w:t>Supplementary Table S2.</w:t>
      </w:r>
      <w:r>
        <w:t xml:space="preserve"> Durable complete responses (CR) of ≥ 3 years in CDC patients treated with immunotherapy-based regimens, as identified in this systematic review.</w:t>
      </w:r>
    </w:p>
    <w:tbl>
      <w:tblPr>
        <w:tblStyle w:val="11"/>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23"/>
        <w:gridCol w:w="601"/>
        <w:gridCol w:w="1151"/>
        <w:gridCol w:w="1184"/>
        <w:gridCol w:w="1507"/>
        <w:gridCol w:w="1263"/>
        <w:gridCol w:w="1035"/>
        <w:gridCol w:w="1496"/>
      </w:tblGrid>
      <w:tr w14:paraId="2C780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1500" w:type="dxa"/>
            <w:tcBorders>
              <w:top w:val="single" w:color="000000" w:sz="4" w:space="0"/>
              <w:left w:val="single" w:color="000000" w:sz="4" w:space="0"/>
              <w:bottom w:val="single" w:color="000000" w:sz="4" w:space="0"/>
              <w:right w:val="single" w:color="000000" w:sz="4" w:space="0"/>
            </w:tcBorders>
            <w:shd w:val="clear" w:color="auto" w:fill="E7E6E6"/>
            <w:tcMar>
              <w:top w:w="80" w:type="dxa"/>
              <w:left w:w="120" w:type="dxa"/>
              <w:bottom w:w="80" w:type="dxa"/>
              <w:right w:w="120" w:type="dxa"/>
            </w:tcMar>
          </w:tcPr>
          <w:p w14:paraId="6F391D29">
            <w:pPr>
              <w:spacing w:before="60" w:after="60"/>
            </w:pPr>
            <w:r>
              <w:rPr>
                <w:b/>
                <w:bCs/>
                <w:sz w:val="20"/>
                <w:szCs w:val="20"/>
              </w:rPr>
              <w:t>Study (Author, Year) [Ref]</w:t>
            </w:r>
          </w:p>
        </w:tc>
        <w:tc>
          <w:tcPr>
            <w:tcW w:w="900" w:type="dxa"/>
            <w:tcBorders>
              <w:top w:val="single" w:color="000000" w:sz="4" w:space="0"/>
              <w:left w:val="single" w:color="000000" w:sz="4" w:space="0"/>
              <w:bottom w:val="single" w:color="000000" w:sz="4" w:space="0"/>
              <w:right w:val="single" w:color="000000" w:sz="4" w:space="0"/>
            </w:tcBorders>
            <w:shd w:val="clear" w:color="auto" w:fill="E7E6E6"/>
            <w:tcMar>
              <w:top w:w="80" w:type="dxa"/>
              <w:left w:w="120" w:type="dxa"/>
              <w:bottom w:w="80" w:type="dxa"/>
              <w:right w:w="120" w:type="dxa"/>
            </w:tcMar>
          </w:tcPr>
          <w:p w14:paraId="7D20AE05">
            <w:pPr>
              <w:spacing w:before="60" w:after="60"/>
            </w:pPr>
            <w:r>
              <w:rPr>
                <w:b/>
                <w:bCs/>
                <w:sz w:val="20"/>
                <w:szCs w:val="20"/>
              </w:rPr>
              <w:t>Age / Sex</w:t>
            </w:r>
          </w:p>
        </w:tc>
        <w:tc>
          <w:tcPr>
            <w:tcW w:w="1100" w:type="dxa"/>
            <w:tcBorders>
              <w:top w:val="single" w:color="000000" w:sz="4" w:space="0"/>
              <w:left w:val="single" w:color="000000" w:sz="4" w:space="0"/>
              <w:bottom w:val="single" w:color="000000" w:sz="4" w:space="0"/>
              <w:right w:val="single" w:color="000000" w:sz="4" w:space="0"/>
            </w:tcBorders>
            <w:shd w:val="clear" w:color="auto" w:fill="E7E6E6"/>
            <w:tcMar>
              <w:top w:w="80" w:type="dxa"/>
              <w:left w:w="120" w:type="dxa"/>
              <w:bottom w:w="80" w:type="dxa"/>
              <w:right w:w="120" w:type="dxa"/>
            </w:tcMar>
          </w:tcPr>
          <w:p w14:paraId="69C0E6E2">
            <w:pPr>
              <w:spacing w:before="60" w:after="60"/>
            </w:pPr>
            <w:r>
              <w:rPr>
                <w:b/>
                <w:bCs/>
                <w:sz w:val="20"/>
                <w:szCs w:val="20"/>
              </w:rPr>
              <w:t>Metastatic sites</w:t>
            </w:r>
          </w:p>
        </w:tc>
        <w:tc>
          <w:tcPr>
            <w:tcW w:w="1300" w:type="dxa"/>
            <w:tcBorders>
              <w:top w:val="single" w:color="000000" w:sz="4" w:space="0"/>
              <w:left w:val="single" w:color="000000" w:sz="4" w:space="0"/>
              <w:bottom w:val="single" w:color="000000" w:sz="4" w:space="0"/>
              <w:right w:val="single" w:color="000000" w:sz="4" w:space="0"/>
            </w:tcBorders>
            <w:shd w:val="clear" w:color="auto" w:fill="E7E6E6"/>
            <w:tcMar>
              <w:top w:w="80" w:type="dxa"/>
              <w:left w:w="120" w:type="dxa"/>
              <w:bottom w:w="80" w:type="dxa"/>
              <w:right w:w="120" w:type="dxa"/>
            </w:tcMar>
          </w:tcPr>
          <w:p w14:paraId="286649B0">
            <w:pPr>
              <w:spacing w:before="60" w:after="60"/>
            </w:pPr>
            <w:r>
              <w:rPr>
                <w:b/>
                <w:bCs/>
                <w:sz w:val="20"/>
                <w:szCs w:val="20"/>
              </w:rPr>
              <w:t>Line of therapy</w:t>
            </w:r>
          </w:p>
        </w:tc>
        <w:tc>
          <w:tcPr>
            <w:tcW w:w="1400" w:type="dxa"/>
            <w:tcBorders>
              <w:top w:val="single" w:color="000000" w:sz="4" w:space="0"/>
              <w:left w:val="single" w:color="000000" w:sz="4" w:space="0"/>
              <w:bottom w:val="single" w:color="000000" w:sz="4" w:space="0"/>
              <w:right w:val="single" w:color="000000" w:sz="4" w:space="0"/>
            </w:tcBorders>
            <w:shd w:val="clear" w:color="auto" w:fill="E7E6E6"/>
            <w:tcMar>
              <w:top w:w="80" w:type="dxa"/>
              <w:left w:w="120" w:type="dxa"/>
              <w:bottom w:w="80" w:type="dxa"/>
              <w:right w:w="120" w:type="dxa"/>
            </w:tcMar>
          </w:tcPr>
          <w:p w14:paraId="7725B9C1">
            <w:pPr>
              <w:spacing w:before="60" w:after="60"/>
            </w:pPr>
            <w:r>
              <w:rPr>
                <w:b/>
                <w:bCs/>
                <w:sz w:val="20"/>
                <w:szCs w:val="20"/>
              </w:rPr>
              <w:t>Regimen</w:t>
            </w:r>
          </w:p>
        </w:tc>
        <w:tc>
          <w:tcPr>
            <w:tcW w:w="900" w:type="dxa"/>
            <w:tcBorders>
              <w:top w:val="single" w:color="000000" w:sz="4" w:space="0"/>
              <w:left w:val="single" w:color="000000" w:sz="4" w:space="0"/>
              <w:bottom w:val="single" w:color="000000" w:sz="4" w:space="0"/>
              <w:right w:val="single" w:color="000000" w:sz="4" w:space="0"/>
            </w:tcBorders>
            <w:shd w:val="clear" w:color="auto" w:fill="E7E6E6"/>
            <w:tcMar>
              <w:top w:w="80" w:type="dxa"/>
              <w:left w:w="120" w:type="dxa"/>
              <w:bottom w:w="80" w:type="dxa"/>
              <w:right w:w="120" w:type="dxa"/>
            </w:tcMar>
          </w:tcPr>
          <w:p w14:paraId="7D5412A0">
            <w:pPr>
              <w:spacing w:before="60" w:after="60"/>
            </w:pPr>
            <w:r>
              <w:rPr>
                <w:b/>
                <w:bCs/>
                <w:sz w:val="20"/>
                <w:szCs w:val="20"/>
              </w:rPr>
              <w:t>PD-L1 status</w:t>
            </w:r>
          </w:p>
        </w:tc>
        <w:tc>
          <w:tcPr>
            <w:tcW w:w="1100" w:type="dxa"/>
            <w:tcBorders>
              <w:top w:val="single" w:color="000000" w:sz="4" w:space="0"/>
              <w:left w:val="single" w:color="000000" w:sz="4" w:space="0"/>
              <w:bottom w:val="single" w:color="000000" w:sz="4" w:space="0"/>
              <w:right w:val="single" w:color="000000" w:sz="4" w:space="0"/>
            </w:tcBorders>
            <w:shd w:val="clear" w:color="auto" w:fill="E7E6E6"/>
            <w:tcMar>
              <w:top w:w="80" w:type="dxa"/>
              <w:left w:w="120" w:type="dxa"/>
              <w:bottom w:w="80" w:type="dxa"/>
              <w:right w:w="120" w:type="dxa"/>
            </w:tcMar>
          </w:tcPr>
          <w:p w14:paraId="1D5B8B86">
            <w:pPr>
              <w:spacing w:before="60" w:after="60"/>
            </w:pPr>
            <w:r>
              <w:rPr>
                <w:b/>
                <w:bCs/>
                <w:sz w:val="20"/>
                <w:szCs w:val="20"/>
              </w:rPr>
              <w:t>Duration of CR (months)</w:t>
            </w:r>
          </w:p>
        </w:tc>
        <w:tc>
          <w:tcPr>
            <w:tcW w:w="1160" w:type="dxa"/>
            <w:tcBorders>
              <w:top w:val="single" w:color="000000" w:sz="4" w:space="0"/>
              <w:left w:val="single" w:color="000000" w:sz="4" w:space="0"/>
              <w:bottom w:val="single" w:color="000000" w:sz="4" w:space="0"/>
              <w:right w:val="single" w:color="000000" w:sz="4" w:space="0"/>
            </w:tcBorders>
            <w:shd w:val="clear" w:color="auto" w:fill="E7E6E6"/>
            <w:tcMar>
              <w:top w:w="80" w:type="dxa"/>
              <w:left w:w="120" w:type="dxa"/>
              <w:bottom w:w="80" w:type="dxa"/>
              <w:right w:w="120" w:type="dxa"/>
            </w:tcMar>
          </w:tcPr>
          <w:p w14:paraId="5C044FD9">
            <w:pPr>
              <w:spacing w:before="60" w:after="60"/>
            </w:pPr>
            <w:r>
              <w:rPr>
                <w:b/>
                <w:bCs/>
                <w:sz w:val="20"/>
                <w:szCs w:val="20"/>
              </w:rPr>
              <w:t>Notes</w:t>
            </w:r>
          </w:p>
        </w:tc>
      </w:tr>
      <w:tr w14:paraId="0D5A0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1478EE9A">
            <w:pPr>
              <w:spacing w:before="40" w:after="40"/>
            </w:pPr>
            <w:r>
              <w:rPr>
                <w:sz w:val="20"/>
                <w:szCs w:val="20"/>
              </w:rPr>
              <w:t>Wu, 2021 [24]</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7E6636E6">
            <w:pPr>
              <w:spacing w:before="40" w:after="40"/>
            </w:pPr>
            <w:r>
              <w:rPr>
                <w:sz w:val="20"/>
                <w:szCs w:val="20"/>
              </w:rPr>
              <w:t>59 / F</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2551529">
            <w:pPr>
              <w:spacing w:before="40" w:after="40"/>
            </w:pPr>
            <w:r>
              <w:rPr>
                <w:sz w:val="20"/>
                <w:szCs w:val="20"/>
              </w:rPr>
              <w:t>Peritoneal, left adrenal</w:t>
            </w:r>
          </w:p>
        </w:tc>
        <w:tc>
          <w:tcPr>
            <w:tcW w:w="13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05198643">
            <w:pPr>
              <w:spacing w:before="40" w:after="40"/>
            </w:pPr>
            <w:r>
              <w:rPr>
                <w:sz w:val="20"/>
                <w:szCs w:val="20"/>
              </w:rPr>
              <w:t>Multiline (after prior sunitinib)</w:t>
            </w:r>
          </w:p>
        </w:tc>
        <w:tc>
          <w:tcPr>
            <w:tcW w:w="14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F406CF1">
            <w:pPr>
              <w:spacing w:before="40" w:after="40"/>
            </w:pPr>
            <w:r>
              <w:rPr>
                <w:sz w:val="20"/>
                <w:szCs w:val="20"/>
              </w:rPr>
              <w:t>Nivolumab (± prior sorafenib)</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25A020A9">
            <w:pPr>
              <w:spacing w:before="40" w:after="40"/>
            </w:pPr>
            <w:r>
              <w:rPr>
                <w:sz w:val="20"/>
                <w:szCs w:val="20"/>
              </w:rPr>
              <w:t>NR</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0B11B556">
            <w:pPr>
              <w:spacing w:before="40" w:after="40"/>
            </w:pPr>
            <w:r>
              <w:rPr>
                <w:sz w:val="20"/>
                <w:szCs w:val="20"/>
              </w:rPr>
              <w:t>&gt;72 mo (&gt;6 y)</w:t>
            </w:r>
          </w:p>
        </w:tc>
        <w:tc>
          <w:tcPr>
            <w:tcW w:w="116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416651B9">
            <w:pPr>
              <w:spacing w:before="40" w:after="40"/>
            </w:pPr>
            <w:r>
              <w:rPr>
                <w:sz w:val="20"/>
                <w:szCs w:val="20"/>
              </w:rPr>
              <w:t>Ongoing CR; switch due to prior sunitinib-related proteinuria</w:t>
            </w:r>
          </w:p>
        </w:tc>
      </w:tr>
      <w:tr w14:paraId="68C1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2392D17">
            <w:pPr>
              <w:spacing w:before="40" w:after="40"/>
            </w:pPr>
            <w:r>
              <w:rPr>
                <w:sz w:val="20"/>
                <w:szCs w:val="20"/>
              </w:rPr>
              <w:t>Abe, 2024 [26]</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7683A1F8">
            <w:pPr>
              <w:spacing w:before="40" w:after="40"/>
            </w:pPr>
            <w:r>
              <w:rPr>
                <w:sz w:val="20"/>
                <w:szCs w:val="20"/>
              </w:rPr>
              <w:t>67 / F</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2E9A666">
            <w:pPr>
              <w:spacing w:before="40" w:after="40"/>
            </w:pPr>
            <w:r>
              <w:rPr>
                <w:sz w:val="20"/>
                <w:szCs w:val="20"/>
              </w:rPr>
              <w:t>Liver, peritoneum</w:t>
            </w:r>
          </w:p>
        </w:tc>
        <w:tc>
          <w:tcPr>
            <w:tcW w:w="13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48A161E8">
            <w:pPr>
              <w:spacing w:before="40" w:after="40"/>
            </w:pPr>
            <w:r>
              <w:rPr>
                <w:sz w:val="20"/>
                <w:szCs w:val="20"/>
              </w:rPr>
              <w:t>Second-line</w:t>
            </w:r>
          </w:p>
        </w:tc>
        <w:tc>
          <w:tcPr>
            <w:tcW w:w="14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7235ECBA">
            <w:pPr>
              <w:spacing w:before="40" w:after="40"/>
            </w:pPr>
            <w:r>
              <w:rPr>
                <w:sz w:val="20"/>
                <w:szCs w:val="20"/>
              </w:rPr>
              <w:t>Pembrolizumab monotherapy</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19C7878B">
            <w:pPr>
              <w:spacing w:before="40" w:after="40"/>
            </w:pPr>
            <w:r>
              <w:rPr>
                <w:sz w:val="20"/>
                <w:szCs w:val="20"/>
              </w:rPr>
              <w:t>NR</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16A7AF99">
            <w:pPr>
              <w:spacing w:before="40" w:after="40"/>
            </w:pPr>
            <w:r>
              <w:rPr>
                <w:sz w:val="20"/>
                <w:szCs w:val="20"/>
              </w:rPr>
              <w:t>&gt;60 mo (&gt;5 y)</w:t>
            </w:r>
          </w:p>
        </w:tc>
        <w:tc>
          <w:tcPr>
            <w:tcW w:w="116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A083ABA">
            <w:pPr>
              <w:spacing w:before="40" w:after="40"/>
            </w:pPr>
            <w:r>
              <w:rPr>
                <w:sz w:val="20"/>
                <w:szCs w:val="20"/>
              </w:rPr>
              <w:t>CR maintained on ongoing pembrolizumab</w:t>
            </w:r>
          </w:p>
        </w:tc>
      </w:tr>
      <w:tr w14:paraId="348DE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6D604FEB">
            <w:pPr>
              <w:spacing w:before="40" w:after="40"/>
            </w:pPr>
            <w:r>
              <w:rPr>
                <w:sz w:val="20"/>
                <w:szCs w:val="20"/>
              </w:rPr>
              <w:t>Fuu, 2022 [25]</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22E6D9F1">
            <w:pPr>
              <w:spacing w:before="40" w:after="40"/>
            </w:pPr>
            <w:r>
              <w:rPr>
                <w:sz w:val="20"/>
                <w:szCs w:val="20"/>
              </w:rPr>
              <w:t>70 / M</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0D43B7DD">
            <w:pPr>
              <w:spacing w:before="40" w:after="40"/>
            </w:pPr>
            <w:r>
              <w:rPr>
                <w:sz w:val="20"/>
                <w:szCs w:val="20"/>
              </w:rPr>
              <w:t>Lung, liver</w:t>
            </w:r>
          </w:p>
        </w:tc>
        <w:tc>
          <w:tcPr>
            <w:tcW w:w="13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79F14D6F">
            <w:pPr>
              <w:spacing w:before="40" w:after="40"/>
            </w:pPr>
            <w:r>
              <w:rPr>
                <w:sz w:val="20"/>
                <w:szCs w:val="20"/>
              </w:rPr>
              <w:t>First-line</w:t>
            </w:r>
          </w:p>
        </w:tc>
        <w:tc>
          <w:tcPr>
            <w:tcW w:w="14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9348559">
            <w:pPr>
              <w:spacing w:before="40" w:after="40"/>
            </w:pPr>
            <w:r>
              <w:rPr>
                <w:sz w:val="20"/>
                <w:szCs w:val="20"/>
              </w:rPr>
              <w:t>Nivolumab + ipilimumab</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2EEC8212">
            <w:pPr>
              <w:spacing w:before="40" w:after="40"/>
            </w:pPr>
            <w:r>
              <w:rPr>
                <w:sz w:val="20"/>
                <w:szCs w:val="20"/>
              </w:rPr>
              <w:t>&gt;10%</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4246C51B">
            <w:pPr>
              <w:spacing w:before="40" w:after="40"/>
            </w:pPr>
            <w:r>
              <w:rPr>
                <w:sz w:val="20"/>
                <w:szCs w:val="20"/>
              </w:rPr>
              <w:t>&gt;36 mo (&gt;3 y)</w:t>
            </w:r>
          </w:p>
        </w:tc>
        <w:tc>
          <w:tcPr>
            <w:tcW w:w="116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0046B1C">
            <w:pPr>
              <w:spacing w:before="40" w:after="40"/>
            </w:pPr>
            <w:r>
              <w:rPr>
                <w:sz w:val="20"/>
                <w:szCs w:val="20"/>
              </w:rPr>
              <w:t>PD-L1 high; no AE reported</w:t>
            </w:r>
          </w:p>
        </w:tc>
      </w:tr>
      <w:tr w14:paraId="52C6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426C900C">
            <w:pPr>
              <w:spacing w:before="40" w:after="40"/>
            </w:pPr>
            <w:r>
              <w:rPr>
                <w:sz w:val="20"/>
                <w:szCs w:val="20"/>
              </w:rPr>
              <w:t>Watanabe, 2019 [23]</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9DEFD9D">
            <w:pPr>
              <w:spacing w:before="40" w:after="40"/>
            </w:pPr>
            <w:r>
              <w:rPr>
                <w:sz w:val="20"/>
                <w:szCs w:val="20"/>
              </w:rPr>
              <w:t>44 / F</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AB46765">
            <w:pPr>
              <w:spacing w:before="40" w:after="40"/>
            </w:pPr>
            <w:r>
              <w:rPr>
                <w:sz w:val="20"/>
                <w:szCs w:val="20"/>
              </w:rPr>
              <w:t>Nodal</w:t>
            </w:r>
          </w:p>
        </w:tc>
        <w:tc>
          <w:tcPr>
            <w:tcW w:w="13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5EF7517">
            <w:pPr>
              <w:spacing w:before="40" w:after="40"/>
            </w:pPr>
            <w:r>
              <w:rPr>
                <w:sz w:val="20"/>
                <w:szCs w:val="20"/>
              </w:rPr>
              <w:t>First-line</w:t>
            </w:r>
          </w:p>
        </w:tc>
        <w:tc>
          <w:tcPr>
            <w:tcW w:w="14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E6BE6AB">
            <w:pPr>
              <w:spacing w:before="40" w:after="40"/>
            </w:pPr>
            <w:r>
              <w:rPr>
                <w:sz w:val="20"/>
                <w:szCs w:val="20"/>
              </w:rPr>
              <w:t>Nivolumab + ipilimumab</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6C7D1CDD">
            <w:pPr>
              <w:spacing w:before="40" w:after="40"/>
            </w:pPr>
            <w:r>
              <w:rPr>
                <w:sz w:val="20"/>
                <w:szCs w:val="20"/>
              </w:rPr>
              <w:t>NR</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16C935F6">
            <w:pPr>
              <w:spacing w:before="40" w:after="40"/>
            </w:pPr>
            <w:r>
              <w:rPr>
                <w:sz w:val="20"/>
                <w:szCs w:val="20"/>
              </w:rPr>
              <w:t>&gt;36 mo (CR duration approx.)</w:t>
            </w:r>
          </w:p>
        </w:tc>
        <w:tc>
          <w:tcPr>
            <w:tcW w:w="116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4027D298">
            <w:pPr>
              <w:spacing w:before="40" w:after="40"/>
            </w:pPr>
            <w:r>
              <w:rPr>
                <w:sz w:val="20"/>
                <w:szCs w:val="20"/>
              </w:rPr>
              <w:t>First CDC CR reported with dual ICI in first line</w:t>
            </w:r>
          </w:p>
        </w:tc>
      </w:tr>
      <w:tr w14:paraId="0169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1ECEA60">
            <w:pPr>
              <w:spacing w:before="40" w:after="40"/>
            </w:pPr>
            <w:r>
              <w:rPr>
                <w:sz w:val="20"/>
                <w:szCs w:val="20"/>
              </w:rPr>
              <w:t>Zeng, 2025 (case A) [16]</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68E836D8">
            <w:pPr>
              <w:spacing w:before="40" w:after="40"/>
            </w:pPr>
            <w:r>
              <w:rPr>
                <w:sz w:val="20"/>
                <w:szCs w:val="20"/>
              </w:rPr>
              <w:t>NR</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2F8CF1BC">
            <w:pPr>
              <w:spacing w:before="40" w:after="40"/>
            </w:pPr>
            <w:r>
              <w:rPr>
                <w:sz w:val="20"/>
                <w:szCs w:val="20"/>
              </w:rPr>
              <w:t>NR</w:t>
            </w:r>
          </w:p>
        </w:tc>
        <w:tc>
          <w:tcPr>
            <w:tcW w:w="13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4D22770A">
            <w:pPr>
              <w:spacing w:before="40" w:after="40"/>
            </w:pPr>
            <w:r>
              <w:rPr>
                <w:sz w:val="20"/>
                <w:szCs w:val="20"/>
              </w:rPr>
              <w:t>Multiline</w:t>
            </w:r>
          </w:p>
        </w:tc>
        <w:tc>
          <w:tcPr>
            <w:tcW w:w="14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E3D87E2">
            <w:pPr>
              <w:spacing w:before="40" w:after="40"/>
            </w:pPr>
            <w:r>
              <w:rPr>
                <w:sz w:val="20"/>
                <w:szCs w:val="20"/>
              </w:rPr>
              <w:t>ICI-based combination (see Wang 2025)</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992CD5B">
            <w:pPr>
              <w:spacing w:before="40" w:after="40"/>
            </w:pPr>
            <w:r>
              <w:rPr>
                <w:sz w:val="20"/>
                <w:szCs w:val="20"/>
              </w:rPr>
              <w:t>NR</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6FDCF73E">
            <w:pPr>
              <w:spacing w:before="40" w:after="40"/>
            </w:pPr>
            <w:r>
              <w:rPr>
                <w:sz w:val="20"/>
                <w:szCs w:val="20"/>
              </w:rPr>
              <w:t>&gt;56 mo</w:t>
            </w:r>
          </w:p>
        </w:tc>
        <w:tc>
          <w:tcPr>
            <w:tcW w:w="116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0B0607E7">
            <w:pPr>
              <w:spacing w:before="40" w:after="40"/>
            </w:pPr>
            <w:r>
              <w:rPr>
                <w:sz w:val="20"/>
                <w:szCs w:val="20"/>
              </w:rPr>
              <w:t>Sustained CR in ICI-based regimen</w:t>
            </w:r>
          </w:p>
        </w:tc>
      </w:tr>
      <w:tr w14:paraId="76331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5895CBE">
            <w:pPr>
              <w:spacing w:before="40" w:after="40"/>
            </w:pPr>
            <w:r>
              <w:rPr>
                <w:sz w:val="20"/>
                <w:szCs w:val="20"/>
              </w:rPr>
              <w:t>Zeng, 2025 (case B) [16]</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11B7BE1E">
            <w:pPr>
              <w:spacing w:before="40" w:after="40"/>
            </w:pPr>
            <w:r>
              <w:rPr>
                <w:sz w:val="20"/>
                <w:szCs w:val="20"/>
              </w:rPr>
              <w:t>NR</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10542B7">
            <w:pPr>
              <w:spacing w:before="40" w:after="40"/>
            </w:pPr>
            <w:r>
              <w:rPr>
                <w:sz w:val="20"/>
                <w:szCs w:val="20"/>
              </w:rPr>
              <w:t>NR</w:t>
            </w:r>
          </w:p>
        </w:tc>
        <w:tc>
          <w:tcPr>
            <w:tcW w:w="13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1DD3AB3">
            <w:pPr>
              <w:spacing w:before="40" w:after="40"/>
            </w:pPr>
            <w:r>
              <w:rPr>
                <w:sz w:val="20"/>
                <w:szCs w:val="20"/>
              </w:rPr>
              <w:t>Multiline</w:t>
            </w:r>
          </w:p>
        </w:tc>
        <w:tc>
          <w:tcPr>
            <w:tcW w:w="14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2F21C529">
            <w:pPr>
              <w:spacing w:before="40" w:after="40"/>
            </w:pPr>
            <w:r>
              <w:rPr>
                <w:sz w:val="20"/>
                <w:szCs w:val="20"/>
              </w:rPr>
              <w:t>ICI-based combination (see Wang 2025)</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D959175">
            <w:pPr>
              <w:spacing w:before="40" w:after="40"/>
            </w:pPr>
            <w:r>
              <w:rPr>
                <w:sz w:val="20"/>
                <w:szCs w:val="20"/>
              </w:rPr>
              <w:t>NR</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2DFA0DFF">
            <w:pPr>
              <w:spacing w:before="40" w:after="40"/>
            </w:pPr>
            <w:r>
              <w:rPr>
                <w:sz w:val="20"/>
                <w:szCs w:val="20"/>
              </w:rPr>
              <w:t>&gt;64 mo</w:t>
            </w:r>
          </w:p>
        </w:tc>
        <w:tc>
          <w:tcPr>
            <w:tcW w:w="116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6CF7B6F7">
            <w:pPr>
              <w:spacing w:before="40" w:after="40"/>
            </w:pPr>
            <w:r>
              <w:rPr>
                <w:sz w:val="20"/>
                <w:szCs w:val="20"/>
              </w:rPr>
              <w:t>Sustained CR in ICI-based regimen</w:t>
            </w:r>
          </w:p>
        </w:tc>
      </w:tr>
      <w:tr w14:paraId="29D5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2236A4BF">
            <w:pPr>
              <w:spacing w:before="40" w:after="40"/>
            </w:pPr>
            <w:r>
              <w:rPr>
                <w:sz w:val="20"/>
                <w:szCs w:val="20"/>
              </w:rPr>
              <w:t>Hajmusa, 2025 (context)</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255AF8D9">
            <w:pPr>
              <w:spacing w:before="40" w:after="40"/>
            </w:pPr>
            <w:r>
              <w:rPr>
                <w:sz w:val="20"/>
                <w:szCs w:val="20"/>
              </w:rPr>
              <w:t>NR / F</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2E095EEC">
            <w:pPr>
              <w:spacing w:before="40" w:after="40"/>
            </w:pPr>
            <w:r>
              <w:rPr>
                <w:sz w:val="20"/>
                <w:szCs w:val="20"/>
              </w:rPr>
              <w:t>Para-aortic node recurrence</w:t>
            </w:r>
          </w:p>
        </w:tc>
        <w:tc>
          <w:tcPr>
            <w:tcW w:w="13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388B3F27">
            <w:pPr>
              <w:spacing w:before="40" w:after="40"/>
            </w:pPr>
            <w:r>
              <w:rPr>
                <w:sz w:val="20"/>
                <w:szCs w:val="20"/>
              </w:rPr>
              <w:t>Multiline after systemic progression</w:t>
            </w:r>
          </w:p>
        </w:tc>
        <w:tc>
          <w:tcPr>
            <w:tcW w:w="14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51029694">
            <w:pPr>
              <w:spacing w:before="40" w:after="40"/>
            </w:pPr>
            <w:r>
              <w:rPr>
                <w:sz w:val="20"/>
                <w:szCs w:val="20"/>
              </w:rPr>
              <w:t>Nivolumab + SBRT (20–25 Gy/5 fx)</w:t>
            </w:r>
          </w:p>
        </w:tc>
        <w:tc>
          <w:tcPr>
            <w:tcW w:w="9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6B579CAE">
            <w:pPr>
              <w:spacing w:before="40" w:after="40"/>
            </w:pPr>
            <w:r>
              <w:rPr>
                <w:sz w:val="20"/>
                <w:szCs w:val="20"/>
              </w:rPr>
              <w:t>NR; CDKN2A homozygous deletion</w:t>
            </w:r>
          </w:p>
        </w:tc>
        <w:tc>
          <w:tcPr>
            <w:tcW w:w="110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1B22B527">
            <w:pPr>
              <w:spacing w:before="40" w:after="40"/>
            </w:pPr>
            <w:r>
              <w:rPr>
                <w:sz w:val="20"/>
                <w:szCs w:val="20"/>
              </w:rPr>
              <w:t>Ongoing metabolic CR (Jan 2025)</w:t>
            </w:r>
          </w:p>
        </w:tc>
        <w:tc>
          <w:tcPr>
            <w:tcW w:w="1160" w:type="dxa"/>
            <w:tcBorders>
              <w:top w:val="single" w:color="000000" w:sz="4" w:space="0"/>
              <w:left w:val="single" w:color="000000" w:sz="4" w:space="0"/>
              <w:bottom w:val="single" w:color="000000" w:sz="4" w:space="0"/>
              <w:right w:val="single" w:color="000000" w:sz="4" w:space="0"/>
            </w:tcBorders>
            <w:tcMar>
              <w:top w:w="80" w:type="dxa"/>
              <w:left w:w="120" w:type="dxa"/>
              <w:bottom w:w="80" w:type="dxa"/>
              <w:right w:w="120" w:type="dxa"/>
            </w:tcMar>
          </w:tcPr>
          <w:p w14:paraId="1D8C48E6">
            <w:pPr>
              <w:spacing w:before="40" w:after="40"/>
            </w:pPr>
            <w:r>
              <w:rPr>
                <w:sz w:val="20"/>
                <w:szCs w:val="20"/>
              </w:rPr>
              <w:t>Case reported post-search (Oct 2025); included here as contextual supporting evidence</w:t>
            </w:r>
          </w:p>
        </w:tc>
      </w:tr>
    </w:tbl>
    <w:p w14:paraId="7BECDCE3">
      <w:pPr>
        <w:spacing w:before="200" w:after="60"/>
      </w:pPr>
      <w:r>
        <w:rPr>
          <w:i/>
          <w:iCs/>
          <w:sz w:val="20"/>
          <w:szCs w:val="20"/>
        </w:rPr>
        <w:t>CR = complete response; CDC = collecting duct carcinoma; F = female; M = male; ICI = immune checkpoint inhibitor; NR = not reported; SBRT = stereotactic body radiotherapy; y = years; mo = months.</w:t>
      </w:r>
    </w:p>
    <w:p w14:paraId="48E2F8AF">
      <w:pPr>
        <w:spacing w:before="40" w:after="40"/>
      </w:pPr>
      <w:r>
        <w:rPr>
          <w:i/>
          <w:iCs/>
          <w:sz w:val="20"/>
          <w:szCs w:val="20"/>
        </w:rPr>
        <w:t>Note: duration of CR corresponds to the reported follow-up during which CR was maintained at the time of the latest publication; ongoing CRs may be longer than stated. The Hajmusa 2025 case is included as contextual evidence although it was published after our updated literature search (11 April 2026) and therefore was not formally included in the systematic synthesis; it is listed here for readers’ convenience given its direct relevance to the durable-response phenotype in CDC.</w:t>
      </w:r>
    </w:p>
    <w:sectPr>
      <w:pgSz w:w="12240" w:h="15840"/>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443"/>
    <w:rsid w:val="000B4443"/>
    <w:rsid w:val="005624FD"/>
    <w:rsid w:val="00B70EF3"/>
    <w:rsid w:val="17417F86"/>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2"/>
      <w:szCs w:val="22"/>
      <w:lang w:val="es-ES" w:bidi="ar-SA"/>
    </w:rPr>
  </w:style>
  <w:style w:type="paragraph" w:styleId="2">
    <w:name w:val="heading 1"/>
    <w:qFormat/>
    <w:uiPriority w:val="9"/>
    <w:pPr>
      <w:outlineLvl w:val="0"/>
    </w:pPr>
    <w:rPr>
      <w:rFonts w:ascii="Times New Roman" w:hAnsi="Times New Roman" w:eastAsia="Times New Roman" w:cs="Times New Roman"/>
      <w:color w:val="2E74B5"/>
      <w:sz w:val="32"/>
      <w:szCs w:val="32"/>
      <w:lang w:val="es-ES" w:bidi="ar-SA"/>
    </w:rPr>
  </w:style>
  <w:style w:type="paragraph" w:styleId="3">
    <w:name w:val="heading 2"/>
    <w:semiHidden/>
    <w:unhideWhenUsed/>
    <w:qFormat/>
    <w:uiPriority w:val="9"/>
    <w:pPr>
      <w:outlineLvl w:val="1"/>
    </w:pPr>
    <w:rPr>
      <w:rFonts w:ascii="Times New Roman" w:hAnsi="Times New Roman" w:eastAsia="Times New Roman" w:cs="Times New Roman"/>
      <w:color w:val="2E74B5"/>
      <w:sz w:val="26"/>
      <w:szCs w:val="26"/>
      <w:lang w:val="es-ES" w:bidi="ar-SA"/>
    </w:rPr>
  </w:style>
  <w:style w:type="paragraph" w:styleId="4">
    <w:name w:val="heading 3"/>
    <w:semiHidden/>
    <w:unhideWhenUsed/>
    <w:qFormat/>
    <w:uiPriority w:val="9"/>
    <w:pPr>
      <w:outlineLvl w:val="2"/>
    </w:pPr>
    <w:rPr>
      <w:rFonts w:ascii="Times New Roman" w:hAnsi="Times New Roman" w:eastAsia="Times New Roman" w:cs="Times New Roman"/>
      <w:color w:val="1F4D78"/>
      <w:sz w:val="24"/>
      <w:szCs w:val="24"/>
      <w:lang w:val="es-ES" w:bidi="ar-SA"/>
    </w:rPr>
  </w:style>
  <w:style w:type="paragraph" w:styleId="5">
    <w:name w:val="heading 4"/>
    <w:semiHidden/>
    <w:unhideWhenUsed/>
    <w:qFormat/>
    <w:uiPriority w:val="9"/>
    <w:pPr>
      <w:outlineLvl w:val="3"/>
    </w:pPr>
    <w:rPr>
      <w:rFonts w:ascii="Times New Roman" w:hAnsi="Times New Roman" w:eastAsia="Times New Roman" w:cs="Times New Roman"/>
      <w:i/>
      <w:iCs/>
      <w:color w:val="2E74B5"/>
      <w:sz w:val="22"/>
      <w:szCs w:val="22"/>
      <w:lang w:val="es-ES" w:bidi="ar-SA"/>
    </w:rPr>
  </w:style>
  <w:style w:type="paragraph" w:styleId="6">
    <w:name w:val="heading 5"/>
    <w:semiHidden/>
    <w:unhideWhenUsed/>
    <w:qFormat/>
    <w:uiPriority w:val="9"/>
    <w:pPr>
      <w:outlineLvl w:val="4"/>
    </w:pPr>
    <w:rPr>
      <w:rFonts w:ascii="Times New Roman" w:hAnsi="Times New Roman" w:eastAsia="Times New Roman" w:cs="Times New Roman"/>
      <w:color w:val="2E74B5"/>
      <w:sz w:val="22"/>
      <w:szCs w:val="22"/>
      <w:lang w:val="es-ES" w:bidi="ar-SA"/>
    </w:rPr>
  </w:style>
  <w:style w:type="paragraph" w:styleId="7">
    <w:name w:val="heading 6"/>
    <w:semiHidden/>
    <w:unhideWhenUsed/>
    <w:qFormat/>
    <w:uiPriority w:val="9"/>
    <w:pPr>
      <w:outlineLvl w:val="5"/>
    </w:pPr>
    <w:rPr>
      <w:rFonts w:ascii="Times New Roman" w:hAnsi="Times New Roman" w:eastAsia="Times New Roman" w:cs="Times New Roman"/>
      <w:color w:val="1F4D78"/>
      <w:sz w:val="22"/>
      <w:szCs w:val="22"/>
      <w:lang w:val="es-ES"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8">
    <w:name w:val="endnote text"/>
    <w:link w:val="19"/>
    <w:semiHidden/>
    <w:unhideWhenUsed/>
    <w:uiPriority w:val="99"/>
    <w:rPr>
      <w:rFonts w:ascii="Times New Roman" w:hAnsi="Times New Roman" w:eastAsia="Times New Roman" w:cs="Times New Roman"/>
      <w:sz w:val="20"/>
      <w:szCs w:val="20"/>
      <w:lang w:val="es-ES" w:bidi="ar-SA"/>
    </w:rPr>
  </w:style>
  <w:style w:type="paragraph" w:styleId="9">
    <w:name w:val="footnote text"/>
    <w:link w:val="18"/>
    <w:semiHidden/>
    <w:unhideWhenUsed/>
    <w:qFormat/>
    <w:uiPriority w:val="99"/>
    <w:rPr>
      <w:rFonts w:ascii="Times New Roman" w:hAnsi="Times New Roman" w:eastAsia="Times New Roman" w:cs="Times New Roman"/>
      <w:sz w:val="20"/>
      <w:szCs w:val="20"/>
      <w:lang w:val="es-ES" w:bidi="ar-SA"/>
    </w:rPr>
  </w:style>
  <w:style w:type="paragraph" w:styleId="10">
    <w:name w:val="Title"/>
    <w:qFormat/>
    <w:uiPriority w:val="10"/>
    <w:rPr>
      <w:rFonts w:ascii="Times New Roman" w:hAnsi="Times New Roman" w:eastAsia="Times New Roman" w:cs="Times New Roman"/>
      <w:sz w:val="56"/>
      <w:szCs w:val="56"/>
      <w:lang w:val="es-ES" w:bidi="ar-SA"/>
    </w:rPr>
  </w:style>
  <w:style w:type="character" w:styleId="13">
    <w:name w:val="endnote reference"/>
    <w:semiHidden/>
    <w:unhideWhenUsed/>
    <w:uiPriority w:val="99"/>
    <w:rPr>
      <w:vertAlign w:val="superscript"/>
    </w:rPr>
  </w:style>
  <w:style w:type="character" w:styleId="14">
    <w:name w:val="Hyperlink"/>
    <w:unhideWhenUsed/>
    <w:uiPriority w:val="99"/>
    <w:rPr>
      <w:color w:val="0563C1"/>
      <w:u w:val="single"/>
    </w:rPr>
  </w:style>
  <w:style w:type="character" w:styleId="15">
    <w:name w:val="footnote reference"/>
    <w:semiHidden/>
    <w:unhideWhenUsed/>
    <w:uiPriority w:val="99"/>
    <w:rPr>
      <w:vertAlign w:val="superscript"/>
    </w:rPr>
  </w:style>
  <w:style w:type="paragraph" w:customStyle="1" w:styleId="16">
    <w:name w:val="Fuerte1"/>
    <w:qFormat/>
    <w:uiPriority w:val="0"/>
    <w:rPr>
      <w:rFonts w:ascii="Times New Roman" w:hAnsi="Times New Roman" w:eastAsia="Times New Roman" w:cs="Times New Roman"/>
      <w:b/>
      <w:bCs/>
      <w:sz w:val="22"/>
      <w:szCs w:val="22"/>
      <w:lang w:val="es-ES" w:bidi="ar-SA"/>
    </w:rPr>
  </w:style>
  <w:style w:type="paragraph" w:styleId="17">
    <w:name w:val="List Paragraph"/>
    <w:qFormat/>
    <w:uiPriority w:val="0"/>
    <w:rPr>
      <w:rFonts w:ascii="Times New Roman" w:hAnsi="Times New Roman" w:eastAsia="Times New Roman" w:cs="Times New Roman"/>
      <w:sz w:val="22"/>
      <w:szCs w:val="22"/>
      <w:lang w:val="es-ES" w:bidi="ar-SA"/>
    </w:rPr>
  </w:style>
  <w:style w:type="character" w:customStyle="1" w:styleId="18">
    <w:name w:val="Texto nota pie Car"/>
    <w:link w:val="9"/>
    <w:semiHidden/>
    <w:unhideWhenUsed/>
    <w:qFormat/>
    <w:uiPriority w:val="99"/>
    <w:rPr>
      <w:sz w:val="20"/>
      <w:szCs w:val="20"/>
    </w:rPr>
  </w:style>
  <w:style w:type="character" w:customStyle="1" w:styleId="19">
    <w:name w:val="Texto nota al final C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Pages>
  <Words>334</Words>
  <Characters>1746</Characters>
  <Lines>159</Lines>
  <Paragraphs>77</Paragraphs>
  <TotalTime>1</TotalTime>
  <ScaleCrop>false</ScaleCrop>
  <LinksUpToDate>false</LinksUpToDate>
  <CharactersWithSpaces>2013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2026-04-20T11:52:00Z</dcterms:created>
  <dc:creator>Un-named</dc:creator>
  <cp:lastModifiedBy>Mia Du</cp:lastModifiedBy>
  <dcterms:modified xsi:type="dcterms:W3CDTF">2026-05-27T07:34:01Z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5C738D338AAD46FF928BE8C31D094266_13</vt:lpwstr>
  </property>
</Properties>
</file>