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44F20" w14:textId="1A09737B" w:rsidR="004B6491" w:rsidRPr="00FE5B51" w:rsidRDefault="00796DD9" w:rsidP="00796DD9">
      <w:pPr>
        <w:pStyle w:val="TSP41tablecaption"/>
        <w:jc w:val="center"/>
        <w:rPr>
          <w:rFonts w:eastAsiaTheme="minorEastAsia" w:cs="Times New Roman"/>
          <w:b/>
          <w:bCs/>
        </w:rPr>
      </w:pPr>
      <w:r w:rsidRPr="00FE5B51">
        <w:rPr>
          <w:b/>
        </w:rPr>
        <w:t xml:space="preserve">Supplementary Table S1: </w:t>
      </w:r>
      <w:r w:rsidRPr="00FE5B51">
        <w:t>Response outcomes among patients with evaluable imaging data</w:t>
      </w:r>
      <w:r w:rsidR="00000000" w:rsidRPr="00FE5B51">
        <w:t>.</w:t>
      </w:r>
    </w:p>
    <w:tbl>
      <w:tblPr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7"/>
        <w:gridCol w:w="1687"/>
        <w:gridCol w:w="1689"/>
        <w:gridCol w:w="1687"/>
      </w:tblGrid>
      <w:tr w:rsidR="004B6491" w:rsidRPr="00FE5B51" w14:paraId="579F3DD3" w14:textId="77777777" w:rsidTr="00FE5B51">
        <w:trPr>
          <w:jc w:val="center"/>
        </w:trPr>
        <w:tc>
          <w:tcPr>
            <w:tcW w:w="229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7C2955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Variable</w:t>
            </w:r>
          </w:p>
        </w:tc>
        <w:tc>
          <w:tcPr>
            <w:tcW w:w="901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4A9040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Pmab (n = 59)</w:t>
            </w: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8CB014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Cet (n = 54)</w:t>
            </w:r>
          </w:p>
        </w:tc>
        <w:tc>
          <w:tcPr>
            <w:tcW w:w="901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4BDE62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Bev (n = 47)</w:t>
            </w:r>
          </w:p>
        </w:tc>
      </w:tr>
      <w:tr w:rsidR="004B6491" w:rsidRPr="00FE5B51" w14:paraId="25B5C1E5" w14:textId="77777777" w:rsidTr="00FE5B51">
        <w:trPr>
          <w:jc w:val="center"/>
        </w:trPr>
        <w:tc>
          <w:tcPr>
            <w:tcW w:w="2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3BAF8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Median imaging interval, months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88479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3.7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F01A1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4.3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E5813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3.8</w:t>
            </w:r>
          </w:p>
        </w:tc>
      </w:tr>
      <w:tr w:rsidR="004B6491" w:rsidRPr="00FE5B51" w14:paraId="5E8150FE" w14:textId="77777777" w:rsidTr="00FE5B51">
        <w:trPr>
          <w:jc w:val="center"/>
        </w:trPr>
        <w:tc>
          <w:tcPr>
            <w:tcW w:w="2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C44BC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Median number of imaging assessments during first-line therapy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5B245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3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4CFF8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2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B1AD7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2</w:t>
            </w:r>
          </w:p>
        </w:tc>
      </w:tr>
      <w:tr w:rsidR="004B6491" w:rsidRPr="00FE5B51" w14:paraId="49031BAA" w14:textId="77777777" w:rsidTr="00FE5B51">
        <w:trPr>
          <w:jc w:val="center"/>
        </w:trPr>
        <w:tc>
          <w:tcPr>
            <w:tcW w:w="2295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20D0488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Median time to best response (nadir), months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8738A3B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7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38AD572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8.5</w:t>
            </w:r>
          </w:p>
        </w:tc>
        <w:tc>
          <w:tcPr>
            <w:tcW w:w="90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02B5259" w14:textId="77777777" w:rsidR="004B6491" w:rsidRPr="00FE5B51" w:rsidRDefault="00000000" w:rsidP="00FE5B51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FE5B51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8.4</w:t>
            </w:r>
          </w:p>
        </w:tc>
      </w:tr>
    </w:tbl>
    <w:p w14:paraId="17492200" w14:textId="05E46BA3" w:rsidR="004B6491" w:rsidRPr="00FE5B51" w:rsidRDefault="00000000">
      <w:pPr>
        <w:rPr>
          <w:rFonts w:ascii="Minion Pro" w:hAnsi="Minion Pro"/>
          <w:sz w:val="22"/>
        </w:rPr>
      </w:pPr>
      <w:r w:rsidRPr="00FE5B51">
        <w:rPr>
          <w:rFonts w:ascii="Minion Pro" w:hAnsi="Minion Pro"/>
          <w:sz w:val="22"/>
        </w:rPr>
        <w:t>Pmab, panitumumab; Cet, cetuximab; Bev, bevacizumab.</w:t>
      </w:r>
    </w:p>
    <w:p w14:paraId="6BAA1A49" w14:textId="77777777" w:rsidR="004B6491" w:rsidRPr="00FE5B51" w:rsidRDefault="00000000">
      <w:pPr>
        <w:rPr>
          <w:rFonts w:ascii="Minion Pro" w:eastAsiaTheme="minorEastAsia" w:hAnsi="Minion Pro" w:cs="Arial"/>
          <w:b/>
          <w:sz w:val="22"/>
        </w:rPr>
      </w:pPr>
      <w:r w:rsidRPr="00FE5B51">
        <w:rPr>
          <w:rFonts w:ascii="Minion Pro" w:hAnsi="Minion Pro"/>
          <w:sz w:val="22"/>
        </w:rPr>
        <w:t>Patients without available post-treatment imaging or measurable target lesions were excluded from this analysis. Not evaluable imaging data, 81 (33.6%)</w:t>
      </w:r>
    </w:p>
    <w:p w14:paraId="5C7D720B" w14:textId="60BDDE23" w:rsidR="00796DD9" w:rsidRPr="00FE5B51" w:rsidRDefault="00796DD9">
      <w:pPr>
        <w:widowControl/>
        <w:spacing w:line="240" w:lineRule="auto"/>
        <w:rPr>
          <w:rFonts w:ascii="Minion Pro" w:eastAsiaTheme="minorEastAsia" w:hAnsi="Minion Pro" w:cs="Arial"/>
          <w:b/>
          <w:sz w:val="22"/>
        </w:rPr>
      </w:pPr>
      <w:r w:rsidRPr="00FE5B51">
        <w:rPr>
          <w:rFonts w:ascii="Minion Pro" w:eastAsiaTheme="minorEastAsia" w:hAnsi="Minion Pro" w:cs="Arial"/>
          <w:b/>
          <w:sz w:val="22"/>
        </w:rPr>
        <w:br w:type="page"/>
      </w:r>
    </w:p>
    <w:p w14:paraId="1CCD6F33" w14:textId="30987B4E" w:rsidR="004B6491" w:rsidRPr="00FE5B51" w:rsidRDefault="00FE5B51" w:rsidP="00FE5B51">
      <w:pPr>
        <w:pStyle w:val="TSP41tablecaption"/>
        <w:jc w:val="center"/>
        <w:rPr>
          <w:rFonts w:eastAsiaTheme="minorEastAsia"/>
        </w:rPr>
      </w:pPr>
      <w:r w:rsidRPr="00FE5B51">
        <w:rPr>
          <w:rFonts w:eastAsiaTheme="minorEastAsia"/>
          <w:b/>
        </w:rPr>
        <w:lastRenderedPageBreak/>
        <w:t xml:space="preserve">Supplementary Table S2: </w:t>
      </w:r>
      <w:r w:rsidRPr="00FE5B51">
        <w:rPr>
          <w:rFonts w:eastAsiaTheme="minorEastAsia"/>
        </w:rPr>
        <w:t>Surgical and perioperative outcomes among patients undergoing conversion surgery.</w:t>
      </w:r>
    </w:p>
    <w:tbl>
      <w:tblPr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1"/>
        <w:gridCol w:w="2495"/>
        <w:gridCol w:w="1717"/>
        <w:gridCol w:w="2027"/>
      </w:tblGrid>
      <w:tr w:rsidR="004B6491" w:rsidRPr="00B15BE7" w14:paraId="7B00D493" w14:textId="77777777" w:rsidTr="00B15BE7">
        <w:trPr>
          <w:jc w:val="center"/>
        </w:trPr>
        <w:tc>
          <w:tcPr>
            <w:tcW w:w="166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CB13FE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Variable</w:t>
            </w:r>
          </w:p>
        </w:tc>
        <w:tc>
          <w:tcPr>
            <w:tcW w:w="13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CAA608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 xml:space="preserve">Pmab </w:t>
            </w:r>
          </w:p>
        </w:tc>
        <w:tc>
          <w:tcPr>
            <w:tcW w:w="91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504191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Cet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F04E84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Bev</w:t>
            </w:r>
          </w:p>
        </w:tc>
      </w:tr>
      <w:tr w:rsidR="004B6491" w:rsidRPr="00B15BE7" w14:paraId="76462F5D" w14:textId="77777777" w:rsidTr="00B15BE7">
        <w:trPr>
          <w:jc w:val="center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7F534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Conversion surgery, n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6A8BB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19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3C36F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14</w:t>
            </w: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D4753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6</w:t>
            </w:r>
          </w:p>
        </w:tc>
      </w:tr>
      <w:tr w:rsidR="004B6491" w:rsidRPr="00B15BE7" w14:paraId="17C6F585" w14:textId="77777777" w:rsidTr="00B15BE7">
        <w:trPr>
          <w:jc w:val="center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3F86B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Time to surgery, median months (range)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27F8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6.2 (3.2–14.1)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01BC1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6.2 (2.7–13.4)</w:t>
            </w: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5799A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7.2 (2.5–12.8)</w:t>
            </w:r>
          </w:p>
        </w:tc>
      </w:tr>
      <w:tr w:rsidR="004B6491" w:rsidRPr="00B15BE7" w14:paraId="5082DBB2" w14:textId="77777777" w:rsidTr="00B15BE7">
        <w:trPr>
          <w:jc w:val="center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5AA5C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等线" w:hAnsi="Minion Pro" w:cs="Times New Roman"/>
                <w:kern w:val="0"/>
                <w:sz w:val="20"/>
                <w:szCs w:val="24"/>
                <w:lang w:eastAsia="zh-CN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Minor hepatectomy</w:t>
            </w:r>
            <w:r w:rsidRPr="00B15BE7">
              <w:rPr>
                <w:rFonts w:ascii="Minion Pro" w:eastAsia="等线" w:hAnsi="Minion Pro" w:cs="Times New Roman" w:hint="eastAsia"/>
                <w:kern w:val="0"/>
                <w:sz w:val="20"/>
                <w:szCs w:val="24"/>
                <w:lang w:eastAsia="zh-CN"/>
              </w:rPr>
              <w:t>, n(%)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56A5C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12 (63.1%)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E0438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6 (42.6%)</w:t>
            </w: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4A60C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2 (33.3%)</w:t>
            </w:r>
          </w:p>
        </w:tc>
      </w:tr>
      <w:tr w:rsidR="004B6491" w:rsidRPr="00B15BE7" w14:paraId="04F805D1" w14:textId="77777777" w:rsidTr="00B15BE7">
        <w:trPr>
          <w:jc w:val="center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3247D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Major hepatectomy</w:t>
            </w:r>
            <w:r w:rsidRPr="00B15BE7">
              <w:rPr>
                <w:rFonts w:ascii="Minion Pro" w:eastAsia="等线" w:hAnsi="Minion Pro" w:cs="Times New Roman" w:hint="eastAsia"/>
                <w:kern w:val="0"/>
                <w:sz w:val="20"/>
                <w:szCs w:val="24"/>
                <w:lang w:eastAsia="zh-CN"/>
              </w:rPr>
              <w:t>, n(%)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BADAC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6 (31.6%)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2664B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8 (57.4%)</w:t>
            </w: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B17AB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3 (50.0%)</w:t>
            </w:r>
          </w:p>
        </w:tc>
      </w:tr>
      <w:tr w:rsidR="004B6491" w:rsidRPr="00B15BE7" w14:paraId="1778031E" w14:textId="77777777" w:rsidTr="00B15BE7">
        <w:trPr>
          <w:jc w:val="center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3DECB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Radiofrequency ablation (RFA)</w:t>
            </w:r>
            <w:r w:rsidRPr="00B15BE7">
              <w:rPr>
                <w:rFonts w:ascii="Minion Pro" w:eastAsia="等线" w:hAnsi="Minion Pro" w:cs="Times New Roman" w:hint="eastAsia"/>
                <w:kern w:val="0"/>
                <w:sz w:val="20"/>
                <w:szCs w:val="24"/>
                <w:lang w:eastAsia="zh-CN"/>
              </w:rPr>
              <w:t>, n(%)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6F09B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 (5.3%)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9427F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0 (0%)</w:t>
            </w: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8FA52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 (16.7%)</w:t>
            </w:r>
          </w:p>
        </w:tc>
      </w:tr>
      <w:tr w:rsidR="004B6491" w:rsidRPr="00B15BE7" w14:paraId="4F4F4D5D" w14:textId="77777777" w:rsidTr="00B15BE7">
        <w:trPr>
          <w:jc w:val="center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C5BF4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R0 resection</w:t>
            </w:r>
            <w:r w:rsidRPr="00B15BE7">
              <w:rPr>
                <w:rFonts w:ascii="Minion Pro" w:eastAsia="等线" w:hAnsi="Minion Pro" w:cs="Times New Roman" w:hint="eastAsia"/>
                <w:kern w:val="0"/>
                <w:sz w:val="20"/>
                <w:szCs w:val="24"/>
                <w:lang w:eastAsia="zh-CN"/>
              </w:rPr>
              <w:t>, n(%)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09979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9 (47.4%)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C9E49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4 (28.6%)</w:t>
            </w: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11C80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3 (50.0%)</w:t>
            </w:r>
          </w:p>
        </w:tc>
      </w:tr>
      <w:tr w:rsidR="004B6491" w:rsidRPr="00B15BE7" w14:paraId="13AC984D" w14:textId="77777777" w:rsidTr="00B15BE7">
        <w:trPr>
          <w:jc w:val="center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7D415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R1 resection</w:t>
            </w:r>
            <w:r w:rsidRPr="00B15BE7">
              <w:rPr>
                <w:rFonts w:ascii="Minion Pro" w:eastAsia="等线" w:hAnsi="Minion Pro" w:cs="Times New Roman" w:hint="eastAsia"/>
                <w:kern w:val="0"/>
                <w:sz w:val="20"/>
                <w:szCs w:val="24"/>
                <w:lang w:eastAsia="zh-CN"/>
              </w:rPr>
              <w:t>, n(%)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007AA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10 (52.6%)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2DD06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10 (71.4%)</w:t>
            </w: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607F8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3 (50.0%)</w:t>
            </w:r>
          </w:p>
        </w:tc>
      </w:tr>
      <w:tr w:rsidR="004B6491" w:rsidRPr="00B15BE7" w14:paraId="7C747791" w14:textId="77777777" w:rsidTr="00B15BE7">
        <w:trPr>
          <w:jc w:val="center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B8854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Major postoperative complication</w:t>
            </w:r>
            <w:r w:rsidRPr="00B15BE7">
              <w:rPr>
                <w:rFonts w:ascii="Minion Pro" w:eastAsia="等线" w:hAnsi="Minion Pro" w:cs="Times New Roman" w:hint="eastAsia"/>
                <w:kern w:val="0"/>
                <w:sz w:val="20"/>
                <w:szCs w:val="24"/>
                <w:lang w:eastAsia="zh-CN"/>
              </w:rPr>
              <w:t>, n(%)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9EDDC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3 (15.8%)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6E79E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3 (21.4%)</w:t>
            </w: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051F2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2 (33.3%)</w:t>
            </w:r>
          </w:p>
        </w:tc>
      </w:tr>
      <w:tr w:rsidR="004B6491" w:rsidRPr="00B15BE7" w14:paraId="1BA9DE1D" w14:textId="77777777" w:rsidTr="00B15BE7">
        <w:trPr>
          <w:jc w:val="center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C00E5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Extrahepatic disease at surgery</w:t>
            </w:r>
            <w:r w:rsidRPr="00B15BE7">
              <w:rPr>
                <w:rFonts w:ascii="Minion Pro" w:eastAsia="等线" w:hAnsi="Minion Pro" w:cs="Times New Roman" w:hint="eastAsia"/>
                <w:kern w:val="0"/>
                <w:sz w:val="20"/>
                <w:szCs w:val="24"/>
                <w:lang w:eastAsia="zh-CN"/>
              </w:rPr>
              <w:t>, n(%)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B178D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0 (0%)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34533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0 (0%)</w:t>
            </w: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2B296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0 (0%)</w:t>
            </w:r>
          </w:p>
        </w:tc>
      </w:tr>
      <w:tr w:rsidR="004B6491" w:rsidRPr="00B15BE7" w14:paraId="278473EE" w14:textId="77777777" w:rsidTr="00B15BE7">
        <w:trPr>
          <w:jc w:val="center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ACC29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Recurrence pattern, n(%)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721A1" w14:textId="77777777" w:rsidR="004B6491" w:rsidRPr="00B15BE7" w:rsidRDefault="004B6491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E412" w14:textId="77777777" w:rsidR="004B6491" w:rsidRPr="00B15BE7" w:rsidRDefault="004B6491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hAnsi="Minion Pro" w:cs="Times New Roman"/>
                <w:kern w:val="0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7646C" w14:textId="77777777" w:rsidR="004B6491" w:rsidRPr="00B15BE7" w:rsidRDefault="004B6491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hAnsi="Minion Pro" w:cs="Times New Roman"/>
                <w:kern w:val="0"/>
                <w:sz w:val="20"/>
                <w:szCs w:val="20"/>
              </w:rPr>
            </w:pPr>
          </w:p>
        </w:tc>
      </w:tr>
      <w:tr w:rsidR="004B6491" w:rsidRPr="00B15BE7" w14:paraId="7EFFCA0E" w14:textId="77777777" w:rsidTr="00B15BE7">
        <w:trPr>
          <w:jc w:val="center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02C22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Liver recurrence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9D072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14 (73.7%)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E72D2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6 (42.6%)</w:t>
            </w: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787C0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2 (33.3%)</w:t>
            </w:r>
          </w:p>
        </w:tc>
      </w:tr>
      <w:tr w:rsidR="004B6491" w:rsidRPr="00B15BE7" w14:paraId="4CAE72D1" w14:textId="77777777" w:rsidTr="00B15BE7">
        <w:trPr>
          <w:jc w:val="center"/>
        </w:trPr>
        <w:tc>
          <w:tcPr>
            <w:tcW w:w="166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5F77E49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Extrahepatic recurrence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2B49274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 (5.3%)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463677A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5 (35.7%)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4856632" w14:textId="77777777" w:rsidR="004B6491" w:rsidRPr="00B15BE7" w:rsidRDefault="00000000" w:rsidP="00B15BE7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B15BE7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0 (0%)</w:t>
            </w:r>
          </w:p>
        </w:tc>
      </w:tr>
    </w:tbl>
    <w:p w14:paraId="5B778FEB" w14:textId="676914DE" w:rsidR="004B6491" w:rsidRPr="00FE5B51" w:rsidRDefault="00000000">
      <w:pPr>
        <w:spacing w:line="240" w:lineRule="auto"/>
        <w:rPr>
          <w:rFonts w:ascii="Minion Pro" w:eastAsiaTheme="minorEastAsia" w:hAnsi="Minion Pro" w:cs="Times New Roman"/>
          <w:sz w:val="22"/>
        </w:rPr>
      </w:pPr>
      <w:r w:rsidRPr="00FE5B51">
        <w:rPr>
          <w:rFonts w:ascii="Minion Pro" w:eastAsiaTheme="minorEastAsia" w:hAnsi="Minion Pro" w:cs="Times New Roman"/>
          <w:sz w:val="22"/>
        </w:rPr>
        <w:t>Pmab, panitumumab; Cet, cetuximab; Bev, bevacizumab; RFA, radiofrequency ablation.</w:t>
      </w:r>
    </w:p>
    <w:p w14:paraId="14D91BF7" w14:textId="72053146" w:rsidR="00796DD9" w:rsidRPr="00FE5B51" w:rsidRDefault="00796DD9">
      <w:pPr>
        <w:widowControl/>
        <w:spacing w:line="240" w:lineRule="auto"/>
        <w:rPr>
          <w:rFonts w:ascii="Minion Pro" w:eastAsiaTheme="minorEastAsia" w:hAnsi="Minion Pro" w:cs="Times New Roman"/>
          <w:sz w:val="22"/>
        </w:rPr>
      </w:pPr>
      <w:r w:rsidRPr="00FE5B51">
        <w:rPr>
          <w:rFonts w:ascii="Minion Pro" w:eastAsiaTheme="minorEastAsia" w:hAnsi="Minion Pro" w:cs="Times New Roman"/>
          <w:sz w:val="22"/>
        </w:rPr>
        <w:br w:type="page"/>
      </w:r>
    </w:p>
    <w:p w14:paraId="3B735076" w14:textId="683AA30B" w:rsidR="004B6491" w:rsidRPr="009A71FB" w:rsidRDefault="00474117" w:rsidP="00474117">
      <w:pPr>
        <w:pStyle w:val="TSP41tablecaption"/>
        <w:jc w:val="center"/>
        <w:rPr>
          <w:rFonts w:eastAsiaTheme="minorEastAsia"/>
        </w:rPr>
      </w:pPr>
      <w:bookmarkStart w:id="0" w:name="OLE_LINK2"/>
      <w:r w:rsidRPr="00474117">
        <w:rPr>
          <w:b/>
          <w:bCs/>
        </w:rPr>
        <w:lastRenderedPageBreak/>
        <w:t xml:space="preserve">Supplementary Table S3: </w:t>
      </w:r>
      <w:r w:rsidRPr="00474117">
        <w:t>First</w:t>
      </w:r>
      <w:r w:rsidR="00000000" w:rsidRPr="00474117">
        <w:t>-</w:t>
      </w:r>
      <w:r w:rsidRPr="009A71FB">
        <w:t>line treatment exposure characteristics and subsequent therapy distribution.</w:t>
      </w:r>
    </w:p>
    <w:tbl>
      <w:tblPr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6"/>
        <w:gridCol w:w="1904"/>
        <w:gridCol w:w="1745"/>
        <w:gridCol w:w="1745"/>
      </w:tblGrid>
      <w:tr w:rsidR="004B6491" w:rsidRPr="00886D0F" w14:paraId="63514F66" w14:textId="77777777" w:rsidTr="00886D0F">
        <w:trPr>
          <w:jc w:val="center"/>
        </w:trPr>
        <w:tc>
          <w:tcPr>
            <w:tcW w:w="2119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E2884C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Variable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93A5BF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Pmab (n = 76)</w:t>
            </w:r>
          </w:p>
        </w:tc>
        <w:tc>
          <w:tcPr>
            <w:tcW w:w="93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4A7DEF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Cet (n = 80)</w:t>
            </w:r>
          </w:p>
        </w:tc>
        <w:tc>
          <w:tcPr>
            <w:tcW w:w="9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CE02E0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Bev (n = 85)</w:t>
            </w:r>
          </w:p>
        </w:tc>
      </w:tr>
      <w:tr w:rsidR="004B6491" w:rsidRPr="00886D0F" w14:paraId="6F589FFC" w14:textId="77777777" w:rsidTr="00886D0F">
        <w:trPr>
          <w:jc w:val="center"/>
        </w:trPr>
        <w:tc>
          <w:tcPr>
            <w:tcW w:w="21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FD7FE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Median number of treatment cycles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E003F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10.5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C239E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F16C0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12</w:t>
            </w:r>
          </w:p>
        </w:tc>
      </w:tr>
      <w:tr w:rsidR="004B6491" w:rsidRPr="00886D0F" w14:paraId="0D297AF4" w14:textId="77777777" w:rsidTr="00886D0F">
        <w:trPr>
          <w:jc w:val="center"/>
        </w:trPr>
        <w:tc>
          <w:tcPr>
            <w:tcW w:w="21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E7764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Median duration of first-line therapy, months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70014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12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B0DC8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10.6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C77B8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9</w:t>
            </w:r>
          </w:p>
        </w:tc>
      </w:tr>
      <w:tr w:rsidR="004B6491" w:rsidRPr="00886D0F" w14:paraId="3588AEDF" w14:textId="77777777" w:rsidTr="00886D0F">
        <w:trPr>
          <w:jc w:val="center"/>
        </w:trPr>
        <w:tc>
          <w:tcPr>
            <w:tcW w:w="21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EA375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Maintenance therapy, n (%)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1778D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23 (30.3%)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430F7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3 (3.8%)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75E47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9 (10.6%)</w:t>
            </w:r>
          </w:p>
        </w:tc>
      </w:tr>
      <w:tr w:rsidR="004B6491" w:rsidRPr="00886D0F" w14:paraId="0B0D9DF3" w14:textId="77777777" w:rsidTr="00886D0F">
        <w:trPr>
          <w:jc w:val="center"/>
        </w:trPr>
        <w:tc>
          <w:tcPr>
            <w:tcW w:w="21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97C20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Cs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bCs/>
                <w:kern w:val="0"/>
                <w:sz w:val="20"/>
                <w:szCs w:val="24"/>
              </w:rPr>
              <w:t>Subsequent therapy, n (%)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BACAC" w14:textId="77777777" w:rsidR="004B6491" w:rsidRPr="00886D0F" w:rsidRDefault="004B6491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Cs/>
                <w:kern w:val="0"/>
                <w:sz w:val="20"/>
                <w:szCs w:val="24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BFC2F" w14:textId="77777777" w:rsidR="004B6491" w:rsidRPr="00886D0F" w:rsidRDefault="004B6491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hAnsi="Minion Pro" w:cs="Times New Roman"/>
                <w:kern w:val="0"/>
                <w:sz w:val="20"/>
                <w:szCs w:val="20"/>
              </w:rPr>
            </w:pP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6454F" w14:textId="77777777" w:rsidR="004B6491" w:rsidRPr="00886D0F" w:rsidRDefault="004B6491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hAnsi="Minion Pro" w:cs="Times New Roman"/>
                <w:kern w:val="0"/>
                <w:sz w:val="20"/>
                <w:szCs w:val="20"/>
              </w:rPr>
            </w:pPr>
          </w:p>
        </w:tc>
      </w:tr>
      <w:tr w:rsidR="004B6491" w:rsidRPr="00886D0F" w14:paraId="73475533" w14:textId="77777777" w:rsidTr="00886D0F">
        <w:trPr>
          <w:jc w:val="center"/>
        </w:trPr>
        <w:tc>
          <w:tcPr>
            <w:tcW w:w="21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13A3D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Received second-line therapy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3EA2A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31 (40.8%)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B02FC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24 (30.0%)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E3A17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24 (28.2%)</w:t>
            </w:r>
          </w:p>
        </w:tc>
      </w:tr>
      <w:tr w:rsidR="004B6491" w:rsidRPr="00886D0F" w14:paraId="4E4024ED" w14:textId="77777777" w:rsidTr="00886D0F">
        <w:trPr>
          <w:jc w:val="center"/>
        </w:trPr>
        <w:tc>
          <w:tcPr>
            <w:tcW w:w="211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29C855C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Received third-line or later therapy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9B4C968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15 (19.7%)</w:t>
            </w:r>
          </w:p>
        </w:tc>
        <w:tc>
          <w:tcPr>
            <w:tcW w:w="93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79F49FC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25 (31.3%)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4E63305" w14:textId="77777777" w:rsidR="004B6491" w:rsidRPr="00886D0F" w:rsidRDefault="00000000" w:rsidP="00886D0F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886D0F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27 (31.8%)</w:t>
            </w:r>
          </w:p>
        </w:tc>
      </w:tr>
    </w:tbl>
    <w:bookmarkEnd w:id="0"/>
    <w:p w14:paraId="0DD57756" w14:textId="3867D1BD" w:rsidR="004B6491" w:rsidRPr="00FE5B51" w:rsidRDefault="00000000">
      <w:pPr>
        <w:rPr>
          <w:rFonts w:ascii="Minion Pro" w:hAnsi="Minion Pro"/>
          <w:sz w:val="22"/>
        </w:rPr>
      </w:pPr>
      <w:r w:rsidRPr="00FE5B51">
        <w:rPr>
          <w:rFonts w:ascii="Minion Pro" w:hAnsi="Minion Pro"/>
          <w:sz w:val="22"/>
        </w:rPr>
        <w:t>Pmab, panitumumab; Cet, cetuximab; Bev, bevacizumab.</w:t>
      </w:r>
    </w:p>
    <w:p w14:paraId="514FCC8C" w14:textId="58D26227" w:rsidR="00796DD9" w:rsidRPr="00FE5B51" w:rsidRDefault="00796DD9">
      <w:pPr>
        <w:widowControl/>
        <w:spacing w:line="240" w:lineRule="auto"/>
        <w:rPr>
          <w:rFonts w:ascii="Minion Pro" w:hAnsi="Minion Pro"/>
          <w:sz w:val="22"/>
        </w:rPr>
      </w:pPr>
      <w:r w:rsidRPr="00FE5B51">
        <w:rPr>
          <w:rFonts w:ascii="Minion Pro" w:hAnsi="Minion Pro"/>
          <w:sz w:val="22"/>
        </w:rPr>
        <w:br w:type="page"/>
      </w:r>
    </w:p>
    <w:p w14:paraId="3060B679" w14:textId="15A75C09" w:rsidR="004B6491" w:rsidRPr="00EC51B7" w:rsidRDefault="00EC51B7" w:rsidP="00EC51B7">
      <w:pPr>
        <w:pStyle w:val="TSP41tablecaption"/>
        <w:jc w:val="center"/>
      </w:pPr>
      <w:r w:rsidRPr="00EC51B7">
        <w:rPr>
          <w:b/>
          <w:bCs/>
        </w:rPr>
        <w:lastRenderedPageBreak/>
        <w:t xml:space="preserve">Supplementary Table S4: </w:t>
      </w:r>
      <w:r w:rsidRPr="00EC51B7">
        <w:t>Pooled anti</w:t>
      </w:r>
      <w:r w:rsidR="00000000" w:rsidRPr="00EC51B7">
        <w:t xml:space="preserve">-EGFR </w:t>
      </w:r>
      <w:r w:rsidRPr="00EC51B7">
        <w:t>versus bevacizumab analysis.</w:t>
      </w:r>
    </w:p>
    <w:tbl>
      <w:tblPr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2"/>
        <w:gridCol w:w="2582"/>
        <w:gridCol w:w="2421"/>
        <w:gridCol w:w="1775"/>
      </w:tblGrid>
      <w:tr w:rsidR="004B6491" w:rsidRPr="009E04EB" w14:paraId="06720E27" w14:textId="77777777" w:rsidTr="009E04EB">
        <w:trPr>
          <w:jc w:val="center"/>
        </w:trPr>
        <w:tc>
          <w:tcPr>
            <w:tcW w:w="1379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44FB3B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Outcome</w:t>
            </w:r>
          </w:p>
        </w:tc>
        <w:tc>
          <w:tcPr>
            <w:tcW w:w="1379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66AD8C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Anti-EGFR</w:t>
            </w:r>
          </w:p>
          <w:p w14:paraId="1C1CA6A8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(n = 156)</w:t>
            </w:r>
          </w:p>
        </w:tc>
        <w:tc>
          <w:tcPr>
            <w:tcW w:w="129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249DC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等线" w:hAnsi="Minion Pro" w:cs="Times New Roman"/>
                <w:b/>
                <w:bCs/>
                <w:kern w:val="0"/>
                <w:sz w:val="20"/>
                <w:szCs w:val="24"/>
                <w:lang w:eastAsia="zh-CN"/>
              </w:rPr>
            </w:pPr>
            <w:r w:rsidRPr="009E04EB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Bevacizumab</w:t>
            </w:r>
          </w:p>
          <w:p w14:paraId="2E4833B2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(n = 85)</w:t>
            </w:r>
          </w:p>
        </w:tc>
        <w:tc>
          <w:tcPr>
            <w:tcW w:w="94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F4050A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b/>
                <w:bCs/>
                <w:kern w:val="0"/>
                <w:sz w:val="20"/>
                <w:szCs w:val="24"/>
              </w:rPr>
              <w:t>P value</w:t>
            </w:r>
          </w:p>
        </w:tc>
      </w:tr>
      <w:tr w:rsidR="004B6491" w:rsidRPr="009E04EB" w14:paraId="5C7D5877" w14:textId="77777777" w:rsidTr="009E04EB">
        <w:trPr>
          <w:jc w:val="center"/>
        </w:trPr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5A683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ORR, n (%)</w:t>
            </w:r>
          </w:p>
        </w:tc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1E034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93 (59.6%)</w:t>
            </w: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32B51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33 (38.8%)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1A900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0.002</w:t>
            </w:r>
          </w:p>
        </w:tc>
      </w:tr>
      <w:tr w:rsidR="004B6491" w:rsidRPr="009E04EB" w14:paraId="03D53F6C" w14:textId="77777777" w:rsidTr="009E04EB">
        <w:trPr>
          <w:jc w:val="center"/>
        </w:trPr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7A39F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DCR, n (%)</w:t>
            </w:r>
          </w:p>
        </w:tc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CF529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126 (80.8%)</w:t>
            </w: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5FD0A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67 (78.8%)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925A0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0.71</w:t>
            </w:r>
          </w:p>
        </w:tc>
      </w:tr>
      <w:tr w:rsidR="004B6491" w:rsidRPr="009E04EB" w14:paraId="31C4DAAC" w14:textId="77777777" w:rsidTr="009E04EB">
        <w:trPr>
          <w:jc w:val="center"/>
        </w:trPr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ED2F9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Conversion surgery, n (%)</w:t>
            </w:r>
          </w:p>
        </w:tc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071E6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43 (27.6%)</w:t>
            </w: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E5D6B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10 (11.8%)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2BC0B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0.005</w:t>
            </w:r>
          </w:p>
        </w:tc>
      </w:tr>
      <w:tr w:rsidR="004B6491" w:rsidRPr="009E04EB" w14:paraId="56C99199" w14:textId="77777777" w:rsidTr="009E04EB">
        <w:trPr>
          <w:jc w:val="center"/>
        </w:trPr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5C8CE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Median PFS, months</w:t>
            </w:r>
          </w:p>
        </w:tc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57C40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10.3</w:t>
            </w: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C6EEE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8.3</w:t>
            </w:r>
          </w:p>
        </w:tc>
        <w:tc>
          <w:tcPr>
            <w:tcW w:w="9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86579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0.27</w:t>
            </w:r>
          </w:p>
        </w:tc>
      </w:tr>
      <w:tr w:rsidR="004B6491" w:rsidRPr="009E04EB" w14:paraId="669DDED3" w14:textId="77777777" w:rsidTr="009E04EB">
        <w:trPr>
          <w:jc w:val="center"/>
        </w:trPr>
        <w:tc>
          <w:tcPr>
            <w:tcW w:w="137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DE36EBB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Median OS, months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91BAEBC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23.9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60B41FA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18.3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8EF124C" w14:textId="77777777" w:rsidR="004B6491" w:rsidRPr="009E04EB" w:rsidRDefault="00000000" w:rsidP="009E04EB">
            <w:pPr>
              <w:widowControl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</w:pPr>
            <w:r w:rsidRPr="009E04EB">
              <w:rPr>
                <w:rFonts w:ascii="Minion Pro" w:eastAsia="PMingLiU" w:hAnsi="Minion Pro" w:cs="Times New Roman"/>
                <w:kern w:val="0"/>
                <w:sz w:val="20"/>
                <w:szCs w:val="24"/>
              </w:rPr>
              <w:t>0.17</w:t>
            </w:r>
          </w:p>
        </w:tc>
      </w:tr>
    </w:tbl>
    <w:p w14:paraId="57941B0D" w14:textId="67DA1067" w:rsidR="004B6491" w:rsidRPr="00FE5B51" w:rsidRDefault="00000000">
      <w:pPr>
        <w:spacing w:line="240" w:lineRule="auto"/>
        <w:rPr>
          <w:rFonts w:ascii="Minion Pro" w:eastAsiaTheme="minorEastAsia" w:hAnsi="Minion Pro" w:cs="Times New Roman"/>
          <w:sz w:val="22"/>
        </w:rPr>
      </w:pPr>
      <w:r w:rsidRPr="00FE5B51">
        <w:rPr>
          <w:rFonts w:ascii="Minion Pro" w:hAnsi="Minion Pro"/>
          <w:sz w:val="22"/>
        </w:rPr>
        <w:t>ORR, objective response rate; DCR, disease control rate; PFS, progression-free survival; OS, overall survival; anti-EGFR, epidermal growth factor receptor inhibitor.</w:t>
      </w:r>
    </w:p>
    <w:sectPr w:rsidR="004B6491" w:rsidRPr="00FE5B51" w:rsidSect="006603CF">
      <w:pgSz w:w="12240" w:h="15840"/>
      <w:pgMar w:top="1440" w:right="1440" w:bottom="1440" w:left="1440" w:header="680" w:footer="794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9FA8D" w14:textId="77777777" w:rsidR="008424B6" w:rsidRDefault="008424B6">
      <w:pPr>
        <w:spacing w:line="240" w:lineRule="auto"/>
      </w:pPr>
      <w:r>
        <w:separator/>
      </w:r>
    </w:p>
  </w:endnote>
  <w:endnote w:type="continuationSeparator" w:id="0">
    <w:p w14:paraId="69628207" w14:textId="77777777" w:rsidR="008424B6" w:rsidRDefault="008424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75EF1" w14:textId="77777777" w:rsidR="008424B6" w:rsidRDefault="008424B6">
      <w:r>
        <w:separator/>
      </w:r>
    </w:p>
  </w:footnote>
  <w:footnote w:type="continuationSeparator" w:id="0">
    <w:p w14:paraId="2A6F0B31" w14:textId="77777777" w:rsidR="008424B6" w:rsidRDefault="00842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E0AA5F18"/>
    <w:lvl w:ilvl="0" w:tplc="3D94B968">
      <w:start w:val="1"/>
      <w:numFmt w:val="bullet"/>
      <w:pStyle w:val="TSP38bullet"/>
      <w:lvlText w:val=""/>
      <w:lvlJc w:val="left"/>
      <w:pPr>
        <w:ind w:left="425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1BA29CCC"/>
    <w:lvl w:ilvl="0" w:tplc="0D5492E6">
      <w:start w:val="1"/>
      <w:numFmt w:val="decimal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96189CFE"/>
    <w:lvl w:ilvl="0" w:tplc="F5C89884">
      <w:start w:val="1"/>
      <w:numFmt w:val="decimal"/>
      <w:pStyle w:val="TSP71References"/>
      <w:lvlText w:val="%1."/>
      <w:lvlJc w:val="left"/>
      <w:pPr>
        <w:ind w:left="425" w:hanging="425"/>
      </w:pPr>
      <w:rPr>
        <w:rFonts w:hint="eastAsia"/>
        <w:b w:val="0"/>
        <w:i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7D64C196"/>
    <w:lvl w:ilvl="0" w:tplc="5C521B46">
      <w:start w:val="1"/>
      <w:numFmt w:val="decimal"/>
      <w:pStyle w:val="TSP37itemize"/>
      <w:lvlText w:val="%1."/>
      <w:lvlJc w:val="left"/>
      <w:pPr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316347240">
    <w:abstractNumId w:val="3"/>
  </w:num>
  <w:num w:numId="2" w16cid:durableId="678391485">
    <w:abstractNumId w:val="0"/>
  </w:num>
  <w:num w:numId="3" w16cid:durableId="263349180">
    <w:abstractNumId w:val="1"/>
  </w:num>
  <w:num w:numId="4" w16cid:durableId="2130737313">
    <w:abstractNumId w:val="2"/>
  </w:num>
  <w:num w:numId="5" w16cid:durableId="1739740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275"/>
    <w:rsid w:val="000238BF"/>
    <w:rsid w:val="00106179"/>
    <w:rsid w:val="00171E69"/>
    <w:rsid w:val="0020501B"/>
    <w:rsid w:val="00205EC6"/>
    <w:rsid w:val="00236CF0"/>
    <w:rsid w:val="002E5C26"/>
    <w:rsid w:val="00330CA0"/>
    <w:rsid w:val="0033507C"/>
    <w:rsid w:val="00474117"/>
    <w:rsid w:val="004B4275"/>
    <w:rsid w:val="004B6491"/>
    <w:rsid w:val="005B3F64"/>
    <w:rsid w:val="00603238"/>
    <w:rsid w:val="006230D3"/>
    <w:rsid w:val="006603CF"/>
    <w:rsid w:val="006C3564"/>
    <w:rsid w:val="00761EF0"/>
    <w:rsid w:val="00796DD9"/>
    <w:rsid w:val="007C59E2"/>
    <w:rsid w:val="008424B6"/>
    <w:rsid w:val="008461D0"/>
    <w:rsid w:val="0085516F"/>
    <w:rsid w:val="00886D0F"/>
    <w:rsid w:val="00926430"/>
    <w:rsid w:val="009811CA"/>
    <w:rsid w:val="009A71FB"/>
    <w:rsid w:val="009E04EB"/>
    <w:rsid w:val="00A723E5"/>
    <w:rsid w:val="00B15BE7"/>
    <w:rsid w:val="00B74A08"/>
    <w:rsid w:val="00CC0385"/>
    <w:rsid w:val="00EC51B7"/>
    <w:rsid w:val="00EE74CB"/>
    <w:rsid w:val="00F07AA2"/>
    <w:rsid w:val="00FE5B51"/>
    <w:rsid w:val="0CB126E6"/>
    <w:rsid w:val="320C2052"/>
    <w:rsid w:val="7B78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1562E2"/>
  <w15:docId w15:val="{4E4FEFF0-092B-45C5-A248-80A203C07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line="480" w:lineRule="auto"/>
    </w:pPr>
    <w:rPr>
      <w:rFonts w:ascii="Times New Roman" w:eastAsia="Times New Roman" w:hAnsi="Times New Roman"/>
      <w:kern w:val="2"/>
      <w:sz w:val="24"/>
      <w:szCs w:val="22"/>
      <w:lang w:eastAsia="zh-TW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62626" w:themeColor="text1" w:themeTint="D9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62626" w:themeColor="text1" w:themeTint="D9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78" w:lineRule="auto"/>
      <w:jc w:val="center"/>
    </w:pPr>
    <w:rPr>
      <w:rFonts w:asciiTheme="minorHAnsi" w:eastAsiaTheme="minorEastAsia" w:hAnsiTheme="minorHAnsi"/>
      <w:i/>
      <w:iCs/>
      <w:color w:val="404040" w:themeColor="text1" w:themeTint="BF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/>
      <w:szCs w:val="24"/>
      <w14:ligatures w14:val="standardContextual"/>
    </w:rPr>
  </w:style>
  <w:style w:type="character" w:customStyle="1" w:styleId="1">
    <w:name w:val="鮮明強調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/>
      <w:i/>
      <w:iCs/>
      <w:color w:val="0F4761" w:themeColor="accent1" w:themeShade="BF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鮮明參考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/>
      <w:sz w:val="18"/>
      <w:szCs w:val="1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/>
      <w:sz w:val="18"/>
      <w:szCs w:val="18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/>
      <w:szCs w:val="22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/>
      <w:b/>
      <w:bCs/>
      <w:szCs w:val="22"/>
      <w14:ligatures w14:val="none"/>
    </w:rPr>
  </w:style>
  <w:style w:type="paragraph" w:customStyle="1" w:styleId="11">
    <w:name w:val="修訂1"/>
    <w:hidden/>
    <w:uiPriority w:val="99"/>
    <w:semiHidden/>
    <w:qFormat/>
    <w:rPr>
      <w:rFonts w:ascii="Times New Roman" w:eastAsia="Times New Roman" w:hAnsi="Times New Roman"/>
      <w:kern w:val="2"/>
      <w:sz w:val="24"/>
      <w:szCs w:val="22"/>
      <w:lang w:eastAsia="zh-TW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kern w:val="2"/>
      <w:sz w:val="24"/>
      <w:szCs w:val="22"/>
      <w:lang w:eastAsia="zh-TW"/>
    </w:rPr>
  </w:style>
  <w:style w:type="paragraph" w:customStyle="1" w:styleId="TSP10doinum">
    <w:name w:val="TSP_1.0_doinum"/>
    <w:basedOn w:val="Normal"/>
    <w:qFormat/>
    <w:rsid w:val="00796DD9"/>
    <w:pPr>
      <w:widowControl/>
      <w:adjustRightInd w:val="0"/>
      <w:snapToGrid w:val="0"/>
      <w:spacing w:after="240" w:line="240" w:lineRule="auto"/>
    </w:pPr>
    <w:rPr>
      <w:rFonts w:ascii="Minion Pro" w:eastAsiaTheme="minorEastAsia" w:hAnsi="Minion Pro" w:cs="Times New Roman"/>
      <w:color w:val="000000"/>
      <w:sz w:val="14"/>
      <w:szCs w:val="20"/>
      <w:lang w:eastAsia="zh-CN"/>
      <w14:ligatures w14:val="standardContextual"/>
    </w:rPr>
  </w:style>
  <w:style w:type="paragraph" w:customStyle="1" w:styleId="TSP11articletype">
    <w:name w:val="TSP_1.1_article_type"/>
    <w:next w:val="Normal"/>
    <w:qFormat/>
    <w:rsid w:val="00796DD9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sz w:val="18"/>
      <w:szCs w:val="22"/>
      <w:u w:val="single"/>
      <w:lang w:eastAsia="de-DE" w:bidi="en-US"/>
    </w:rPr>
  </w:style>
  <w:style w:type="paragraph" w:customStyle="1" w:styleId="TSP12title">
    <w:name w:val="TSP_1.2_title"/>
    <w:next w:val="Normal"/>
    <w:qFormat/>
    <w:rsid w:val="00796DD9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sz w:val="28"/>
      <w:lang w:eastAsia="de-DE" w:bidi="en-US"/>
    </w:rPr>
  </w:style>
  <w:style w:type="paragraph" w:customStyle="1" w:styleId="TSP13authornames">
    <w:name w:val="TSP_1.3_authornames"/>
    <w:next w:val="Normal"/>
    <w:qFormat/>
    <w:rsid w:val="00796DD9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sz w:val="22"/>
      <w:szCs w:val="22"/>
      <w:lang w:eastAsia="de-DE" w:bidi="en-US"/>
    </w:rPr>
  </w:style>
  <w:style w:type="paragraph" w:customStyle="1" w:styleId="TSP14history">
    <w:name w:val="TSP_1.4_history"/>
    <w:basedOn w:val="Normal"/>
    <w:next w:val="Normal"/>
    <w:autoRedefine/>
    <w:qFormat/>
    <w:rsid w:val="00796DD9"/>
    <w:pPr>
      <w:widowControl/>
      <w:adjustRightInd w:val="0"/>
      <w:snapToGrid w:val="0"/>
      <w:spacing w:before="60" w:after="240" w:line="240" w:lineRule="atLeast"/>
    </w:pPr>
    <w:rPr>
      <w:rFonts w:ascii="Minion Pro" w:hAnsi="Minion Pro" w:cs="Times New Roman"/>
      <w:color w:val="000000"/>
      <w:kern w:val="0"/>
      <w:sz w:val="18"/>
      <w:szCs w:val="20"/>
      <w:lang w:eastAsia="de-DE" w:bidi="en-US"/>
    </w:rPr>
  </w:style>
  <w:style w:type="paragraph" w:customStyle="1" w:styleId="TSP15academiceditor">
    <w:name w:val="TSP_1.5_academic_editor"/>
    <w:qFormat/>
    <w:rsid w:val="00796DD9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sz w:val="18"/>
      <w:szCs w:val="22"/>
      <w:lang w:eastAsia="de-DE" w:bidi="en-US"/>
    </w:rPr>
  </w:style>
  <w:style w:type="paragraph" w:customStyle="1" w:styleId="TSP16affiliation">
    <w:name w:val="TSP_1.6_affiliation"/>
    <w:qFormat/>
    <w:rsid w:val="00796DD9"/>
    <w:pPr>
      <w:adjustRightInd w:val="0"/>
      <w:snapToGrid w:val="0"/>
      <w:spacing w:line="240" w:lineRule="atLeast"/>
    </w:pPr>
    <w:rPr>
      <w:rFonts w:ascii="Minion Pro" w:eastAsia="Times New Roman" w:hAnsi="Minion Pro" w:cs="Times New Roman"/>
      <w:color w:val="000000"/>
      <w:sz w:val="18"/>
      <w:szCs w:val="18"/>
      <w:lang w:eastAsia="de-DE" w:bidi="en-US"/>
    </w:rPr>
  </w:style>
  <w:style w:type="paragraph" w:customStyle="1" w:styleId="TSP17abstract">
    <w:name w:val="TSP_1.7_abstract"/>
    <w:next w:val="Normal"/>
    <w:qFormat/>
    <w:rsid w:val="00796DD9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szCs w:val="22"/>
      <w:lang w:eastAsia="de-DE" w:bidi="en-US"/>
    </w:rPr>
  </w:style>
  <w:style w:type="paragraph" w:customStyle="1" w:styleId="TSP18keywords">
    <w:name w:val="TSP_1.8_keywords"/>
    <w:next w:val="Normal"/>
    <w:qFormat/>
    <w:rsid w:val="00796DD9"/>
    <w:pPr>
      <w:adjustRightInd w:val="0"/>
      <w:snapToGrid w:val="0"/>
      <w:spacing w:before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szCs w:val="22"/>
      <w:lang w:eastAsia="de-DE" w:bidi="en-US"/>
    </w:rPr>
  </w:style>
  <w:style w:type="paragraph" w:customStyle="1" w:styleId="TSP19classification">
    <w:name w:val="TSP_1.9_classification"/>
    <w:qFormat/>
    <w:rsid w:val="00796DD9"/>
    <w:pPr>
      <w:spacing w:before="240" w:line="240" w:lineRule="atLeast"/>
      <w:jc w:val="both"/>
    </w:pPr>
    <w:rPr>
      <w:rFonts w:ascii="Minion Pro" w:eastAsia="Times New Roman" w:hAnsi="Minion Pro" w:cs="Times New Roman"/>
      <w:b/>
      <w:color w:val="000000"/>
      <w:szCs w:val="22"/>
      <w:lang w:eastAsia="de-DE" w:bidi="en-US"/>
    </w:rPr>
  </w:style>
  <w:style w:type="paragraph" w:customStyle="1" w:styleId="TSP19line">
    <w:name w:val="TSP_1.9_line"/>
    <w:qFormat/>
    <w:rsid w:val="00796DD9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szCs w:val="24"/>
      <w:lang w:eastAsia="de-DE" w:bidi="en-US"/>
    </w:rPr>
  </w:style>
  <w:style w:type="paragraph" w:customStyle="1" w:styleId="TSP21heading1">
    <w:name w:val="TSP_2.1_heading1"/>
    <w:qFormat/>
    <w:rsid w:val="00796DD9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sz w:val="22"/>
      <w:szCs w:val="22"/>
      <w:lang w:eastAsia="de-DE" w:bidi="en-US"/>
    </w:rPr>
  </w:style>
  <w:style w:type="paragraph" w:customStyle="1" w:styleId="TSP22heading2">
    <w:name w:val="TSP_2.2_heading2"/>
    <w:qFormat/>
    <w:rsid w:val="00796DD9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sz w:val="22"/>
      <w:szCs w:val="22"/>
      <w:lang w:eastAsia="de-DE" w:bidi="en-US"/>
    </w:rPr>
  </w:style>
  <w:style w:type="paragraph" w:customStyle="1" w:styleId="TSP23heading3">
    <w:name w:val="TSP_2.3_heading3"/>
    <w:qFormat/>
    <w:rsid w:val="00796DD9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sz w:val="22"/>
      <w:szCs w:val="22"/>
      <w:lang w:eastAsia="de-DE" w:bidi="en-US"/>
    </w:rPr>
  </w:style>
  <w:style w:type="paragraph" w:customStyle="1" w:styleId="TSP24heading4">
    <w:name w:val="TSP_2.4_heading4"/>
    <w:basedOn w:val="TSP23heading3"/>
    <w:qFormat/>
    <w:rsid w:val="00796DD9"/>
    <w:pPr>
      <w:outlineLvl w:val="3"/>
    </w:pPr>
    <w:rPr>
      <w:i w:val="0"/>
    </w:rPr>
  </w:style>
  <w:style w:type="paragraph" w:customStyle="1" w:styleId="TSP31text">
    <w:name w:val="TSP_3.1_text"/>
    <w:qFormat/>
    <w:rsid w:val="00796DD9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sz w:val="22"/>
      <w:szCs w:val="22"/>
      <w:lang w:eastAsia="de-DE" w:bidi="en-US"/>
    </w:rPr>
  </w:style>
  <w:style w:type="paragraph" w:customStyle="1" w:styleId="TSP32textnoindent">
    <w:name w:val="TSP_3.2_text_no_indent"/>
    <w:basedOn w:val="TSP31text"/>
    <w:qFormat/>
    <w:rsid w:val="00796DD9"/>
    <w:pPr>
      <w:ind w:firstLine="0"/>
    </w:pPr>
  </w:style>
  <w:style w:type="paragraph" w:customStyle="1" w:styleId="TSP33textspaceafter">
    <w:name w:val="TSP_3.3_text_space_after"/>
    <w:qFormat/>
    <w:rsid w:val="00796DD9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sz w:val="22"/>
      <w:szCs w:val="22"/>
      <w:lang w:eastAsia="de-DE" w:bidi="en-US"/>
    </w:rPr>
  </w:style>
  <w:style w:type="paragraph" w:customStyle="1" w:styleId="TSP34textspacebefore">
    <w:name w:val="TSP_3.4_text_space_before"/>
    <w:qFormat/>
    <w:rsid w:val="00796DD9"/>
    <w:pPr>
      <w:adjustRightInd w:val="0"/>
      <w:snapToGrid w:val="0"/>
      <w:spacing w:before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sz w:val="22"/>
      <w:szCs w:val="22"/>
      <w:lang w:eastAsia="de-DE" w:bidi="en-US"/>
    </w:rPr>
  </w:style>
  <w:style w:type="paragraph" w:customStyle="1" w:styleId="TSP35textbeforelist">
    <w:name w:val="TSP_3.5_text_before_list"/>
    <w:qFormat/>
    <w:rsid w:val="00796DD9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sz w:val="22"/>
      <w:szCs w:val="22"/>
      <w:lang w:eastAsia="de-DE" w:bidi="en-US"/>
    </w:rPr>
  </w:style>
  <w:style w:type="paragraph" w:customStyle="1" w:styleId="TSP36textafterlist">
    <w:name w:val="TSP_3.6_text_after_list"/>
    <w:qFormat/>
    <w:rsid w:val="00796DD9"/>
    <w:pPr>
      <w:adjustRightInd w:val="0"/>
      <w:snapToGrid w:val="0"/>
      <w:spacing w:before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sz w:val="22"/>
      <w:szCs w:val="22"/>
      <w:lang w:eastAsia="de-DE" w:bidi="en-US"/>
    </w:rPr>
  </w:style>
  <w:style w:type="paragraph" w:customStyle="1" w:styleId="TSP37itemize">
    <w:name w:val="TSP_3.7_itemize"/>
    <w:qFormat/>
    <w:rsid w:val="00796DD9"/>
    <w:pPr>
      <w:numPr>
        <w:numId w:val="1"/>
      </w:numPr>
      <w:adjustRightInd w:val="0"/>
      <w:snapToGrid w:val="0"/>
      <w:spacing w:line="228" w:lineRule="auto"/>
      <w:jc w:val="both"/>
    </w:pPr>
    <w:rPr>
      <w:rFonts w:ascii="Minion Pro" w:eastAsia="Times New Roman" w:hAnsi="Minion Pro" w:cs="Times New Roman"/>
      <w:color w:val="000000"/>
      <w:sz w:val="22"/>
      <w:szCs w:val="22"/>
      <w:lang w:eastAsia="de-DE" w:bidi="en-US"/>
    </w:rPr>
  </w:style>
  <w:style w:type="paragraph" w:customStyle="1" w:styleId="TSP38bullet">
    <w:name w:val="TSP_3.8_bullet"/>
    <w:qFormat/>
    <w:rsid w:val="00796DD9"/>
    <w:pPr>
      <w:numPr>
        <w:numId w:val="2"/>
      </w:numPr>
      <w:adjustRightInd w:val="0"/>
      <w:snapToGrid w:val="0"/>
      <w:spacing w:line="228" w:lineRule="auto"/>
      <w:jc w:val="both"/>
    </w:pPr>
    <w:rPr>
      <w:rFonts w:ascii="Minion Pro" w:eastAsia="Times New Roman" w:hAnsi="Minion Pro" w:cs="Times New Roman"/>
      <w:color w:val="000000"/>
      <w:sz w:val="22"/>
      <w:szCs w:val="22"/>
      <w:lang w:eastAsia="de-DE" w:bidi="en-US"/>
    </w:rPr>
  </w:style>
  <w:style w:type="paragraph" w:customStyle="1" w:styleId="TSP39equation">
    <w:name w:val="TSP_3.9_equation"/>
    <w:qFormat/>
    <w:rsid w:val="00796DD9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sz w:val="22"/>
      <w:szCs w:val="22"/>
      <w:lang w:eastAsia="de-DE" w:bidi="en-US"/>
    </w:rPr>
  </w:style>
  <w:style w:type="paragraph" w:customStyle="1" w:styleId="TSP3aequationnumber">
    <w:name w:val="TSP_3.a_equation_number"/>
    <w:qFormat/>
    <w:rsid w:val="00796DD9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sz w:val="22"/>
      <w:szCs w:val="22"/>
      <w:lang w:eastAsia="de-DE" w:bidi="en-US"/>
    </w:rPr>
  </w:style>
  <w:style w:type="paragraph" w:customStyle="1" w:styleId="TSP411onetablecaption">
    <w:name w:val="TSP_4.1.1_one_table_caption"/>
    <w:qFormat/>
    <w:rsid w:val="00796DD9"/>
    <w:pPr>
      <w:adjustRightInd w:val="0"/>
      <w:snapToGrid w:val="0"/>
      <w:spacing w:before="240" w:after="120" w:line="240" w:lineRule="atLeast"/>
      <w:jc w:val="center"/>
    </w:pPr>
    <w:rPr>
      <w:rFonts w:ascii="Minion Pro" w:eastAsia="宋体" w:hAnsi="Minion Pro" w:cs="Cordia New"/>
      <w:noProof/>
      <w:color w:val="000000"/>
      <w:szCs w:val="22"/>
      <w:lang w:bidi="en-US"/>
    </w:rPr>
  </w:style>
  <w:style w:type="paragraph" w:customStyle="1" w:styleId="TSP41tablecaption">
    <w:name w:val="TSP_4.1_table_caption"/>
    <w:qFormat/>
    <w:rsid w:val="00796DD9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43tablefooter">
    <w:name w:val="TSP_4.3_table_footer"/>
    <w:next w:val="TSP31text"/>
    <w:qFormat/>
    <w:rsid w:val="00796DD9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511onefigurecaption">
    <w:name w:val="TSP_5.1.1_one_figure_caption"/>
    <w:qFormat/>
    <w:rsid w:val="00796DD9"/>
    <w:pPr>
      <w:adjustRightInd w:val="0"/>
      <w:snapToGrid w:val="0"/>
      <w:spacing w:before="120" w:after="240" w:line="240" w:lineRule="atLeast"/>
      <w:jc w:val="center"/>
    </w:pPr>
    <w:rPr>
      <w:rFonts w:ascii="Minion Pro" w:eastAsia="宋体" w:hAnsi="Minion Pro" w:cs="Times New Roman"/>
      <w:noProof/>
      <w:color w:val="000000"/>
      <w:lang w:bidi="en-US"/>
    </w:rPr>
  </w:style>
  <w:style w:type="paragraph" w:customStyle="1" w:styleId="TSP51figurecaption">
    <w:name w:val="TSP_5.1_figure_caption"/>
    <w:qFormat/>
    <w:rsid w:val="00796DD9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lang w:eastAsia="de-DE" w:bidi="en-US"/>
    </w:rPr>
  </w:style>
  <w:style w:type="paragraph" w:customStyle="1" w:styleId="TSP52figure">
    <w:name w:val="TSP_5.2_figure"/>
    <w:qFormat/>
    <w:rsid w:val="00796DD9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lang w:eastAsia="de-DE" w:bidi="en-US"/>
    </w:rPr>
  </w:style>
  <w:style w:type="paragraph" w:customStyle="1" w:styleId="TSP61Citation">
    <w:name w:val="TSP_6.1_Citation"/>
    <w:qFormat/>
    <w:rsid w:val="00796DD9"/>
    <w:pPr>
      <w:adjustRightInd w:val="0"/>
      <w:snapToGrid w:val="0"/>
      <w:spacing w:line="240" w:lineRule="atLeast"/>
    </w:pPr>
    <w:rPr>
      <w:rFonts w:ascii="Minion Pro" w:eastAsia="宋体" w:hAnsi="Minion Pro" w:cs="Cordia New"/>
      <w:sz w:val="22"/>
      <w:szCs w:val="22"/>
    </w:rPr>
  </w:style>
  <w:style w:type="paragraph" w:customStyle="1" w:styleId="TSP62BackMatter">
    <w:name w:val="TSP_6.2_BackMatter"/>
    <w:qFormat/>
    <w:rsid w:val="00796DD9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lang w:eastAsia="en-US" w:bidi="en-US"/>
    </w:rPr>
  </w:style>
  <w:style w:type="paragraph" w:customStyle="1" w:styleId="TSP63Notes">
    <w:name w:val="TSP_6.3_Notes"/>
    <w:qFormat/>
    <w:rsid w:val="00796DD9"/>
    <w:pPr>
      <w:adjustRightInd w:val="0"/>
      <w:snapToGrid w:val="0"/>
      <w:spacing w:before="60" w:after="60" w:line="228" w:lineRule="auto"/>
      <w:jc w:val="both"/>
    </w:pPr>
    <w:rPr>
      <w:rFonts w:ascii="Minion Pro" w:eastAsia="宋体" w:hAnsi="Minion Pro" w:cs="Times New Roman"/>
      <w:snapToGrid w:val="0"/>
      <w:color w:val="000000"/>
      <w:sz w:val="18"/>
      <w:lang w:eastAsia="en-US" w:bidi="en-US"/>
    </w:rPr>
  </w:style>
  <w:style w:type="paragraph" w:customStyle="1" w:styleId="TSP71FootNotes">
    <w:name w:val="TSP_7.1_FootNotes"/>
    <w:qFormat/>
    <w:rsid w:val="00796DD9"/>
    <w:pPr>
      <w:numPr>
        <w:numId w:val="5"/>
      </w:numPr>
      <w:adjustRightInd w:val="0"/>
      <w:snapToGrid w:val="0"/>
      <w:spacing w:before="60" w:after="60" w:line="228" w:lineRule="auto"/>
      <w:jc w:val="both"/>
    </w:pPr>
    <w:rPr>
      <w:rFonts w:ascii="Minion Pro" w:eastAsia="宋体" w:hAnsi="Minion Pro" w:cs="Times New Roman"/>
      <w:noProof/>
      <w:color w:val="000000"/>
      <w:sz w:val="18"/>
    </w:rPr>
  </w:style>
  <w:style w:type="paragraph" w:customStyle="1" w:styleId="TSP71References">
    <w:name w:val="TSP_7.1_References"/>
    <w:qFormat/>
    <w:rsid w:val="00796DD9"/>
    <w:pPr>
      <w:numPr>
        <w:numId w:val="4"/>
      </w:numPr>
      <w:adjustRightInd w:val="0"/>
      <w:snapToGrid w:val="0"/>
      <w:spacing w:line="228" w:lineRule="auto"/>
      <w:jc w:val="both"/>
    </w:pPr>
    <w:rPr>
      <w:rFonts w:ascii="Minion Pro" w:eastAsia="等线" w:hAnsi="Minion Pro" w:cs="Times New Roman"/>
      <w:color w:val="000000"/>
      <w:lang w:eastAsia="de-DE" w:bidi="en-US"/>
    </w:rPr>
  </w:style>
  <w:style w:type="paragraph" w:customStyle="1" w:styleId="TSP72Copyright">
    <w:name w:val="TSP_7.2_Copyright"/>
    <w:qFormat/>
    <w:rsid w:val="00796DD9"/>
    <w:pPr>
      <w:adjustRightInd w:val="0"/>
      <w:snapToGrid w:val="0"/>
      <w:spacing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sz w:val="18"/>
      <w:lang w:val="en-GB" w:eastAsia="en-GB"/>
    </w:rPr>
  </w:style>
  <w:style w:type="paragraph" w:customStyle="1" w:styleId="TSP73CopyrightImage">
    <w:name w:val="TSP_7.3_CopyrightImage"/>
    <w:qFormat/>
    <w:rsid w:val="00796DD9"/>
    <w:pPr>
      <w:adjustRightInd w:val="0"/>
      <w:snapToGrid w:val="0"/>
      <w:spacing w:before="20" w:line="228" w:lineRule="auto"/>
    </w:pPr>
    <w:rPr>
      <w:rFonts w:ascii="Minion Pro" w:eastAsia="Times New Roman" w:hAnsi="Minion Pro" w:cs="Times New Roman"/>
      <w:color w:val="000000"/>
      <w:sz w:val="18"/>
      <w:lang w:eastAsia="de-CH"/>
    </w:rPr>
  </w:style>
  <w:style w:type="paragraph" w:customStyle="1" w:styleId="TSP81theorem">
    <w:name w:val="TSP_8.1_theorem"/>
    <w:qFormat/>
    <w:rsid w:val="00796DD9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sz w:val="22"/>
      <w:szCs w:val="22"/>
      <w:lang w:eastAsia="de-DE" w:bidi="en-US"/>
    </w:rPr>
  </w:style>
  <w:style w:type="paragraph" w:customStyle="1" w:styleId="TSP82proof">
    <w:name w:val="TSP_8.2_proof"/>
    <w:qFormat/>
    <w:rsid w:val="00796DD9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sz w:val="22"/>
      <w:szCs w:val="22"/>
      <w:lang w:eastAsia="de-DE" w:bidi="en-US"/>
    </w:rPr>
  </w:style>
  <w:style w:type="paragraph" w:customStyle="1" w:styleId="TSPequationFram">
    <w:name w:val="TSP_equationFram"/>
    <w:qFormat/>
    <w:rsid w:val="00796DD9"/>
    <w:pPr>
      <w:adjustRightInd w:val="0"/>
      <w:snapToGrid w:val="0"/>
      <w:spacing w:before="120" w:after="120"/>
    </w:pPr>
    <w:rPr>
      <w:rFonts w:ascii="Minion Pro" w:eastAsia="Times New Roman" w:hAnsi="Minion Pro" w:cs="Times New Roman"/>
      <w:snapToGrid w:val="0"/>
      <w:color w:val="000000"/>
      <w:sz w:val="22"/>
      <w:szCs w:val="22"/>
      <w:lang w:eastAsia="de-DE" w:bidi="en-US"/>
    </w:rPr>
  </w:style>
  <w:style w:type="paragraph" w:customStyle="1" w:styleId="TSPfooter">
    <w:name w:val="TSP_footer"/>
    <w:qFormat/>
    <w:rsid w:val="00796DD9"/>
    <w:pPr>
      <w:adjustRightInd w:val="0"/>
      <w:snapToGrid w:val="0"/>
      <w:spacing w:line="228" w:lineRule="auto"/>
      <w:jc w:val="both"/>
    </w:pPr>
    <w:rPr>
      <w:rFonts w:ascii="Minion Pro" w:eastAsia="Times New Roman" w:hAnsi="Minion Pro" w:cs="Times New Roman"/>
      <w:color w:val="000000"/>
      <w:sz w:val="16"/>
      <w:lang w:eastAsia="de-DE"/>
    </w:rPr>
  </w:style>
  <w:style w:type="paragraph" w:customStyle="1" w:styleId="TSPfooterfirstpage">
    <w:name w:val="TSP_footer_firstpage"/>
    <w:qFormat/>
    <w:rsid w:val="00796DD9"/>
    <w:pPr>
      <w:tabs>
        <w:tab w:val="right" w:pos="8845"/>
      </w:tabs>
      <w:suppressAutoHyphens/>
      <w:snapToGrid w:val="0"/>
      <w:spacing w:line="228" w:lineRule="auto"/>
      <w:jc w:val="both"/>
    </w:pPr>
    <w:rPr>
      <w:rFonts w:ascii="Minion Pro" w:eastAsia="Times New Roman" w:hAnsi="Minion Pro" w:cs="Times New Roman"/>
      <w:color w:val="000000"/>
      <w:sz w:val="16"/>
      <w:lang w:eastAsia="de-DE"/>
    </w:rPr>
  </w:style>
  <w:style w:type="paragraph" w:customStyle="1" w:styleId="TSPheader">
    <w:name w:val="TSP_header"/>
    <w:qFormat/>
    <w:rsid w:val="00796DD9"/>
    <w:pPr>
      <w:adjustRightInd w:val="0"/>
      <w:snapToGrid w:val="0"/>
      <w:spacing w:line="228" w:lineRule="auto"/>
      <w:jc w:val="both"/>
    </w:pPr>
    <w:rPr>
      <w:rFonts w:ascii="Minion Pro" w:eastAsia="Times New Roman" w:hAnsi="Minion Pro" w:cs="Times New Roman"/>
      <w:iCs/>
      <w:color w:val="000000"/>
      <w:sz w:val="16"/>
      <w:lang w:eastAsia="de-DE"/>
    </w:rPr>
  </w:style>
  <w:style w:type="paragraph" w:customStyle="1" w:styleId="TSPheadercitation">
    <w:name w:val="TSP_header_citation"/>
    <w:qFormat/>
    <w:rsid w:val="00796DD9"/>
    <w:pPr>
      <w:spacing w:line="228" w:lineRule="auto"/>
    </w:pPr>
    <w:rPr>
      <w:rFonts w:ascii="Minion Pro" w:eastAsia="Times New Roman" w:hAnsi="Minion Pro" w:cs="Times New Roman"/>
      <w:snapToGrid w:val="0"/>
      <w:color w:val="000000"/>
      <w:sz w:val="16"/>
      <w:lang w:eastAsia="de-DE" w:bidi="en-US"/>
    </w:rPr>
  </w:style>
  <w:style w:type="paragraph" w:customStyle="1" w:styleId="TSPheaderjournallogo">
    <w:name w:val="TSP_header_journal_logo"/>
    <w:qFormat/>
    <w:rsid w:val="00796DD9"/>
    <w:pPr>
      <w:adjustRightInd w:val="0"/>
      <w:snapToGrid w:val="0"/>
      <w:spacing w:line="240" w:lineRule="atLeast"/>
    </w:pPr>
    <w:rPr>
      <w:rFonts w:ascii="Minion Pro" w:eastAsia="Times New Roman" w:hAnsi="Minion Pro" w:cs="Times New Roman"/>
      <w:color w:val="000000"/>
      <w:sz w:val="22"/>
      <w:szCs w:val="22"/>
      <w:lang w:eastAsia="de-CH"/>
    </w:rPr>
  </w:style>
  <w:style w:type="paragraph" w:customStyle="1" w:styleId="TSPtext">
    <w:name w:val="TSP_text"/>
    <w:qFormat/>
    <w:rsid w:val="00796DD9"/>
    <w:pPr>
      <w:snapToGrid w:val="0"/>
      <w:spacing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sz w:val="22"/>
      <w:szCs w:val="22"/>
      <w:lang w:eastAsia="de-DE" w:bidi="en-US"/>
    </w:rPr>
  </w:style>
  <w:style w:type="paragraph" w:customStyle="1" w:styleId="TSPtitle">
    <w:name w:val="TSP_title"/>
    <w:qFormat/>
    <w:rsid w:val="00796DD9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sz w:val="28"/>
      <w:lang w:eastAsia="de-DE" w:bidi="en-US"/>
    </w:rPr>
  </w:style>
  <w:style w:type="paragraph" w:customStyle="1" w:styleId="MsoFootnoteText0">
    <w:name w:val="MsoFootnoteText"/>
    <w:basedOn w:val="NormalWeb"/>
    <w:qFormat/>
    <w:rsid w:val="00796DD9"/>
    <w:pPr>
      <w:widowControl/>
      <w:spacing w:line="280" w:lineRule="atLeast"/>
      <w:jc w:val="both"/>
    </w:pPr>
    <w:rPr>
      <w:rFonts w:eastAsia="宋体"/>
      <w:color w:val="000000"/>
      <w:kern w:val="0"/>
      <w:sz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796DD9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Production Team</cp:lastModifiedBy>
  <cp:revision>14</cp:revision>
  <dcterms:created xsi:type="dcterms:W3CDTF">2026-07-01T15:22:00Z</dcterms:created>
  <dcterms:modified xsi:type="dcterms:W3CDTF">2026-07-30T05:49:00Z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bf3bcd9e-b0a3-4429-bf79-f90f808002ee</vt:lpwstr>
  </property>
  <property fmtid="{D5CDD505-2E9C-101B-9397-08002B2CF9AE}" pid="3" name="KSOProductBuildVer">
    <vt:lpwstr>1033-12.1.0.27458</vt:lpwstr>
  </property>
  <property fmtid="{D5CDD505-2E9C-101B-9397-08002B2CF9AE}" pid="4" name="ICV">
    <vt:lpwstr>2FC4E2F207414FD58C5D6C97839060A9_13</vt:lpwstr>
  </property>
  <property fmtid="{D5CDD505-2E9C-101B-9397-08002B2CF9AE}" pid="5" name="KSOTemplateDocerSaveRecord">
    <vt:lpwstr>eyJoZGlkIjoiMWIxOWY5NjA2OGNlNjNmNGM0OGEyMzcyNDYwMmIzMTYiLCJ1c2VySWQiOiIxMzc0NDEyNzUyODEifQ==</vt:lpwstr>
  </property>
</Properties>
</file>