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3D934" w14:textId="29BE2256" w:rsidR="00AD1228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Supplementary Table </w:t>
      </w:r>
      <w:r w:rsidR="00F4319C">
        <w:rPr>
          <w:rFonts w:ascii="Times New Roman" w:hAnsi="Times New Roman" w:cs="Times New Roman" w:hint="eastAsia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1. Functional summary of programmed cell death pathways.</w:t>
      </w:r>
    </w:p>
    <w:tbl>
      <w:tblPr>
        <w:tblW w:w="0" w:type="auto"/>
        <w:jc w:val="center"/>
        <w:tblBorders>
          <w:top w:val="single" w:sz="4" w:space="0" w:color="auto"/>
          <w:left w:val="single" w:sz="6" w:space="0" w:color="A6A6A6"/>
          <w:bottom w:val="single" w:sz="4" w:space="0" w:color="auto"/>
          <w:right w:val="single" w:sz="6" w:space="0" w:color="A6A6A6"/>
          <w:insideH w:val="single" w:sz="6" w:space="0" w:color="A6A6A6"/>
          <w:insideV w:val="single" w:sz="6" w:space="0" w:color="A6A6A6"/>
        </w:tblBorders>
        <w:tblLook w:val="04A0" w:firstRow="1" w:lastRow="0" w:firstColumn="1" w:lastColumn="0" w:noHBand="0" w:noVBand="1"/>
      </w:tblPr>
      <w:tblGrid>
        <w:gridCol w:w="1858"/>
        <w:gridCol w:w="766"/>
        <w:gridCol w:w="1596"/>
        <w:gridCol w:w="1381"/>
        <w:gridCol w:w="1341"/>
        <w:gridCol w:w="1348"/>
      </w:tblGrid>
      <w:tr w:rsidR="00AD1228" w14:paraId="017A0E62" w14:textId="77777777">
        <w:trPr>
          <w:jc w:val="center"/>
        </w:trPr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0735D" w14:textId="77777777" w:rsidR="00AD122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Pathway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6779A" w14:textId="77777777" w:rsidR="00AD122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Cancer type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706FE" w14:textId="77777777" w:rsidR="00AD122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Key driver/example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41305" w14:textId="77777777" w:rsidR="00AD122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Predominant immune effect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A6B00" w14:textId="77777777" w:rsidR="00AD122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Therapeutic implication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7C414" w14:textId="77777777" w:rsidR="00AD122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Representative refs.</w:t>
            </w:r>
          </w:p>
        </w:tc>
      </w:tr>
      <w:tr w:rsidR="00AD1228" w14:paraId="776304F4" w14:textId="77777777">
        <w:trPr>
          <w:jc w:val="center"/>
        </w:trPr>
        <w:tc>
          <w:tcPr>
            <w:tcW w:w="1552" w:type="dxa"/>
            <w:tcBorders>
              <w:top w:val="single" w:sz="4" w:space="0" w:color="auto"/>
            </w:tcBorders>
            <w:vAlign w:val="center"/>
          </w:tcPr>
          <w:p w14:paraId="42867448" w14:textId="77777777" w:rsidR="00AD122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Ferroptosis</w:t>
            </w:r>
          </w:p>
        </w:tc>
        <w:tc>
          <w:tcPr>
            <w:tcW w:w="1072" w:type="dxa"/>
            <w:tcBorders>
              <w:top w:val="single" w:sz="4" w:space="0" w:color="auto"/>
            </w:tcBorders>
            <w:vAlign w:val="center"/>
          </w:tcPr>
          <w:p w14:paraId="3B27CE37" w14:textId="77777777" w:rsidR="00AD122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PCa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011EF40B" w14:textId="77777777" w:rsidR="00AD122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GPX4 inhibition, YTHDF1/PD-L1, CAR-NK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vAlign w:val="center"/>
          </w:tcPr>
          <w:p w14:paraId="1B84F83B" w14:textId="77777777" w:rsidR="00AD122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Can enhance CD8+ T-cell activity and immunogenicity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vAlign w:val="center"/>
          </w:tcPr>
          <w:p w14:paraId="5733A5AF" w14:textId="77777777" w:rsidR="00AD122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Tumor-selective induction may sensitize immunotherapy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vAlign w:val="center"/>
          </w:tcPr>
          <w:p w14:paraId="7367FD08" w14:textId="77777777" w:rsidR="00AD122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[20-27]</w:t>
            </w:r>
          </w:p>
        </w:tc>
      </w:tr>
      <w:tr w:rsidR="00AD1228" w14:paraId="57A89392" w14:textId="77777777">
        <w:trPr>
          <w:jc w:val="center"/>
        </w:trPr>
        <w:tc>
          <w:tcPr>
            <w:tcW w:w="1552" w:type="dxa"/>
            <w:vAlign w:val="center"/>
          </w:tcPr>
          <w:p w14:paraId="2CC1F7F5" w14:textId="77777777" w:rsidR="00AD122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Ferroptosis</w:t>
            </w:r>
          </w:p>
        </w:tc>
        <w:tc>
          <w:tcPr>
            <w:tcW w:w="1072" w:type="dxa"/>
            <w:vAlign w:val="center"/>
          </w:tcPr>
          <w:p w14:paraId="28523A76" w14:textId="77777777" w:rsidR="00AD122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BC</w:t>
            </w:r>
          </w:p>
        </w:tc>
        <w:tc>
          <w:tcPr>
            <w:tcW w:w="1596" w:type="dxa"/>
            <w:vAlign w:val="center"/>
          </w:tcPr>
          <w:p w14:paraId="75998D24" w14:textId="77777777" w:rsidR="00AD122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WTAP/NRF2, intravesical ferroptosis nanoplatforms</w:t>
            </w:r>
          </w:p>
        </w:tc>
        <w:tc>
          <w:tcPr>
            <w:tcW w:w="1381" w:type="dxa"/>
            <w:vAlign w:val="center"/>
          </w:tcPr>
          <w:p w14:paraId="1EC89AD6" w14:textId="77777777" w:rsidR="00AD122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Promotes ICD, dendritic-cell maturation, and T-cell infiltration</w:t>
            </w:r>
          </w:p>
        </w:tc>
        <w:tc>
          <w:tcPr>
            <w:tcW w:w="1341" w:type="dxa"/>
            <w:vAlign w:val="center"/>
          </w:tcPr>
          <w:p w14:paraId="10E8C7DB" w14:textId="77777777" w:rsidR="00AD122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Localized induction may overcome checkpoint resistance</w:t>
            </w:r>
          </w:p>
        </w:tc>
        <w:tc>
          <w:tcPr>
            <w:tcW w:w="1348" w:type="dxa"/>
            <w:vAlign w:val="center"/>
          </w:tcPr>
          <w:p w14:paraId="4D47D44E" w14:textId="77777777" w:rsidR="00AD122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[28-31]</w:t>
            </w:r>
          </w:p>
        </w:tc>
      </w:tr>
      <w:tr w:rsidR="00AD1228" w14:paraId="7D3013CC" w14:textId="77777777">
        <w:trPr>
          <w:jc w:val="center"/>
        </w:trPr>
        <w:tc>
          <w:tcPr>
            <w:tcW w:w="1552" w:type="dxa"/>
            <w:vAlign w:val="center"/>
          </w:tcPr>
          <w:p w14:paraId="79321CB4" w14:textId="77777777" w:rsidR="00AD122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Ferroptosis</w:t>
            </w:r>
          </w:p>
        </w:tc>
        <w:tc>
          <w:tcPr>
            <w:tcW w:w="1072" w:type="dxa"/>
            <w:vAlign w:val="center"/>
          </w:tcPr>
          <w:p w14:paraId="12842F56" w14:textId="77777777" w:rsidR="00AD122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RCC</w:t>
            </w:r>
          </w:p>
        </w:tc>
        <w:tc>
          <w:tcPr>
            <w:tcW w:w="1596" w:type="dxa"/>
            <w:vAlign w:val="center"/>
          </w:tcPr>
          <w:p w14:paraId="7418B926" w14:textId="77777777" w:rsidR="00AD122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FDX1, PRMT5/ACSL4, SLC7A11 vulnerability in T cells</w:t>
            </w:r>
          </w:p>
        </w:tc>
        <w:tc>
          <w:tcPr>
            <w:tcW w:w="1381" w:type="dxa"/>
            <w:vAlign w:val="center"/>
          </w:tcPr>
          <w:p w14:paraId="7383EEDF" w14:textId="77777777" w:rsidR="00AD122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Dual effect: tumor killing but possible immune-cell ferroptosis</w:t>
            </w:r>
          </w:p>
        </w:tc>
        <w:tc>
          <w:tcPr>
            <w:tcW w:w="1341" w:type="dxa"/>
            <w:vAlign w:val="center"/>
          </w:tcPr>
          <w:p w14:paraId="276FDBD2" w14:textId="77777777" w:rsidR="00AD122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Requires biomarker-guided, cell-type-specific control</w:t>
            </w:r>
          </w:p>
        </w:tc>
        <w:tc>
          <w:tcPr>
            <w:tcW w:w="1348" w:type="dxa"/>
            <w:vAlign w:val="center"/>
          </w:tcPr>
          <w:p w14:paraId="0950D60B" w14:textId="77777777" w:rsidR="00AD122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[6, 33-37]</w:t>
            </w:r>
          </w:p>
        </w:tc>
      </w:tr>
      <w:tr w:rsidR="00AD1228" w14:paraId="7E069B01" w14:textId="77777777">
        <w:trPr>
          <w:jc w:val="center"/>
        </w:trPr>
        <w:tc>
          <w:tcPr>
            <w:tcW w:w="1552" w:type="dxa"/>
            <w:vAlign w:val="center"/>
          </w:tcPr>
          <w:p w14:paraId="387474F7" w14:textId="77777777" w:rsidR="00AD122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Cuproptosis</w:t>
            </w:r>
          </w:p>
        </w:tc>
        <w:tc>
          <w:tcPr>
            <w:tcW w:w="1072" w:type="dxa"/>
            <w:vAlign w:val="center"/>
          </w:tcPr>
          <w:p w14:paraId="66B80B4F" w14:textId="77777777" w:rsidR="00AD122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RCC, PCa, BC</w:t>
            </w:r>
          </w:p>
        </w:tc>
        <w:tc>
          <w:tcPr>
            <w:tcW w:w="1596" w:type="dxa"/>
            <w:vAlign w:val="center"/>
          </w:tcPr>
          <w:p w14:paraId="3D96BEE6" w14:textId="77777777" w:rsidR="00AD122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FDX1-related copper toxicity, PDHA1/SLC7A11, nanoplatforms</w:t>
            </w:r>
          </w:p>
        </w:tc>
        <w:tc>
          <w:tcPr>
            <w:tcW w:w="1381" w:type="dxa"/>
            <w:vAlign w:val="center"/>
          </w:tcPr>
          <w:p w14:paraId="5B26584B" w14:textId="77777777" w:rsidR="00AD122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May enhance antigen presentation and T-cell recruitment</w:t>
            </w:r>
          </w:p>
        </w:tc>
        <w:tc>
          <w:tcPr>
            <w:tcW w:w="1341" w:type="dxa"/>
            <w:vAlign w:val="center"/>
          </w:tcPr>
          <w:p w14:paraId="69160DCF" w14:textId="77777777" w:rsidR="00AD122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Potential adjunct to checkpoint blockade; evidence remains preclinical</w:t>
            </w:r>
          </w:p>
        </w:tc>
        <w:tc>
          <w:tcPr>
            <w:tcW w:w="1348" w:type="dxa"/>
            <w:vAlign w:val="center"/>
          </w:tcPr>
          <w:p w14:paraId="0E1CB2DE" w14:textId="77777777" w:rsidR="00AD122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[39-44]</w:t>
            </w:r>
          </w:p>
        </w:tc>
      </w:tr>
      <w:tr w:rsidR="00AD1228" w14:paraId="5A18713E" w14:textId="77777777">
        <w:trPr>
          <w:jc w:val="center"/>
        </w:trPr>
        <w:tc>
          <w:tcPr>
            <w:tcW w:w="1552" w:type="dxa"/>
            <w:vAlign w:val="center"/>
          </w:tcPr>
          <w:p w14:paraId="5E756395" w14:textId="77777777" w:rsidR="00AD122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Autophagy</w:t>
            </w:r>
          </w:p>
        </w:tc>
        <w:tc>
          <w:tcPr>
            <w:tcW w:w="1072" w:type="dxa"/>
            <w:vAlign w:val="center"/>
          </w:tcPr>
          <w:p w14:paraId="587A2C76" w14:textId="77777777" w:rsidR="00AD122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RCC, BC, PCa</w:t>
            </w:r>
          </w:p>
        </w:tc>
        <w:tc>
          <w:tcPr>
            <w:tcW w:w="1596" w:type="dxa"/>
            <w:vAlign w:val="center"/>
          </w:tcPr>
          <w:p w14:paraId="620882D5" w14:textId="77777777" w:rsidR="00AD122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PBRM1, USP8, PIKfyve, PD-L1/MHC-I regulation</w:t>
            </w:r>
          </w:p>
        </w:tc>
        <w:tc>
          <w:tcPr>
            <w:tcW w:w="1381" w:type="dxa"/>
            <w:vAlign w:val="center"/>
          </w:tcPr>
          <w:p w14:paraId="7B9008A8" w14:textId="77777777" w:rsidR="00AD122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Tumor-cell autophagy often promotes immune evasion; immune-cell autophagy may be protective</w:t>
            </w:r>
          </w:p>
        </w:tc>
        <w:tc>
          <w:tcPr>
            <w:tcW w:w="1341" w:type="dxa"/>
            <w:vAlign w:val="center"/>
          </w:tcPr>
          <w:p w14:paraId="5FA908B8" w14:textId="77777777" w:rsidR="00AD122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Favors compartment-specific modulation rather than global inhibition</w:t>
            </w:r>
          </w:p>
        </w:tc>
        <w:tc>
          <w:tcPr>
            <w:tcW w:w="1348" w:type="dxa"/>
            <w:vAlign w:val="center"/>
          </w:tcPr>
          <w:p w14:paraId="72C06610" w14:textId="77777777" w:rsidR="00AD122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[21, 46-5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</w:tr>
      <w:tr w:rsidR="00AD1228" w14:paraId="19E8FE80" w14:textId="77777777">
        <w:trPr>
          <w:jc w:val="center"/>
        </w:trPr>
        <w:tc>
          <w:tcPr>
            <w:tcW w:w="1552" w:type="dxa"/>
            <w:vAlign w:val="center"/>
          </w:tcPr>
          <w:p w14:paraId="76BD340F" w14:textId="77777777" w:rsidR="00AD122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Pyroptosis/PANoptosis</w:t>
            </w:r>
          </w:p>
        </w:tc>
        <w:tc>
          <w:tcPr>
            <w:tcW w:w="1072" w:type="dxa"/>
            <w:vAlign w:val="center"/>
          </w:tcPr>
          <w:p w14:paraId="538309CD" w14:textId="77777777" w:rsidR="00AD122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RCC, PCa, BC</w:t>
            </w:r>
          </w:p>
        </w:tc>
        <w:tc>
          <w:tcPr>
            <w:tcW w:w="1596" w:type="dxa"/>
            <w:vAlign w:val="center"/>
          </w:tcPr>
          <w:p w14:paraId="651BDC1B" w14:textId="77777777" w:rsidR="00AD122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GSDMD/GSDME, STING, AIM2, nano-immunotherapy</w:t>
            </w:r>
          </w:p>
        </w:tc>
        <w:tc>
          <w:tcPr>
            <w:tcW w:w="1381" w:type="dxa"/>
            <w:vAlign w:val="center"/>
          </w:tcPr>
          <w:p w14:paraId="78D7E174" w14:textId="77777777" w:rsidR="00AD122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Promotes inflammatory signaling, DAMP release, and T-cell recruitment</w:t>
            </w:r>
          </w:p>
        </w:tc>
        <w:tc>
          <w:tcPr>
            <w:tcW w:w="1341" w:type="dxa"/>
            <w:vAlign w:val="center"/>
          </w:tcPr>
          <w:p w14:paraId="0CF123B1" w14:textId="77777777" w:rsidR="00AD122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Promising for immune activation, but safety and translational control are critical</w:t>
            </w:r>
          </w:p>
        </w:tc>
        <w:tc>
          <w:tcPr>
            <w:tcW w:w="1348" w:type="dxa"/>
            <w:vAlign w:val="center"/>
          </w:tcPr>
          <w:p w14:paraId="19F2FD38" w14:textId="77777777" w:rsidR="00AD122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[13, 15, 16, 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</w:tr>
    </w:tbl>
    <w:p w14:paraId="1A782DF9" w14:textId="1A17ED55" w:rsidR="00AD1228" w:rsidRDefault="00000000">
      <w:pPr>
        <w:spacing w:line="360" w:lineRule="auto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Notes: Abbreviations: ACSL4, acyl-CoA synthetase long-chain family member 4; AIM2, absent in melanoma 2; BC, bladder cancer; CAR-NK, chimeric antigen receptor-engineered natural killer cell; CD8, cluster of differentiation 8; DAMP, damage-associated molecular pattern; FDX1, ferredoxin 1; GPX4, glutathione peroxidase 4; GSDMD, gasdermin D; GSDME, gasdermin E; ICD, immunogenic cell death; MHC-I, major histocompatibility complex class I; NRF2, nuclear factor erythroid 2-related factor 2; PBRM1, polybromo 1; PCa, prostate cancer; PD-1, programmed cell death protein 1; PD-L1, programmed death-ligand 1; PDHA1, pyruvate dehydrogenase E1 subunit alpha 1; PIKfyve, phosphoinositide kinase, FYVE-type zinc finger containing; PRMT5, protein arginine methyltransferase 5; RCC, renal cell carcinoma; SLC7A11, solute carrier family 7 member 11; STING, stimulator of interferon genes; USP8, ubiquitin-specific peptidase 8;</w:t>
      </w:r>
      <w:r w:rsidR="00D0216A" w:rsidRPr="00D0216A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D0216A">
        <w:rPr>
          <w:rFonts w:ascii="Times New Roman" w:hAnsi="Times New Roman" w:cs="Times New Roman"/>
          <w:sz w:val="24"/>
          <w:szCs w:val="24"/>
          <w:lang w:val="it-IT"/>
        </w:rPr>
        <w:t>WTAP, Wilms tumor 1-associated protein</w:t>
      </w:r>
      <w:r>
        <w:rPr>
          <w:rFonts w:ascii="Times New Roman" w:hAnsi="Times New Roman" w:cs="Times New Roman"/>
          <w:sz w:val="24"/>
          <w:szCs w:val="24"/>
          <w:lang w:val="it-IT"/>
        </w:rPr>
        <w:t>; YTHDF1, YTH N6-methyladenosine RNA-binding protein F1.</w:t>
      </w:r>
    </w:p>
    <w:p w14:paraId="0F886926" w14:textId="77777777" w:rsidR="00AD1228" w:rsidRPr="00D0216A" w:rsidRDefault="00AD1228">
      <w:pPr>
        <w:rPr>
          <w:rFonts w:ascii="Times New Roman" w:hAnsi="Times New Roman" w:cs="Times New Roman"/>
          <w:sz w:val="24"/>
          <w:szCs w:val="24"/>
          <w:lang w:val="it-IT"/>
        </w:rPr>
      </w:pPr>
    </w:p>
    <w:sectPr w:rsidR="00AD1228" w:rsidRPr="00D021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960"/>
    <w:rsid w:val="00023276"/>
    <w:rsid w:val="000475E1"/>
    <w:rsid w:val="0008444B"/>
    <w:rsid w:val="001D72F4"/>
    <w:rsid w:val="0023577F"/>
    <w:rsid w:val="00236813"/>
    <w:rsid w:val="00271DC4"/>
    <w:rsid w:val="002D5C1C"/>
    <w:rsid w:val="0033189A"/>
    <w:rsid w:val="003B1EA4"/>
    <w:rsid w:val="0041722B"/>
    <w:rsid w:val="00464AD7"/>
    <w:rsid w:val="004D4919"/>
    <w:rsid w:val="004F77B1"/>
    <w:rsid w:val="0050291E"/>
    <w:rsid w:val="00546AA4"/>
    <w:rsid w:val="005A1960"/>
    <w:rsid w:val="006C1426"/>
    <w:rsid w:val="0074307D"/>
    <w:rsid w:val="007471E6"/>
    <w:rsid w:val="00852815"/>
    <w:rsid w:val="0086470D"/>
    <w:rsid w:val="0099713B"/>
    <w:rsid w:val="00A135B4"/>
    <w:rsid w:val="00A74C4E"/>
    <w:rsid w:val="00AC3148"/>
    <w:rsid w:val="00AD1228"/>
    <w:rsid w:val="00AD3981"/>
    <w:rsid w:val="00AF4B9E"/>
    <w:rsid w:val="00B039FB"/>
    <w:rsid w:val="00B67F35"/>
    <w:rsid w:val="00D0216A"/>
    <w:rsid w:val="00D51BB3"/>
    <w:rsid w:val="00D61324"/>
    <w:rsid w:val="00D95388"/>
    <w:rsid w:val="00DC5250"/>
    <w:rsid w:val="00DF2141"/>
    <w:rsid w:val="00E2657C"/>
    <w:rsid w:val="00EA3FAF"/>
    <w:rsid w:val="00F4319C"/>
    <w:rsid w:val="00FE1BE6"/>
    <w:rsid w:val="2F6F7B02"/>
    <w:rsid w:val="448367C2"/>
    <w:rsid w:val="7CA02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CE09A5"/>
  <w15:docId w15:val="{1792910F-C51F-45F7-B8EC-086717048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 w:line="278" w:lineRule="auto"/>
      <w:jc w:val="left"/>
      <w:outlineLvl w:val="3"/>
    </w:pPr>
    <w:rPr>
      <w:rFonts w:cstheme="majorBidi"/>
      <w:color w:val="0F4761" w:themeColor="accent1" w:themeShade="BF"/>
      <w:sz w:val="28"/>
      <w:szCs w:val="28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 w:line="278" w:lineRule="auto"/>
      <w:jc w:val="left"/>
      <w:outlineLvl w:val="4"/>
    </w:pPr>
    <w:rPr>
      <w:rFonts w:cstheme="majorBidi"/>
      <w:color w:val="0F4761" w:themeColor="accent1" w:themeShade="BF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0F4761" w:themeColor="accent1" w:themeShade="BF"/>
      <w:sz w:val="2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jc w:val="left"/>
    </w:p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spacing w:after="160"/>
      <w:jc w:val="left"/>
    </w:pPr>
    <w:rPr>
      <w:sz w:val="18"/>
      <w:szCs w:val="18"/>
      <w14:ligatures w14:val="standardContextual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153"/>
        <w:tab w:val="right" w:pos="8306"/>
      </w:tabs>
      <w:snapToGrid w:val="0"/>
      <w:spacing w:after="160"/>
      <w:jc w:val="center"/>
    </w:pPr>
    <w:rPr>
      <w:sz w:val="18"/>
      <w:szCs w:val="18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paragraph" w:styleId="NormalWeb">
    <w:name w:val="Normal (Web)"/>
    <w:basedOn w:val="Normal"/>
    <w:uiPriority w:val="99"/>
    <w:semiHidden/>
    <w:unhideWhenUsed/>
    <w:rPr>
      <w:sz w:val="24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cstheme="majorBidi"/>
      <w:color w:val="0F4761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160" w:line="278" w:lineRule="auto"/>
      <w:jc w:val="center"/>
    </w:pPr>
    <w:rPr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spacing w:after="160" w:line="278" w:lineRule="auto"/>
      <w:ind w:left="720"/>
      <w:contextualSpacing/>
      <w:jc w:val="left"/>
    </w:pPr>
    <w:rPr>
      <w:sz w:val="22"/>
      <w:szCs w:val="24"/>
      <w14:ligatures w14:val="standardContextual"/>
    </w:rPr>
  </w:style>
  <w:style w:type="character" w:customStyle="1" w:styleId="1">
    <w:name w:val="明显强调1"/>
    <w:basedOn w:val="DefaultParagraphFont"/>
    <w:uiPriority w:val="21"/>
    <w:qFormat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0F4761" w:themeColor="accent1" w:themeShade="BF"/>
    </w:rPr>
  </w:style>
  <w:style w:type="character" w:customStyle="1" w:styleId="10">
    <w:name w:val="明显参考1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paragraph" w:customStyle="1" w:styleId="11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1"/>
      <w:szCs w:val="22"/>
      <w14:ligatures w14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1"/>
      <w:szCs w:val="22"/>
      <w14:ligatures w14:val="none"/>
    </w:rPr>
  </w:style>
  <w:style w:type="paragraph" w:customStyle="1" w:styleId="2">
    <w:name w:val="修订2"/>
    <w:hidden/>
    <w:uiPriority w:val="99"/>
    <w:unhideWhenUsed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Revision">
    <w:name w:val="Revision"/>
    <w:hidden/>
    <w:uiPriority w:val="99"/>
    <w:unhideWhenUsed/>
    <w:rsid w:val="00D0216A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369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 Qingxin</dc:creator>
  <cp:lastModifiedBy>Production Team</cp:lastModifiedBy>
  <cp:revision>17</cp:revision>
  <dcterms:created xsi:type="dcterms:W3CDTF">2026-07-11T09:26:00Z</dcterms:created>
  <dcterms:modified xsi:type="dcterms:W3CDTF">2026-08-11T06:39:00Z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34440e31-3838-4c04-bb76-16f86f91d5ff</vt:lpwstr>
  </property>
  <property fmtid="{D5CDD505-2E9C-101B-9397-08002B2CF9AE}" pid="3" name="KSOProductBuildVer">
    <vt:lpwstr>2052-12.1.0.28043</vt:lpwstr>
  </property>
  <property fmtid="{D5CDD505-2E9C-101B-9397-08002B2CF9AE}" pid="4" name="ICV">
    <vt:lpwstr>162831433471456AA9E6A82FFFEC733F_13</vt:lpwstr>
  </property>
  <property fmtid="{D5CDD505-2E9C-101B-9397-08002B2CF9AE}" pid="5" name="KSOTemplateDocerSaveRecord">
    <vt:lpwstr>eyJoZGlkIjoiYjJjOTQxYzhjODMyMDAzZmE0MDJkMWFkNmJlNDkwYTUiLCJ1c2VySWQiOiIxNDM1NTAxMjYxIn0=</vt:lpwstr>
  </property>
</Properties>
</file>