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06A5A" w14:textId="77777777" w:rsidR="001B6B69" w:rsidRDefault="00000000">
      <w:pPr>
        <w:pStyle w:val="NormalWeb"/>
        <w:widowControl/>
      </w:pPr>
      <w:r>
        <w:rPr>
          <w:noProof/>
        </w:rPr>
        <w:drawing>
          <wp:inline distT="0" distB="0" distL="0" distR="0" wp14:anchorId="20EFA65A" wp14:editId="24CD9C38">
            <wp:extent cx="5237480" cy="4369435"/>
            <wp:effectExtent l="0" t="0" r="0" b="0"/>
            <wp:docPr id="14126402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264025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40461" cy="43723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3CE173" w14:textId="4CA93B55" w:rsidR="001B6B69" w:rsidRDefault="00000000">
      <w:pPr>
        <w:spacing w:after="240"/>
        <w:rPr>
          <w:rFonts w:ascii="Times New Roman" w:hAnsi="Times New Roman" w:cs="Times New Roman"/>
          <w:bCs/>
          <w:sz w:val="22"/>
          <w:szCs w:val="22"/>
          <w:lang w:val="fr-FR"/>
        </w:rPr>
      </w:pP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>S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uppl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>e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ment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>ary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 xml:space="preserve"> Figure </w:t>
      </w:r>
      <w:r w:rsidR="00720368"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S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>1.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 xml:space="preserve"> Quantitative analysis of cell motility and invasion in breast cancer cells with SNX9 overexpression or knockdown.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 xml:space="preserve">Related to Figure 4.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A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-F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) </w:t>
      </w:r>
      <w:r>
        <w:rPr>
          <w:rFonts w:ascii="Times New Roman" w:hAnsi="Times New Roman" w:cs="Times New Roman"/>
          <w:sz w:val="22"/>
          <w:szCs w:val="22"/>
        </w:rPr>
        <w:t xml:space="preserve">The 2D migration ability of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A)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BT-549 SNX9-OE cells</w:t>
      </w:r>
      <w:r>
        <w:rPr>
          <w:rFonts w:ascii="Times New Roman" w:hAnsi="Times New Roman" w:cs="Times New Roman" w:hint="eastAsia"/>
          <w:sz w:val="22"/>
          <w:szCs w:val="22"/>
        </w:rPr>
        <w:t xml:space="preserve"> and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D)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MDA-MB-231 SNX9-KD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cells were measured by wound healing assay. The effect of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B)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SNX9</w:t>
      </w:r>
      <w:r>
        <w:rPr>
          <w:rFonts w:ascii="Times New Roman" w:hAnsi="Times New Roman" w:cs="Times New Roman" w:hint="eastAsia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 xml:space="preserve">OE </w:t>
      </w:r>
      <w:r>
        <w:rPr>
          <w:rFonts w:ascii="Times New Roman" w:hAnsi="Times New Roman" w:cs="Times New Roman" w:hint="eastAsia"/>
          <w:sz w:val="22"/>
          <w:szCs w:val="22"/>
        </w:rPr>
        <w:t xml:space="preserve">cells and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E)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SNX9-KD</w:t>
      </w:r>
      <w:r>
        <w:rPr>
          <w:rFonts w:ascii="Times New Roman" w:hAnsi="Times New Roman" w:cs="Times New Roman" w:hint="eastAsia"/>
          <w:sz w:val="22"/>
          <w:szCs w:val="22"/>
        </w:rPr>
        <w:t xml:space="preserve"> cells </w:t>
      </w:r>
      <w:r>
        <w:rPr>
          <w:rFonts w:ascii="Times New Roman" w:hAnsi="Times New Roman" w:cs="Times New Roman"/>
          <w:sz w:val="22"/>
          <w:szCs w:val="22"/>
        </w:rPr>
        <w:t>on cell 3D migration ability was assessed by transwell assay, without coating Matrigel.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The effect of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C)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SNX9 OE</w:t>
      </w:r>
      <w:r>
        <w:rPr>
          <w:rFonts w:ascii="Times New Roman" w:hAnsi="Times New Roman" w:cs="Times New Roman" w:hint="eastAsia"/>
          <w:sz w:val="22"/>
          <w:szCs w:val="22"/>
        </w:rPr>
        <w:t xml:space="preserve"> cells and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F)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SNX9-KD </w:t>
      </w:r>
      <w:r>
        <w:rPr>
          <w:rFonts w:ascii="Times New Roman" w:hAnsi="Times New Roman" w:cs="Times New Roman" w:hint="eastAsia"/>
          <w:sz w:val="22"/>
          <w:szCs w:val="22"/>
        </w:rPr>
        <w:t xml:space="preserve">cells </w:t>
      </w:r>
      <w:r>
        <w:rPr>
          <w:rFonts w:ascii="Times New Roman" w:hAnsi="Times New Roman" w:cs="Times New Roman"/>
          <w:sz w:val="22"/>
          <w:szCs w:val="22"/>
        </w:rPr>
        <w:t>on cell invasion ability was assessed by Matrigel-coated transwell assay.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Data were analyzed by Student’s </w:t>
      </w:r>
      <w:r>
        <w:rPr>
          <w:rFonts w:ascii="Times New Roman" w:hAnsi="Times New Roman" w:cs="Times New Roman"/>
          <w:bCs/>
          <w:i/>
          <w:iCs/>
          <w:sz w:val="22"/>
          <w:szCs w:val="22"/>
          <w:lang w:val="fr-FR"/>
        </w:rPr>
        <w:t>t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-test</w:t>
      </w:r>
      <w:r>
        <w:rPr>
          <w:rFonts w:ascii="Times New Roman" w:eastAsia="宋体" w:hAnsi="Times New Roman" w:cs="Times New Roman"/>
          <w:bCs/>
          <w:sz w:val="22"/>
          <w:szCs w:val="22"/>
          <w:lang w:val="fr-FR"/>
        </w:rPr>
        <w:t xml:space="preserve"> (</w:t>
      </w:r>
      <w:r>
        <w:rPr>
          <w:rFonts w:ascii="Times New Roman" w:eastAsia="宋体" w:hAnsi="Times New Roman" w:cs="Times New Roman"/>
          <w:b/>
          <w:sz w:val="22"/>
          <w:szCs w:val="22"/>
          <w:lang w:val="fr-FR"/>
        </w:rPr>
        <w:t xml:space="preserve">A, 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B</w:t>
      </w:r>
      <w:r>
        <w:rPr>
          <w:rFonts w:ascii="Times New Roman" w:eastAsia="宋体" w:hAnsi="Times New Roman" w:cs="Times New Roman"/>
          <w:b/>
          <w:sz w:val="22"/>
          <w:szCs w:val="22"/>
          <w:lang w:val="fr-FR"/>
        </w:rPr>
        <w:t xml:space="preserve">, 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C</w:t>
      </w:r>
      <w:r>
        <w:rPr>
          <w:rFonts w:ascii="Times New Roman" w:eastAsia="宋体" w:hAnsi="Times New Roman" w:cs="Times New Roman"/>
          <w:bCs/>
          <w:sz w:val="22"/>
          <w:szCs w:val="22"/>
          <w:lang w:val="fr-FR"/>
        </w:rPr>
        <w:t>)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for comparison between two groups and one-way </w:t>
      </w:r>
      <w:r>
        <w:rPr>
          <w:rFonts w:ascii="Times New Roman" w:hAnsi="Times New Roman" w:cs="Times New Roman"/>
          <w:bCs/>
          <w:i/>
          <w:iCs/>
          <w:sz w:val="22"/>
          <w:szCs w:val="22"/>
          <w:lang w:val="fr-FR"/>
        </w:rPr>
        <w:t>ANOVA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(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D</w:t>
      </w:r>
      <w:r>
        <w:rPr>
          <w:rFonts w:ascii="Times New Roman" w:eastAsia="宋体" w:hAnsi="Times New Roman" w:cs="Times New Roman"/>
          <w:b/>
          <w:sz w:val="22"/>
          <w:szCs w:val="22"/>
          <w:lang w:val="fr-FR"/>
        </w:rPr>
        <w:t xml:space="preserve">, 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E</w:t>
      </w:r>
      <w:r>
        <w:rPr>
          <w:rFonts w:ascii="Times New Roman" w:eastAsia="宋体" w:hAnsi="Times New Roman" w:cs="Times New Roman" w:hint="eastAsia"/>
          <w:b/>
          <w:sz w:val="22"/>
          <w:szCs w:val="22"/>
        </w:rPr>
        <w:t xml:space="preserve">, </w:t>
      </w:r>
      <w:r>
        <w:rPr>
          <w:rFonts w:ascii="Times New Roman" w:eastAsia="宋体" w:hAnsi="Times New Roman" w:cs="Times New Roman"/>
          <w:b/>
          <w:sz w:val="22"/>
          <w:szCs w:val="22"/>
          <w:lang w:val="fr-FR"/>
        </w:rPr>
        <w:t>F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) for comparisons involving more than two groups. Data were presented as mean ± SD. 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  <w:lang w:val="fr-FR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&lt;0.05, **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＜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0.01, ***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＜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0.001, and ****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&lt; 0.0001 </w:t>
      </w:r>
      <w:r>
        <w:rPr>
          <w:rFonts w:ascii="Times New Roman" w:hAnsi="Times New Roman" w:cs="Times New Roman" w:hint="eastAsia"/>
          <w:bCs/>
          <w:sz w:val="22"/>
          <w:szCs w:val="22"/>
          <w:lang w:val="fr-FR"/>
        </w:rPr>
        <w:t xml:space="preserve">versus 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to the control group.</w:t>
      </w:r>
    </w:p>
    <w:p w14:paraId="75A1E20C" w14:textId="77777777" w:rsidR="001B6B69" w:rsidRDefault="00000000">
      <w:pPr>
        <w:widowControl/>
        <w:jc w:val="left"/>
        <w:rPr>
          <w:rFonts w:ascii="Times New Roman" w:hAnsi="Times New Roman" w:cs="Times New Roman"/>
          <w:bCs/>
          <w:sz w:val="22"/>
          <w:szCs w:val="22"/>
          <w:lang w:val="fr-FR"/>
        </w:rPr>
      </w:pPr>
      <w:r>
        <w:rPr>
          <w:rFonts w:ascii="Times New Roman" w:hAnsi="Times New Roman" w:cs="Times New Roman"/>
          <w:bCs/>
          <w:sz w:val="22"/>
          <w:szCs w:val="22"/>
          <w:lang w:val="fr-FR"/>
        </w:rPr>
        <w:br w:type="page"/>
      </w:r>
      <w:r>
        <w:rPr>
          <w:rFonts w:ascii="Times New Roman" w:hAnsi="Times New Roman" w:cs="Times New Roman"/>
          <w:bCs/>
          <w:noProof/>
          <w:sz w:val="22"/>
          <w:szCs w:val="22"/>
          <w:lang w:val="fr-FR"/>
        </w:rPr>
        <w:lastRenderedPageBreak/>
        <w:drawing>
          <wp:inline distT="0" distB="0" distL="0" distR="0" wp14:anchorId="7EEEDBCB" wp14:editId="2C72F794">
            <wp:extent cx="4450715" cy="8775700"/>
            <wp:effectExtent l="0" t="0" r="0" b="0"/>
            <wp:docPr id="11391913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191395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97209" cy="8866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69EE81" w14:textId="135612D5" w:rsidR="001B6B69" w:rsidRDefault="00000000">
      <w:pPr>
        <w:widowControl/>
        <w:rPr>
          <w:rFonts w:ascii="Times New Roman" w:hAnsi="Times New Roman" w:cs="Times New Roman"/>
          <w:sz w:val="22"/>
          <w:szCs w:val="22"/>
          <w:lang w:val="fr-FR"/>
        </w:rPr>
      </w:pP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lastRenderedPageBreak/>
        <w:t>S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uppl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>e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ment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>ary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 xml:space="preserve"> Figure </w:t>
      </w:r>
      <w:r w:rsidR="00720368"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S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>2.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 xml:space="preserve"> Quantitative analysis of 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 xml:space="preserve">EGFR/ERK 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signaling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 xml:space="preserve"> pathway markers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 xml:space="preserve"> with SNX9 overexpression or knockdown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in breast cancer cells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 xml:space="preserve"> and tumor tissues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>.</w:t>
      </w:r>
      <w:r>
        <w:rPr>
          <w:rFonts w:ascii="Times New Roman" w:eastAsia="宋体" w:hAnsi="Times New Roman" w:cs="Times New Roman" w:hint="eastAsia"/>
          <w:b/>
          <w:spacing w:val="2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宋体" w:hAnsi="Times New Roman" w:cs="Times New Roman"/>
          <w:b/>
          <w:spacing w:val="2"/>
          <w:sz w:val="22"/>
          <w:szCs w:val="22"/>
          <w:shd w:val="clear" w:color="auto" w:fill="FFFFFF"/>
        </w:rPr>
        <w:t xml:space="preserve">Related to Figure 6. </w:t>
      </w:r>
      <w:r>
        <w:rPr>
          <w:rFonts w:ascii="Times New Roman" w:hAnsi="Times New Roman" w:cs="Times New Roman"/>
          <w:sz w:val="22"/>
          <w:szCs w:val="22"/>
        </w:rPr>
        <w:t xml:space="preserve">The </w:t>
      </w:r>
      <w:r>
        <w:rPr>
          <w:rFonts w:ascii="Times New Roman" w:hAnsi="Times New Roman" w:cs="Times New Roman" w:hint="eastAsia"/>
          <w:sz w:val="22"/>
          <w:szCs w:val="22"/>
        </w:rPr>
        <w:t>expression level</w:t>
      </w:r>
      <w:r>
        <w:rPr>
          <w:rFonts w:ascii="Times New Roman" w:hAnsi="Times New Roman" w:cs="Times New Roman"/>
          <w:sz w:val="22"/>
          <w:szCs w:val="22"/>
        </w:rPr>
        <w:t xml:space="preserve"> of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EGFR/ERK signaling pathway markers</w:t>
      </w:r>
      <w:r>
        <w:rPr>
          <w:rFonts w:ascii="Times New Roman" w:hAnsi="Times New Roman" w:cs="Times New Roman" w:hint="eastAsia"/>
          <w:sz w:val="22"/>
          <w:szCs w:val="22"/>
        </w:rPr>
        <w:t xml:space="preserve"> and SNX9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/>
          <w:b/>
          <w:bCs/>
          <w:sz w:val="22"/>
          <w:szCs w:val="22"/>
        </w:rPr>
        <w:t>A)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</w:rPr>
        <w:t xml:space="preserve">in </w:t>
      </w:r>
      <w:r>
        <w:rPr>
          <w:rFonts w:ascii="Times New Roman" w:hAnsi="Times New Roman" w:cs="Times New Roman"/>
          <w:sz w:val="22"/>
          <w:szCs w:val="22"/>
        </w:rPr>
        <w:t xml:space="preserve">SNX9-OE </w:t>
      </w:r>
      <w:r>
        <w:rPr>
          <w:rFonts w:ascii="Times New Roman" w:hAnsi="Times New Roman" w:cs="Times New Roman" w:hint="eastAsia"/>
          <w:sz w:val="22"/>
          <w:szCs w:val="22"/>
        </w:rPr>
        <w:t xml:space="preserve">MCF-7 cells,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B</w:t>
      </w:r>
      <w:r>
        <w:rPr>
          <w:rFonts w:ascii="Times New Roman" w:hAnsi="Times New Roman" w:cs="Times New Roman"/>
          <w:b/>
          <w:bCs/>
          <w:sz w:val="22"/>
          <w:szCs w:val="22"/>
        </w:rPr>
        <w:t>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SNX9-OE BT-549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cells</w:t>
      </w:r>
      <w:r>
        <w:rPr>
          <w:rFonts w:ascii="Times New Roman" w:hAnsi="Times New Roman" w:cs="Times New Roman" w:hint="eastAsia"/>
          <w:sz w:val="22"/>
          <w:szCs w:val="22"/>
        </w:rPr>
        <w:t xml:space="preserve">,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C</w:t>
      </w:r>
      <w:r>
        <w:rPr>
          <w:rFonts w:ascii="Times New Roman" w:hAnsi="Times New Roman" w:cs="Times New Roman"/>
          <w:b/>
          <w:bCs/>
          <w:sz w:val="22"/>
          <w:szCs w:val="22"/>
        </w:rPr>
        <w:t>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</w:rPr>
        <w:t xml:space="preserve">in </w:t>
      </w:r>
      <w:r>
        <w:rPr>
          <w:rFonts w:ascii="Times New Roman" w:hAnsi="Times New Roman" w:cs="Times New Roman"/>
          <w:sz w:val="22"/>
          <w:szCs w:val="22"/>
        </w:rPr>
        <w:t xml:space="preserve">SNX9-OE </w:t>
      </w:r>
      <w:r>
        <w:rPr>
          <w:rFonts w:ascii="Times New Roman" w:hAnsi="Times New Roman" w:cs="Times New Roman" w:hint="eastAsia"/>
          <w:sz w:val="22"/>
          <w:szCs w:val="22"/>
        </w:rPr>
        <w:t xml:space="preserve">MCF-7 tumor tissues, </w:t>
      </w:r>
      <w:r>
        <w:rPr>
          <w:rFonts w:ascii="Times New Roman" w:eastAsia="宋体" w:hAnsi="Times New Roman" w:cs="Times New Roman" w:hint="eastAsia"/>
          <w:b/>
          <w:bCs/>
          <w:sz w:val="22"/>
          <w:szCs w:val="22"/>
        </w:rPr>
        <w:t>(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>D</w:t>
      </w:r>
      <w:r>
        <w:rPr>
          <w:rFonts w:ascii="Times New Roman" w:hAnsi="Times New Roman" w:cs="Times New Roman"/>
          <w:b/>
          <w:bCs/>
          <w:sz w:val="22"/>
          <w:szCs w:val="22"/>
        </w:rPr>
        <w:t>)</w:t>
      </w:r>
      <w:r>
        <w:rPr>
          <w:rFonts w:ascii="Times New Roman" w:hAnsi="Times New Roman" w:cs="Times New Roman" w:hint="eastAsia"/>
          <w:b/>
          <w:bCs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</w:rPr>
        <w:t xml:space="preserve">in </w:t>
      </w:r>
      <w:r>
        <w:rPr>
          <w:rFonts w:ascii="Times New Roman" w:hAnsi="Times New Roman" w:cs="Times New Roman"/>
          <w:sz w:val="22"/>
          <w:szCs w:val="22"/>
        </w:rPr>
        <w:t>SNX9-KD MDA-MB-231</w:t>
      </w:r>
      <w:r>
        <w:rPr>
          <w:rFonts w:ascii="Times New Roman" w:hAnsi="Times New Roman" w:cs="Times New Roman" w:hint="eastAsia"/>
          <w:sz w:val="22"/>
          <w:szCs w:val="22"/>
        </w:rPr>
        <w:t xml:space="preserve"> cells, </w:t>
      </w:r>
      <w:r>
        <w:rPr>
          <w:rFonts w:ascii="Times New Roman" w:hAnsi="Times New Roman" w:cs="Times New Roman"/>
          <w:b/>
          <w:bCs/>
          <w:sz w:val="22"/>
          <w:szCs w:val="22"/>
        </w:rPr>
        <w:t>(E)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SNX9-KD </w:t>
      </w:r>
      <w:r>
        <w:rPr>
          <w:rFonts w:ascii="Times New Roman" w:hAnsi="Times New Roman" w:cs="Times New Roman" w:hint="eastAsia"/>
          <w:sz w:val="22"/>
          <w:szCs w:val="22"/>
        </w:rPr>
        <w:t xml:space="preserve">MCF-7 </w:t>
      </w:r>
      <w:r>
        <w:rPr>
          <w:rFonts w:ascii="Times New Roman" w:hAnsi="Times New Roman" w:cs="Times New Roman"/>
          <w:sz w:val="22"/>
          <w:szCs w:val="22"/>
        </w:rPr>
        <w:t>cells</w:t>
      </w:r>
      <w:r>
        <w:rPr>
          <w:rFonts w:ascii="Times New Roman" w:hAnsi="Times New Roman" w:cs="Times New Roman" w:hint="eastAsia"/>
          <w:sz w:val="22"/>
          <w:szCs w:val="22"/>
        </w:rPr>
        <w:t xml:space="preserve"> and 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(F) </w:t>
      </w:r>
      <w:r>
        <w:rPr>
          <w:rFonts w:ascii="Times New Roman" w:hAnsi="Times New Roman" w:cs="Times New Roman"/>
          <w:sz w:val="22"/>
          <w:szCs w:val="22"/>
        </w:rPr>
        <w:t>SNX9-KD MDA-MB-231</w:t>
      </w:r>
      <w:r>
        <w:rPr>
          <w:rFonts w:ascii="Times New Roman" w:hAnsi="Times New Roman" w:cs="Times New Roman" w:hint="eastAsia"/>
          <w:sz w:val="22"/>
          <w:szCs w:val="22"/>
        </w:rPr>
        <w:t xml:space="preserve"> tumor tissues</w:t>
      </w:r>
      <w:r>
        <w:rPr>
          <w:rFonts w:ascii="Times New Roman" w:hAnsi="Times New Roman" w:cs="Times New Roman"/>
          <w:sz w:val="22"/>
          <w:szCs w:val="22"/>
        </w:rPr>
        <w:t xml:space="preserve"> were measured by</w:t>
      </w:r>
      <w:r>
        <w:rPr>
          <w:rFonts w:ascii="Times New Roman" w:hAnsi="Times New Roman" w:cs="Times New Roman" w:hint="eastAsia"/>
          <w:sz w:val="22"/>
          <w:szCs w:val="22"/>
        </w:rPr>
        <w:t xml:space="preserve"> Western blot</w:t>
      </w:r>
      <w:r>
        <w:rPr>
          <w:rFonts w:ascii="Times New Roman" w:hAnsi="Times New Roman" w:cs="Times New Roman"/>
          <w:sz w:val="22"/>
          <w:szCs w:val="22"/>
        </w:rPr>
        <w:t xml:space="preserve"> assay. 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Data were analyzed by Student’s </w:t>
      </w:r>
      <w:r>
        <w:rPr>
          <w:rFonts w:ascii="Times New Roman" w:hAnsi="Times New Roman" w:cs="Times New Roman"/>
          <w:bCs/>
          <w:i/>
          <w:iCs/>
          <w:sz w:val="22"/>
          <w:szCs w:val="22"/>
          <w:lang w:val="fr-FR"/>
        </w:rPr>
        <w:t>t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-test</w:t>
      </w:r>
      <w:r>
        <w:rPr>
          <w:rFonts w:ascii="Times New Roman" w:eastAsia="宋体" w:hAnsi="Times New Roman" w:cs="Times New Roman"/>
          <w:bCs/>
          <w:sz w:val="22"/>
          <w:szCs w:val="22"/>
          <w:lang w:val="fr-FR"/>
        </w:rPr>
        <w:t xml:space="preserve"> (</w:t>
      </w:r>
      <w:r>
        <w:rPr>
          <w:rFonts w:ascii="Times New Roman" w:eastAsia="宋体" w:hAnsi="Times New Roman" w:cs="Times New Roman"/>
          <w:b/>
          <w:sz w:val="22"/>
          <w:szCs w:val="22"/>
          <w:lang w:val="fr-FR"/>
        </w:rPr>
        <w:t xml:space="preserve">A, 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B</w:t>
      </w:r>
      <w:r>
        <w:rPr>
          <w:rFonts w:ascii="Times New Roman" w:eastAsia="宋体" w:hAnsi="Times New Roman" w:cs="Times New Roman"/>
          <w:b/>
          <w:sz w:val="22"/>
          <w:szCs w:val="22"/>
          <w:lang w:val="fr-FR"/>
        </w:rPr>
        <w:t xml:space="preserve">, 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C, F</w:t>
      </w:r>
      <w:r>
        <w:rPr>
          <w:rFonts w:ascii="Times New Roman" w:eastAsia="宋体" w:hAnsi="Times New Roman" w:cs="Times New Roman"/>
          <w:bCs/>
          <w:sz w:val="22"/>
          <w:szCs w:val="22"/>
          <w:lang w:val="fr-FR"/>
        </w:rPr>
        <w:t>)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for comparison between two groups and one-way </w:t>
      </w:r>
      <w:r>
        <w:rPr>
          <w:rFonts w:ascii="Times New Roman" w:hAnsi="Times New Roman" w:cs="Times New Roman"/>
          <w:bCs/>
          <w:i/>
          <w:iCs/>
          <w:sz w:val="22"/>
          <w:szCs w:val="22"/>
          <w:lang w:val="fr-FR"/>
        </w:rPr>
        <w:t>ANOVA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(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D</w:t>
      </w:r>
      <w:r>
        <w:rPr>
          <w:rFonts w:ascii="Times New Roman" w:eastAsia="宋体" w:hAnsi="Times New Roman" w:cs="Times New Roman"/>
          <w:b/>
          <w:sz w:val="22"/>
          <w:szCs w:val="22"/>
          <w:lang w:val="fr-FR"/>
        </w:rPr>
        <w:t xml:space="preserve">, </w:t>
      </w:r>
      <w:r>
        <w:rPr>
          <w:rFonts w:ascii="Times New Roman" w:eastAsia="宋体" w:hAnsi="Times New Roman" w:cs="Times New Roman" w:hint="eastAsia"/>
          <w:b/>
          <w:sz w:val="22"/>
          <w:szCs w:val="22"/>
          <w:lang w:val="fr-FR"/>
        </w:rPr>
        <w:t>E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) for comparisons involving more than two groups. Data </w:t>
      </w:r>
      <w:r>
        <w:rPr>
          <w:rFonts w:ascii="Times New Roman" w:hAnsi="Times New Roman" w:cs="Times New Roman" w:hint="eastAsia"/>
          <w:bCs/>
          <w:sz w:val="22"/>
          <w:szCs w:val="22"/>
          <w:lang w:val="fr-FR"/>
        </w:rPr>
        <w:t>are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mean ± SD. 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  <w:lang w:val="fr-FR"/>
        </w:rPr>
        <w:t xml:space="preserve"> 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&lt;0.05, **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＜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0.01, ***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＜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0.001, and ****</w:t>
      </w:r>
      <w:r>
        <w:rPr>
          <w:rFonts w:ascii="Times New Roman" w:hAnsi="Times New Roman" w:cs="Times New Roman" w:hint="eastAsia"/>
          <w:bCs/>
          <w:i/>
          <w:iCs/>
          <w:sz w:val="22"/>
          <w:szCs w:val="22"/>
        </w:rPr>
        <w:t>p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&lt; 0.0001 </w:t>
      </w:r>
      <w:r>
        <w:rPr>
          <w:rFonts w:ascii="Times New Roman" w:hAnsi="Times New Roman" w:cs="Times New Roman" w:hint="eastAsia"/>
          <w:bCs/>
          <w:sz w:val="22"/>
          <w:szCs w:val="22"/>
          <w:lang w:val="fr-FR"/>
        </w:rPr>
        <w:t>versus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 xml:space="preserve"> to the control group.</w:t>
      </w:r>
      <w:r>
        <w:rPr>
          <w:rFonts w:ascii="Times New Roman" w:hAnsi="Times New Roman" w:cs="Times New Roman" w:hint="eastAsia"/>
          <w:bCs/>
          <w:sz w:val="22"/>
          <w:szCs w:val="22"/>
          <w:lang w:val="fr-FR"/>
        </w:rPr>
        <w:t xml:space="preserve"> ns: not s</w:t>
      </w:r>
      <w:r>
        <w:rPr>
          <w:rFonts w:ascii="Times New Roman" w:hAnsi="Times New Roman" w:cs="Times New Roman"/>
          <w:bCs/>
          <w:sz w:val="22"/>
          <w:szCs w:val="22"/>
          <w:lang w:val="fr-FR"/>
        </w:rPr>
        <w:t>ignificant</w:t>
      </w:r>
      <w:r>
        <w:rPr>
          <w:rFonts w:ascii="Times New Roman" w:hAnsi="Times New Roman" w:cs="Times New Roman" w:hint="eastAsia"/>
          <w:bCs/>
          <w:sz w:val="22"/>
          <w:szCs w:val="22"/>
          <w:lang w:val="fr-FR"/>
        </w:rPr>
        <w:t>.</w:t>
      </w:r>
    </w:p>
    <w:sectPr w:rsidR="001B6B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EBB10" w14:textId="77777777" w:rsidR="00301E95" w:rsidRDefault="00301E95" w:rsidP="00720368">
      <w:r>
        <w:separator/>
      </w:r>
    </w:p>
  </w:endnote>
  <w:endnote w:type="continuationSeparator" w:id="0">
    <w:p w14:paraId="4AEA3014" w14:textId="77777777" w:rsidR="00301E95" w:rsidRDefault="00301E95" w:rsidP="00720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361BE" w14:textId="77777777" w:rsidR="00301E95" w:rsidRDefault="00301E95" w:rsidP="00720368">
      <w:r>
        <w:separator/>
      </w:r>
    </w:p>
  </w:footnote>
  <w:footnote w:type="continuationSeparator" w:id="0">
    <w:p w14:paraId="4ADA095A" w14:textId="77777777" w:rsidR="00301E95" w:rsidRDefault="00301E95" w:rsidP="007203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EA3"/>
    <w:rsid w:val="00011F29"/>
    <w:rsid w:val="00060CF9"/>
    <w:rsid w:val="00076044"/>
    <w:rsid w:val="0009750E"/>
    <w:rsid w:val="000A6B8B"/>
    <w:rsid w:val="000C571B"/>
    <w:rsid w:val="000C684B"/>
    <w:rsid w:val="00120886"/>
    <w:rsid w:val="00121540"/>
    <w:rsid w:val="00134BE6"/>
    <w:rsid w:val="00167812"/>
    <w:rsid w:val="001B6B69"/>
    <w:rsid w:val="001F585C"/>
    <w:rsid w:val="002F4BDB"/>
    <w:rsid w:val="00301E95"/>
    <w:rsid w:val="003261FA"/>
    <w:rsid w:val="00331C56"/>
    <w:rsid w:val="003A2924"/>
    <w:rsid w:val="003E3463"/>
    <w:rsid w:val="003F63AC"/>
    <w:rsid w:val="0040792B"/>
    <w:rsid w:val="004344BC"/>
    <w:rsid w:val="004824F4"/>
    <w:rsid w:val="004A5582"/>
    <w:rsid w:val="004D3C39"/>
    <w:rsid w:val="004E158C"/>
    <w:rsid w:val="004F0AD3"/>
    <w:rsid w:val="00573EB1"/>
    <w:rsid w:val="00586B07"/>
    <w:rsid w:val="005A1884"/>
    <w:rsid w:val="005D1823"/>
    <w:rsid w:val="005D65C2"/>
    <w:rsid w:val="006618E4"/>
    <w:rsid w:val="006B1F52"/>
    <w:rsid w:val="00720368"/>
    <w:rsid w:val="007373D2"/>
    <w:rsid w:val="007533DF"/>
    <w:rsid w:val="00763BD7"/>
    <w:rsid w:val="00767100"/>
    <w:rsid w:val="00805921"/>
    <w:rsid w:val="008163A9"/>
    <w:rsid w:val="00842B45"/>
    <w:rsid w:val="00850C6B"/>
    <w:rsid w:val="00854CD6"/>
    <w:rsid w:val="008F2EA3"/>
    <w:rsid w:val="0090292A"/>
    <w:rsid w:val="00953912"/>
    <w:rsid w:val="0096560D"/>
    <w:rsid w:val="00967E68"/>
    <w:rsid w:val="009B3A68"/>
    <w:rsid w:val="00A570E0"/>
    <w:rsid w:val="00A96B98"/>
    <w:rsid w:val="00AC64B7"/>
    <w:rsid w:val="00AE46CC"/>
    <w:rsid w:val="00B1542D"/>
    <w:rsid w:val="00B2476A"/>
    <w:rsid w:val="00B371AD"/>
    <w:rsid w:val="00B44016"/>
    <w:rsid w:val="00B44017"/>
    <w:rsid w:val="00BB2EE3"/>
    <w:rsid w:val="00C16060"/>
    <w:rsid w:val="00C43ADC"/>
    <w:rsid w:val="00C56C69"/>
    <w:rsid w:val="00C67966"/>
    <w:rsid w:val="00C8021E"/>
    <w:rsid w:val="00CF5A86"/>
    <w:rsid w:val="00D559E1"/>
    <w:rsid w:val="00D7564A"/>
    <w:rsid w:val="00D85F16"/>
    <w:rsid w:val="00DF0F1B"/>
    <w:rsid w:val="00E3232F"/>
    <w:rsid w:val="00EF2A16"/>
    <w:rsid w:val="00F0516A"/>
    <w:rsid w:val="00F40C30"/>
    <w:rsid w:val="00F54654"/>
    <w:rsid w:val="00F901C2"/>
    <w:rsid w:val="00FB6C6C"/>
    <w:rsid w:val="053578FC"/>
    <w:rsid w:val="15063063"/>
    <w:rsid w:val="2E225322"/>
    <w:rsid w:val="58150BC0"/>
    <w:rsid w:val="5C5617A7"/>
    <w:rsid w:val="606902E1"/>
    <w:rsid w:val="63FB1D9A"/>
    <w:rsid w:val="691168C3"/>
    <w:rsid w:val="6A3137D7"/>
    <w:rsid w:val="6AA661FD"/>
    <w:rsid w:val="709B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D18291"/>
  <w15:docId w15:val="{DF639524-BD13-4FE8-8C41-C241DA2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jc w:val="left"/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paragraph" w:customStyle="1" w:styleId="1">
    <w:name w:val="修订1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2">
    <w:name w:val="修订2"/>
    <w:hidden/>
    <w:uiPriority w:val="99"/>
    <w:unhideWhenUsed/>
    <w:qFormat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1313</TotalTime>
  <Pages>3</Pages>
  <Words>238</Words>
  <Characters>1359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lllll</dc:creator>
  <cp:lastModifiedBy>Tech Science Press</cp:lastModifiedBy>
  <cp:revision>70</cp:revision>
  <dcterms:created xsi:type="dcterms:W3CDTF">2025-12-21T09:39:00Z</dcterms:created>
  <dcterms:modified xsi:type="dcterms:W3CDTF">2026-08-14T02:37:00Z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eyJoZGlkIjoiYzZkNzQ4ZWFiZmQ4NTRhOWRkZTk3YTMwMjlmMmZhYmUiLCJ1c2VySWQiOiI0NDYzNzMxNTMifQ==</vt:lpwstr>
  </property>
  <property fmtid="{D5CDD505-2E9C-101B-9397-08002B2CF9AE}" pid="4" name="ICV">
    <vt:lpwstr>EE505C0600BB49B7A646299EE5B337D8_12</vt:lpwstr>
  </property>
  <property fmtid="{D5CDD505-2E9C-101B-9397-08002B2CF9AE}" pid="5" name="GrammarlyDocumentId">
    <vt:lpwstr>17f3473c-64bf-4692-95d4-a5754e437c32</vt:lpwstr>
  </property>
</Properties>
</file>