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E5B822" w14:textId="151335B6" w:rsidR="00DE4261" w:rsidRPr="004769B3" w:rsidRDefault="00DE4261" w:rsidP="00DE4261">
      <w:pPr>
        <w:pStyle w:val="TSP21heading1"/>
        <w:rPr>
          <w:rFonts w:eastAsia="宋体"/>
        </w:rPr>
      </w:pPr>
      <w:r w:rsidRPr="00DE4261">
        <w:t>Supplementary Materials</w:t>
      </w:r>
    </w:p>
    <w:p w14:paraId="78D5B67B" w14:textId="77777777" w:rsidR="00DE4261" w:rsidRPr="004769B3" w:rsidRDefault="00DE4261" w:rsidP="00DE4261">
      <w:pPr>
        <w:pStyle w:val="TSP52figure"/>
        <w:rPr>
          <w:rStyle w:val="Strong"/>
          <w:rFonts w:eastAsia="宋体"/>
          <w:bCs/>
          <w:shd w:val="clear" w:color="auto" w:fill="FFFFFF"/>
        </w:rPr>
      </w:pPr>
      <w:r w:rsidRPr="004769B3">
        <w:rPr>
          <w:rStyle w:val="Strong"/>
          <w:rFonts w:eastAsia="宋体"/>
          <w:bCs/>
          <w:noProof/>
          <w:shd w:val="clear" w:color="auto" w:fill="FFFFFF"/>
        </w:rPr>
        <w:drawing>
          <wp:inline distT="0" distB="0" distL="0" distR="0" wp14:anchorId="155250B5" wp14:editId="2172B113">
            <wp:extent cx="5271135" cy="7515860"/>
            <wp:effectExtent l="0" t="0" r="5715" b="8890"/>
            <wp:docPr id="174609467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094675" name="图片 1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71135" cy="7515860"/>
                    </a:xfrm>
                    <a:prstGeom prst="rect">
                      <a:avLst/>
                    </a:prstGeom>
                    <a:noFill/>
                    <a:ln>
                      <a:noFill/>
                    </a:ln>
                  </pic:spPr>
                </pic:pic>
              </a:graphicData>
            </a:graphic>
          </wp:inline>
        </w:drawing>
      </w:r>
    </w:p>
    <w:p w14:paraId="39C68D7C" w14:textId="525BC5DB" w:rsidR="00DE4261" w:rsidRPr="004769B3" w:rsidRDefault="00DE4261" w:rsidP="00DE4261">
      <w:pPr>
        <w:pStyle w:val="TSP51figurecaption"/>
      </w:pPr>
      <w:r w:rsidRPr="004769B3">
        <w:rPr>
          <w:b/>
          <w:bCs/>
        </w:rPr>
        <w:lastRenderedPageBreak/>
        <w:t xml:space="preserve">Figure </w:t>
      </w:r>
      <w:r>
        <w:rPr>
          <w:rFonts w:eastAsiaTheme="minorEastAsia" w:hint="eastAsia"/>
          <w:b/>
          <w:bCs/>
          <w:lang w:eastAsia="zh-CN"/>
        </w:rPr>
        <w:t>S</w:t>
      </w:r>
      <w:r w:rsidRPr="004769B3">
        <w:rPr>
          <w:b/>
          <w:bCs/>
        </w:rPr>
        <w:t xml:space="preserve">1: Quality control and validation of bioinformatics analyses. </w:t>
      </w:r>
      <w:r w:rsidRPr="004769B3">
        <w:t>(</w:t>
      </w:r>
      <w:r w:rsidRPr="004769B3">
        <w:rPr>
          <w:b/>
          <w:bCs/>
        </w:rPr>
        <w:t>A</w:t>
      </w:r>
      <w:r w:rsidRPr="004769B3">
        <w:t>) PCA plot of bulk RNA-seq datasets after ComBat correction. (</w:t>
      </w:r>
      <w:r w:rsidRPr="004769B3">
        <w:rPr>
          <w:b/>
          <w:bCs/>
        </w:rPr>
        <w:t>B</w:t>
      </w:r>
      <w:r w:rsidRPr="004769B3">
        <w:t>) Tumor immune-cell infiltration estimated using the quanTIseq and CIBERSORT deconvolution algorithms in the human bulk transcriptomic datasets. (</w:t>
      </w:r>
      <w:r w:rsidRPr="004769B3">
        <w:rPr>
          <w:b/>
          <w:bCs/>
        </w:rPr>
        <w:t>C</w:t>
      </w:r>
      <w:r w:rsidRPr="004769B3">
        <w:t>) Tumor immune-cell infiltration estimated using the quanTIseq and CIBERSORT deconvolution algorithms in the murine bulk transcriptomic datasets. (</w:t>
      </w:r>
      <w:r w:rsidRPr="004769B3">
        <w:rPr>
          <w:b/>
          <w:bCs/>
        </w:rPr>
        <w:t>D</w:t>
      </w:r>
      <w:r w:rsidRPr="004769B3">
        <w:t>) MCP-counter analysis comparing immune-cell abundance between the treatment and control groups in the human bulk transcriptomic datasets. (</w:t>
      </w:r>
      <w:r w:rsidRPr="004769B3">
        <w:rPr>
          <w:b/>
          <w:bCs/>
        </w:rPr>
        <w:t>E</w:t>
      </w:r>
      <w:r w:rsidRPr="004769B3">
        <w:t>) MCP-counter analysis comparing immune-cell abundance between the treatment and control groups in the murine bulk transcriptomic datasets. (</w:t>
      </w:r>
      <w:r w:rsidRPr="004769B3">
        <w:rPr>
          <w:b/>
          <w:bCs/>
        </w:rPr>
        <w:t>F</w:t>
      </w:r>
      <w:r w:rsidRPr="004769B3">
        <w:t>) t-SNE visualization of cells from the human TNBC single-cell RNA-seq dataset GSE279219. (</w:t>
      </w:r>
      <w:r w:rsidRPr="004769B3">
        <w:rPr>
          <w:b/>
          <w:bCs/>
        </w:rPr>
        <w:t>G</w:t>
      </w:r>
      <w:r w:rsidRPr="004769B3">
        <w:t>) Dot plot showing the expression of canonical marker genes used for cell-type annotation in GSE279219. (</w:t>
      </w:r>
      <w:r w:rsidRPr="004769B3">
        <w:rPr>
          <w:b/>
          <w:bCs/>
        </w:rPr>
        <w:t>H</w:t>
      </w:r>
      <w:r w:rsidRPr="004769B3">
        <w:t>) t-SNE visualization of cells from the murine single-cell RNA-seq dataset GSE191246. (</w:t>
      </w:r>
      <w:r w:rsidRPr="004769B3">
        <w:rPr>
          <w:b/>
          <w:bCs/>
        </w:rPr>
        <w:t>I</w:t>
      </w:r>
      <w:r w:rsidRPr="004769B3">
        <w:t xml:space="preserve">) Dot plot showing the expression of canonical marker genes used for cell-type annotation in GSE191246. The marker genes used for cell-type annotation are listed in Table </w:t>
      </w:r>
      <w:r w:rsidR="000325C2">
        <w:rPr>
          <w:rFonts w:eastAsiaTheme="minorEastAsia" w:hint="eastAsia"/>
          <w:lang w:eastAsia="zh-CN"/>
        </w:rPr>
        <w:t>S</w:t>
      </w:r>
      <w:r w:rsidRPr="004769B3">
        <w:t>3. Statistical tests: Spearman correlation test (</w:t>
      </w:r>
      <w:r w:rsidRPr="004769B3">
        <w:rPr>
          <w:b/>
          <w:bCs/>
        </w:rPr>
        <w:t>C</w:t>
      </w:r>
      <w:r w:rsidRPr="004769B3">
        <w:t xml:space="preserve">); two-tailed paired Student’s </w:t>
      </w:r>
      <w:r w:rsidRPr="004769B3">
        <w:rPr>
          <w:i/>
          <w:iCs/>
        </w:rPr>
        <w:t>t</w:t>
      </w:r>
      <w:r w:rsidRPr="004769B3">
        <w:t>-test (</w:t>
      </w:r>
      <w:r w:rsidRPr="004769B3">
        <w:rPr>
          <w:b/>
          <w:bCs/>
        </w:rPr>
        <w:t>D</w:t>
      </w:r>
      <w:r w:rsidRPr="004769B3">
        <w:t xml:space="preserve">); two-tailed unpaired Student’s </w:t>
      </w:r>
      <w:r w:rsidRPr="004769B3">
        <w:rPr>
          <w:i/>
          <w:iCs/>
        </w:rPr>
        <w:t>t</w:t>
      </w:r>
      <w:r w:rsidRPr="004769B3">
        <w:t>-test (</w:t>
      </w:r>
      <w:r w:rsidRPr="004769B3">
        <w:rPr>
          <w:b/>
          <w:bCs/>
        </w:rPr>
        <w:t>E</w:t>
      </w:r>
      <w:r w:rsidRPr="004769B3">
        <w:t>). *</w:t>
      </w:r>
      <w:r w:rsidRPr="004769B3">
        <w:rPr>
          <w:i/>
          <w:iCs/>
        </w:rPr>
        <w:t>p</w:t>
      </w:r>
      <w:r w:rsidRPr="004769B3">
        <w:t xml:space="preserve"> &lt; 0.05. Abbreviations: PCA, principal component analysis; PC, principal component; RNA-seq, RNA sequencing; scRNA-seq, single-cell RNA sequencing; GSE, gene expression omnibus series; TNBC, triple-negative breast cancer; DOX, doxorubicin; quanTIseq, quantification of the tumor immune contexture from RNA-seq data; CIBERSORT, cell-type identification by estimating relative subsets of rna transcripts; MCP-counter, microenvironment cell populations-counter; t-SNE, t-distributed stochastic neighbor embedding; Treg, regulatory T cell; NK, natural killer; M0, unpolarized macrophage phenotype; M1, M1-like/pro-inflammatory macrophage phenotype; M2, M2-like/immunoregulatory macrophage phenotype.</w:t>
      </w:r>
    </w:p>
    <w:p w14:paraId="112EB12E" w14:textId="77777777" w:rsidR="00DE4261" w:rsidRPr="004769B3" w:rsidRDefault="00DE4261" w:rsidP="00DE4261">
      <w:pPr>
        <w:pStyle w:val="TSP52figure"/>
      </w:pPr>
      <w:r w:rsidRPr="004769B3">
        <w:rPr>
          <w:noProof/>
        </w:rPr>
        <w:lastRenderedPageBreak/>
        <w:drawing>
          <wp:inline distT="0" distB="0" distL="0" distR="0" wp14:anchorId="15C3B245" wp14:editId="12249B9E">
            <wp:extent cx="5276215" cy="5281295"/>
            <wp:effectExtent l="0" t="0" r="635" b="0"/>
            <wp:docPr id="1275404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40490" name="图片 1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6215" cy="5281295"/>
                    </a:xfrm>
                    <a:prstGeom prst="rect">
                      <a:avLst/>
                    </a:prstGeom>
                    <a:noFill/>
                    <a:ln>
                      <a:noFill/>
                    </a:ln>
                  </pic:spPr>
                </pic:pic>
              </a:graphicData>
            </a:graphic>
          </wp:inline>
        </w:drawing>
      </w:r>
    </w:p>
    <w:p w14:paraId="474FF11A" w14:textId="7B700CA4" w:rsidR="00DE4261" w:rsidRPr="004769B3" w:rsidRDefault="00DE4261" w:rsidP="00DE4261">
      <w:pPr>
        <w:pStyle w:val="TSP51figurecaption"/>
      </w:pPr>
      <w:r w:rsidRPr="004769B3">
        <w:rPr>
          <w:b/>
          <w:bCs/>
        </w:rPr>
        <w:t xml:space="preserve">Figure </w:t>
      </w:r>
      <w:r>
        <w:rPr>
          <w:rFonts w:eastAsiaTheme="minorEastAsia" w:hint="eastAsia"/>
          <w:b/>
          <w:bCs/>
          <w:lang w:eastAsia="zh-CN"/>
        </w:rPr>
        <w:t>S</w:t>
      </w:r>
      <w:r w:rsidRPr="004769B3">
        <w:rPr>
          <w:b/>
          <w:bCs/>
        </w:rPr>
        <w:t xml:space="preserve">2: L-DOX-induced PD-L1 expression and macrophage characterization. </w:t>
      </w:r>
      <w:r w:rsidRPr="004769B3">
        <w:t>(</w:t>
      </w:r>
      <w:r w:rsidRPr="004769B3">
        <w:rPr>
          <w:b/>
          <w:bCs/>
        </w:rPr>
        <w:t>A</w:t>
      </w:r>
      <w:r w:rsidRPr="004769B3">
        <w:t>) Flow cytometric analysis of the percentage of PD-L1</w:t>
      </w:r>
      <w:r w:rsidRPr="004769B3">
        <w:rPr>
          <w:rFonts w:cs="Cambria Math"/>
          <w:vertAlign w:val="superscript"/>
        </w:rPr>
        <w:t>+</w:t>
      </w:r>
      <w:r w:rsidRPr="004769B3">
        <w:t xml:space="preserve"> F4/80</w:t>
      </w:r>
      <w:r w:rsidRPr="004769B3">
        <w:rPr>
          <w:rFonts w:cs="Cambria Math"/>
          <w:vertAlign w:val="superscript"/>
        </w:rPr>
        <w:t>+</w:t>
      </w:r>
      <w:r w:rsidRPr="004769B3">
        <w:t xml:space="preserve"> CD11b</w:t>
      </w:r>
      <w:r w:rsidRPr="004769B3">
        <w:rPr>
          <w:rFonts w:cs="Cambria Math"/>
          <w:vertAlign w:val="superscript"/>
        </w:rPr>
        <w:t>+</w:t>
      </w:r>
      <w:r w:rsidRPr="004769B3">
        <w:t xml:space="preserve"> macrophages following treatment with different chemotherapeutic agents. (</w:t>
      </w:r>
      <w:r w:rsidRPr="004769B3">
        <w:rPr>
          <w:b/>
          <w:bCs/>
        </w:rPr>
        <w:t>B</w:t>
      </w:r>
      <w:r w:rsidRPr="004769B3">
        <w:t>) Flow cytometric quantification of the percentage of PD-L1</w:t>
      </w:r>
      <w:r w:rsidRPr="004769B3">
        <w:rPr>
          <w:rFonts w:cs="Cambria Math"/>
          <w:vertAlign w:val="superscript"/>
        </w:rPr>
        <w:t>+</w:t>
      </w:r>
      <w:r w:rsidRPr="004769B3">
        <w:t xml:space="preserve"> cells among F4/80</w:t>
      </w:r>
      <w:r w:rsidRPr="004769B3">
        <w:rPr>
          <w:rFonts w:cs="Cambria Math"/>
          <w:vertAlign w:val="superscript"/>
        </w:rPr>
        <w:t>+</w:t>
      </w:r>
      <w:r w:rsidRPr="004769B3">
        <w:t>CD11b</w:t>
      </w:r>
      <w:r w:rsidRPr="004769B3">
        <w:rPr>
          <w:rFonts w:cs="Cambria Math"/>
          <w:vertAlign w:val="superscript"/>
        </w:rPr>
        <w:t>+</w:t>
      </w:r>
      <w:r w:rsidRPr="004769B3">
        <w:t xml:space="preserve"> BMDMs treated with increasing concentrations of L-DOX. (</w:t>
      </w:r>
      <w:r w:rsidRPr="004769B3">
        <w:rPr>
          <w:b/>
          <w:bCs/>
        </w:rPr>
        <w:t>C</w:t>
      </w:r>
      <w:r w:rsidRPr="004769B3">
        <w:t>) Flow cytometric quantification of the percentage of PD-L1</w:t>
      </w:r>
      <w:r w:rsidRPr="004769B3">
        <w:rPr>
          <w:rFonts w:cs="Cambria Math"/>
          <w:vertAlign w:val="superscript"/>
        </w:rPr>
        <w:t>+</w:t>
      </w:r>
      <w:r w:rsidRPr="004769B3">
        <w:t xml:space="preserve"> cells among F4/80</w:t>
      </w:r>
      <w:r w:rsidRPr="004769B3">
        <w:rPr>
          <w:rFonts w:cs="Cambria Math"/>
          <w:vertAlign w:val="superscript"/>
        </w:rPr>
        <w:t>+</w:t>
      </w:r>
      <w:r w:rsidRPr="004769B3">
        <w:t>CD11b</w:t>
      </w:r>
      <w:r w:rsidRPr="004769B3">
        <w:rPr>
          <w:rFonts w:cs="Cambria Math"/>
          <w:vertAlign w:val="superscript"/>
        </w:rPr>
        <w:t>+</w:t>
      </w:r>
      <w:r w:rsidRPr="004769B3">
        <w:t xml:space="preserve"> BMDMs treated with L-DOX for increasing durations. (</w:t>
      </w:r>
      <w:r w:rsidRPr="004769B3">
        <w:rPr>
          <w:b/>
          <w:bCs/>
        </w:rPr>
        <w:t>D</w:t>
      </w:r>
      <w:r w:rsidRPr="004769B3">
        <w:t>) BMDM viability assessed by CCK-8 assay following treatment with increasing concentrations of L-DOX. (</w:t>
      </w:r>
      <w:r w:rsidRPr="004769B3">
        <w:rPr>
          <w:b/>
          <w:bCs/>
        </w:rPr>
        <w:t>E</w:t>
      </w:r>
      <w:r w:rsidRPr="004769B3">
        <w:t>) BMDM viability assessed by CCK-8 assay following L-DOX treatment for increasing durations. (</w:t>
      </w:r>
      <w:r w:rsidRPr="004769B3">
        <w:rPr>
          <w:b/>
          <w:bCs/>
        </w:rPr>
        <w:t>F</w:t>
      </w:r>
      <w:r w:rsidRPr="004769B3">
        <w:t>) Densitometric quantification of PD-L1 protein expression corresponding to the Western blot shown in Fig. 2C (n = 3). (</w:t>
      </w:r>
      <w:r w:rsidRPr="004769B3">
        <w:rPr>
          <w:b/>
          <w:bCs/>
        </w:rPr>
        <w:t>G</w:t>
      </w:r>
      <w:r w:rsidRPr="004769B3">
        <w:t>) Densitometric quantification of PD-L1 protein expression corresponding to the Western blot shown in Fig. 2I (n = 3). (</w:t>
      </w:r>
      <w:r w:rsidRPr="004769B3">
        <w:rPr>
          <w:b/>
          <w:bCs/>
        </w:rPr>
        <w:t>H</w:t>
      </w:r>
      <w:r w:rsidRPr="004769B3">
        <w:t>) Densitometric quantification of PD-L1 protein expression corresponding to the Western blot shown in Fig. 2J (n = 3). (</w:t>
      </w:r>
      <w:r w:rsidRPr="004769B3">
        <w:rPr>
          <w:b/>
          <w:bCs/>
        </w:rPr>
        <w:t>I</w:t>
      </w:r>
      <w:r w:rsidRPr="004769B3">
        <w:t>) Representative flow cytometric gating and phenotypic characterization of differentiated BMDMs as live CD11b</w:t>
      </w:r>
      <w:r w:rsidRPr="004769B3">
        <w:rPr>
          <w:rFonts w:cs="Cambria Math"/>
          <w:vertAlign w:val="superscript"/>
        </w:rPr>
        <w:t>+</w:t>
      </w:r>
      <w:r w:rsidRPr="004769B3">
        <w:t>F4/80</w:t>
      </w:r>
      <w:r w:rsidRPr="004769B3">
        <w:rPr>
          <w:rFonts w:cs="Cambria Math"/>
          <w:vertAlign w:val="superscript"/>
        </w:rPr>
        <w:t>+</w:t>
      </w:r>
      <w:r w:rsidRPr="004769B3">
        <w:t xml:space="preserve"> cells. (</w:t>
      </w:r>
      <w:r w:rsidRPr="004769B3">
        <w:rPr>
          <w:b/>
          <w:bCs/>
        </w:rPr>
        <w:t>J</w:t>
      </w:r>
      <w:r w:rsidRPr="004769B3">
        <w:t>) Representative flow cytometric gating and phenotypic characterization of differentiated hMDMs as live CD45</w:t>
      </w:r>
      <w:r w:rsidRPr="004769B3">
        <w:rPr>
          <w:rFonts w:cs="Cambria Math"/>
          <w:vertAlign w:val="superscript"/>
        </w:rPr>
        <w:t>+</w:t>
      </w:r>
      <w:r w:rsidRPr="004769B3">
        <w:t>CD11b</w:t>
      </w:r>
      <w:r w:rsidRPr="004769B3">
        <w:rPr>
          <w:rFonts w:cs="Cambria Math"/>
          <w:vertAlign w:val="superscript"/>
        </w:rPr>
        <w:t>+</w:t>
      </w:r>
      <w:r w:rsidRPr="004769B3">
        <w:t>CD64</w:t>
      </w:r>
      <w:r w:rsidRPr="004769B3">
        <w:rPr>
          <w:rFonts w:cs="Cambria Math"/>
          <w:vertAlign w:val="superscript"/>
        </w:rPr>
        <w:t>+</w:t>
      </w:r>
      <w:r w:rsidRPr="004769B3">
        <w:t xml:space="preserve"> cells. Statistical tests: one-way ANOVA with Sidak</w:t>
      </w:r>
      <w:r w:rsidRPr="004769B3">
        <w:rPr>
          <w:rFonts w:cs="Minion Pro"/>
        </w:rPr>
        <w:t>’</w:t>
      </w:r>
      <w:r w:rsidRPr="004769B3">
        <w:t>s correction for indicated comparisons (</w:t>
      </w:r>
      <w:r w:rsidRPr="004769B3">
        <w:rPr>
          <w:b/>
          <w:bCs/>
        </w:rPr>
        <w:t>D</w:t>
      </w:r>
      <w:r w:rsidRPr="004769B3">
        <w:rPr>
          <w:rFonts w:eastAsiaTheme="minorEastAsia"/>
          <w:lang w:eastAsia="zh-CN"/>
        </w:rPr>
        <w:t>–</w:t>
      </w:r>
      <w:r w:rsidRPr="004769B3">
        <w:rPr>
          <w:b/>
          <w:bCs/>
        </w:rPr>
        <w:t>F</w:t>
      </w:r>
      <w:r w:rsidRPr="004769B3">
        <w:t>); one-way ANOVA with Dunnett</w:t>
      </w:r>
      <w:r w:rsidRPr="004769B3">
        <w:rPr>
          <w:rFonts w:cs="Minion Pro"/>
        </w:rPr>
        <w:t>’</w:t>
      </w:r>
      <w:r w:rsidRPr="004769B3">
        <w:t>s correction versus baseline (</w:t>
      </w:r>
      <w:r w:rsidRPr="004769B3">
        <w:rPr>
          <w:b/>
          <w:bCs/>
        </w:rPr>
        <w:t>G</w:t>
      </w:r>
      <w:r w:rsidRPr="004769B3">
        <w:rPr>
          <w:rFonts w:eastAsiaTheme="minorEastAsia"/>
          <w:lang w:eastAsia="zh-CN"/>
        </w:rPr>
        <w:t>,</w:t>
      </w:r>
      <w:r w:rsidRPr="004769B3">
        <w:rPr>
          <w:b/>
          <w:bCs/>
        </w:rPr>
        <w:t>H</w:t>
      </w:r>
      <w:r w:rsidRPr="004769B3">
        <w:t>). *</w:t>
      </w:r>
      <w:r w:rsidRPr="004769B3">
        <w:rPr>
          <w:i/>
          <w:iCs/>
        </w:rPr>
        <w:t>p</w:t>
      </w:r>
      <w:r w:rsidRPr="004769B3">
        <w:t xml:space="preserve"> &lt; 0.05, **</w:t>
      </w:r>
      <w:r w:rsidRPr="004769B3">
        <w:rPr>
          <w:i/>
          <w:iCs/>
        </w:rPr>
        <w:t>p</w:t>
      </w:r>
      <w:r w:rsidRPr="004769B3">
        <w:t xml:space="preserve"> &lt; 0.01, ***</w:t>
      </w:r>
      <w:r w:rsidRPr="004769B3">
        <w:rPr>
          <w:i/>
          <w:iCs/>
        </w:rPr>
        <w:t>p</w:t>
      </w:r>
      <w:r w:rsidRPr="004769B3">
        <w:t xml:space="preserve"> &lt; 0.001, ****</w:t>
      </w:r>
      <w:r w:rsidRPr="004769B3">
        <w:rPr>
          <w:i/>
          <w:iCs/>
        </w:rPr>
        <w:t>p</w:t>
      </w:r>
      <w:r w:rsidRPr="004769B3">
        <w:t xml:space="preserve"> &lt; 0.0001. ns, not significant (</w:t>
      </w:r>
      <w:r w:rsidRPr="004769B3">
        <w:rPr>
          <w:i/>
          <w:iCs/>
        </w:rPr>
        <w:t>p</w:t>
      </w:r>
      <w:r w:rsidRPr="004769B3">
        <w:t xml:space="preserve"> ≥ 0.05). Abbreviations: L-DOX, liposomal doxorubicin; </w:t>
      </w:r>
      <w:r w:rsidRPr="004769B3">
        <w:lastRenderedPageBreak/>
        <w:t>DOX, doxorubicin; PTX, paclitaxel; DTX, docetaxel; Nab-PTX, nanoparticle albumin-bound paclitaxel; L-PTX, liposomal paclitaxel; PD-L1, programmed death-ligand 1; BMDM, bone marrow-derived macrophage; hMDM, human monocyte-derived macrophage; CCK-8, cell counting kit-8; MFI, mean fluorescence intensity.</w:t>
      </w:r>
    </w:p>
    <w:p w14:paraId="60E13F8B" w14:textId="77777777" w:rsidR="00DE4261" w:rsidRPr="004769B3" w:rsidRDefault="00DE4261" w:rsidP="00DE4261">
      <w:pPr>
        <w:pStyle w:val="TSP52figure"/>
        <w:rPr>
          <w:rFonts w:eastAsia="宋体"/>
          <w:shd w:val="clear" w:color="auto" w:fill="FFFFFF"/>
        </w:rPr>
      </w:pPr>
      <w:r w:rsidRPr="004769B3">
        <w:rPr>
          <w:rFonts w:eastAsia="宋体"/>
          <w:noProof/>
          <w:shd w:val="clear" w:color="auto" w:fill="FFFFFF"/>
        </w:rPr>
        <w:drawing>
          <wp:inline distT="0" distB="0" distL="0" distR="0" wp14:anchorId="3FE44973" wp14:editId="2885052F">
            <wp:extent cx="5266055" cy="6029325"/>
            <wp:effectExtent l="0" t="0" r="0" b="9525"/>
            <wp:docPr id="190950198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501987" name="图片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266055" cy="6029325"/>
                    </a:xfrm>
                    <a:prstGeom prst="rect">
                      <a:avLst/>
                    </a:prstGeom>
                    <a:noFill/>
                    <a:ln>
                      <a:noFill/>
                    </a:ln>
                  </pic:spPr>
                </pic:pic>
              </a:graphicData>
            </a:graphic>
          </wp:inline>
        </w:drawing>
      </w:r>
    </w:p>
    <w:p w14:paraId="3C4FB42D" w14:textId="22AC8683" w:rsidR="00DE4261" w:rsidRPr="004769B3" w:rsidRDefault="00DE4261" w:rsidP="00DE4261">
      <w:pPr>
        <w:pStyle w:val="TSP51figurecaption"/>
      </w:pPr>
      <w:r w:rsidRPr="004769B3">
        <w:rPr>
          <w:b/>
          <w:bCs/>
        </w:rPr>
        <w:t xml:space="preserve">Figure </w:t>
      </w:r>
      <w:r>
        <w:rPr>
          <w:rFonts w:eastAsiaTheme="minorEastAsia" w:hint="eastAsia"/>
          <w:b/>
          <w:bCs/>
          <w:lang w:eastAsia="zh-CN"/>
        </w:rPr>
        <w:t>S</w:t>
      </w:r>
      <w:r w:rsidRPr="004769B3">
        <w:rPr>
          <w:b/>
          <w:bCs/>
        </w:rPr>
        <w:t xml:space="preserve">3: L-DOX induces DNA damage and senescence in macrophages. </w:t>
      </w:r>
      <w:r w:rsidRPr="004769B3">
        <w:t>(</w:t>
      </w:r>
      <w:r w:rsidRPr="004769B3">
        <w:rPr>
          <w:b/>
          <w:bCs/>
        </w:rPr>
        <w:t>A</w:t>
      </w:r>
      <w:r w:rsidRPr="004769B3">
        <w:t>) Volcano plot of differentially expressed genes from RNA-seq (n = 4): orange, upregulated (</w:t>
      </w:r>
      <w:r w:rsidRPr="004769B3">
        <w:rPr>
          <w:i/>
          <w:iCs/>
        </w:rPr>
        <w:t>p</w:t>
      </w:r>
      <w:r w:rsidRPr="004769B3">
        <w:t xml:space="preserve"> &lt; 0.05, |log</w:t>
      </w:r>
      <w:r w:rsidRPr="004769B3">
        <w:rPr>
          <w:vertAlign w:val="subscript"/>
        </w:rPr>
        <w:t>2</w:t>
      </w:r>
      <w:r w:rsidRPr="004769B3">
        <w:rPr>
          <w:rFonts w:eastAsiaTheme="minorEastAsia" w:hint="eastAsia"/>
          <w:lang w:eastAsia="zh-CN"/>
        </w:rPr>
        <w:t xml:space="preserve"> </w:t>
      </w:r>
      <w:r w:rsidRPr="004769B3">
        <w:t>FC| &gt; 1); blue, downregulated (</w:t>
      </w:r>
      <w:r w:rsidRPr="004769B3">
        <w:rPr>
          <w:i/>
          <w:iCs/>
        </w:rPr>
        <w:t>p</w:t>
      </w:r>
      <w:r w:rsidRPr="004769B3">
        <w:t xml:space="preserve"> &lt; 0.05, |log</w:t>
      </w:r>
      <w:r w:rsidRPr="004769B3">
        <w:rPr>
          <w:vertAlign w:val="subscript"/>
        </w:rPr>
        <w:t>2</w:t>
      </w:r>
      <w:r w:rsidRPr="004769B3">
        <w:t xml:space="preserve"> FC| &gt; 1). (</w:t>
      </w:r>
      <w:r w:rsidRPr="004769B3">
        <w:rPr>
          <w:b/>
          <w:bCs/>
        </w:rPr>
        <w:t>B</w:t>
      </w:r>
      <w:r w:rsidRPr="004769B3">
        <w:t>) Top 10 GO terms. (</w:t>
      </w:r>
      <w:r w:rsidRPr="004769B3">
        <w:rPr>
          <w:b/>
          <w:bCs/>
        </w:rPr>
        <w:t>C</w:t>
      </w:r>
      <w:r w:rsidRPr="004769B3">
        <w:t>) Representative γ-H2A.X immunofluorescence images (scale bar = 10 μm). (</w:t>
      </w:r>
      <w:r w:rsidRPr="004769B3">
        <w:rPr>
          <w:b/>
          <w:bCs/>
        </w:rPr>
        <w:t>D</w:t>
      </w:r>
      <w:r w:rsidRPr="004769B3">
        <w:t>) GSEA plot showing enrichment of the homologous recombination pathway in L-DOX-treated BMDMs. (</w:t>
      </w:r>
      <w:r w:rsidRPr="004769B3">
        <w:rPr>
          <w:b/>
          <w:bCs/>
        </w:rPr>
        <w:t>E</w:t>
      </w:r>
      <w:r w:rsidRPr="004769B3">
        <w:t>) GSEA plot showing enrichment of the ATM signaling pathway in L-DOX-treated BMDMs. (</w:t>
      </w:r>
      <w:r w:rsidRPr="004769B3">
        <w:rPr>
          <w:b/>
          <w:bCs/>
        </w:rPr>
        <w:t>F</w:t>
      </w:r>
      <w:r w:rsidRPr="004769B3">
        <w:t>) GSEA plot showing enrichment of the p53 signaling pathway in L-DOX-treated BMDMs. (</w:t>
      </w:r>
      <w:r w:rsidRPr="004769B3">
        <w:rPr>
          <w:b/>
          <w:bCs/>
        </w:rPr>
        <w:t>G</w:t>
      </w:r>
      <w:r w:rsidRPr="004769B3">
        <w:t>) GSEA plot showing enrichment of the senescence-associated secretory phenotype signature in L-DOX-</w:t>
      </w:r>
      <w:r w:rsidRPr="004769B3">
        <w:lastRenderedPageBreak/>
        <w:t>treated BMDMs. (</w:t>
      </w:r>
      <w:r w:rsidRPr="004769B3">
        <w:rPr>
          <w:b/>
          <w:bCs/>
        </w:rPr>
        <w:t>H</w:t>
      </w:r>
      <w:r w:rsidRPr="004769B3">
        <w:t>) GSEA plot showing enrichment of the cellular senescence pathway in L-DOX-treated BMDMs.</w:t>
      </w:r>
      <w:r w:rsidRPr="004769B3">
        <w:rPr>
          <w:sz w:val="21"/>
        </w:rPr>
        <w:t xml:space="preserve"> </w:t>
      </w:r>
      <w:r w:rsidRPr="004769B3">
        <w:t>(</w:t>
      </w:r>
      <w:r w:rsidRPr="004769B3">
        <w:rPr>
          <w:b/>
          <w:bCs/>
        </w:rPr>
        <w:t>I</w:t>
      </w:r>
      <w:r w:rsidRPr="004769B3">
        <w:t>) Heatmap showing expression levels of SASP-related factors in L-DOX-treated versus control macrophages from RNA-seq (n = 4). (</w:t>
      </w:r>
      <w:r w:rsidRPr="004769B3">
        <w:rPr>
          <w:b/>
          <w:bCs/>
        </w:rPr>
        <w:t>J</w:t>
      </w:r>
      <w:r w:rsidRPr="004769B3">
        <w:t>) Representative senescence-associated β-galactosidase staining images of control and L-DOX-treated BMDMs. Scale bars, 100 μm. (</w:t>
      </w:r>
      <w:r w:rsidRPr="004769B3">
        <w:rPr>
          <w:b/>
          <w:bCs/>
        </w:rPr>
        <w:t>K</w:t>
      </w:r>
      <w:r w:rsidRPr="004769B3">
        <w:t>) Quantification of the percentage of senescence-associated β-galactosidase-positive BMDMs corresponding to (</w:t>
      </w:r>
      <w:r w:rsidRPr="004769B3">
        <w:rPr>
          <w:b/>
          <w:bCs/>
        </w:rPr>
        <w:t>J</w:t>
      </w:r>
      <w:r w:rsidRPr="004769B3">
        <w:t>) (n = 3). (</w:t>
      </w:r>
      <w:r w:rsidRPr="004769B3">
        <w:rPr>
          <w:b/>
          <w:bCs/>
        </w:rPr>
        <w:t>L</w:t>
      </w:r>
      <w:r w:rsidRPr="004769B3">
        <w:t>) Representative Western blot showing p21 protein expression in control and L-DOX-treated BMDMs. (</w:t>
      </w:r>
      <w:r w:rsidRPr="004769B3">
        <w:rPr>
          <w:b/>
          <w:bCs/>
        </w:rPr>
        <w:t>M</w:t>
      </w:r>
      <w:r w:rsidRPr="004769B3">
        <w:t>) Densitometric quantification of p21 expression relative to β-actin corresponding to (</w:t>
      </w:r>
      <w:r w:rsidRPr="004769B3">
        <w:rPr>
          <w:b/>
          <w:bCs/>
        </w:rPr>
        <w:t>L</w:t>
      </w:r>
      <w:r w:rsidRPr="004769B3">
        <w:t xml:space="preserve">) (n = 3). Statistical test: two-tailed unpaired Student’s </w:t>
      </w:r>
      <w:r w:rsidRPr="004769B3">
        <w:rPr>
          <w:i/>
          <w:iCs/>
        </w:rPr>
        <w:t>t</w:t>
      </w:r>
      <w:r w:rsidRPr="004769B3">
        <w:t>-test (</w:t>
      </w:r>
      <w:r w:rsidRPr="004769B3">
        <w:rPr>
          <w:b/>
          <w:bCs/>
        </w:rPr>
        <w:t>K</w:t>
      </w:r>
      <w:r w:rsidRPr="004769B3">
        <w:rPr>
          <w:rFonts w:eastAsiaTheme="minorEastAsia"/>
          <w:lang w:eastAsia="zh-CN"/>
        </w:rPr>
        <w:t>,</w:t>
      </w:r>
      <w:r w:rsidRPr="004769B3">
        <w:rPr>
          <w:b/>
          <w:bCs/>
        </w:rPr>
        <w:t>M</w:t>
      </w:r>
      <w:r w:rsidRPr="004769B3">
        <w:t>). **</w:t>
      </w:r>
      <w:r w:rsidRPr="004769B3">
        <w:rPr>
          <w:i/>
          <w:iCs/>
        </w:rPr>
        <w:t>p</w:t>
      </w:r>
      <w:r w:rsidRPr="004769B3">
        <w:t xml:space="preserve"> &lt; 0.01,</w:t>
      </w:r>
      <w:r w:rsidRPr="004769B3">
        <w:rPr>
          <w:lang w:eastAsia="zh-CN"/>
        </w:rPr>
        <w:t xml:space="preserve"> </w:t>
      </w:r>
      <w:r w:rsidRPr="004769B3">
        <w:t>***</w:t>
      </w:r>
      <w:r w:rsidRPr="004769B3">
        <w:rPr>
          <w:i/>
          <w:iCs/>
        </w:rPr>
        <w:t>p</w:t>
      </w:r>
      <w:r w:rsidRPr="004769B3">
        <w:t xml:space="preserve"> &lt; 0.001, ****</w:t>
      </w:r>
      <w:r w:rsidRPr="004769B3">
        <w:rPr>
          <w:i/>
          <w:iCs/>
        </w:rPr>
        <w:t>p</w:t>
      </w:r>
      <w:r w:rsidRPr="004769B3">
        <w:t xml:space="preserve"> &lt; 0.0001.</w:t>
      </w:r>
      <w:r w:rsidRPr="004769B3">
        <w:rPr>
          <w:rFonts w:cstheme="minorBidi"/>
          <w:sz w:val="21"/>
        </w:rPr>
        <w:t xml:space="preserve"> </w:t>
      </w:r>
      <w:r w:rsidRPr="004769B3">
        <w:t>Abbreviations: L-DOX, liposomal doxorubicin; RNA-seq, RNA sequencing; GO, gene ontology; GSEA, gene set enrichment analysis; NES, normalized enrichment score; SASP, senescence-associated secretory phenotype; SA-β-gal, senescence-associated β-galactosidase; BMDM, bone marrow-derived macrophage; DAPI, 4</w:t>
      </w:r>
      <w:r w:rsidRPr="004769B3">
        <w:rPr>
          <w:rFonts w:ascii="Times New Roman" w:hAnsi="Times New Roman"/>
        </w:rPr>
        <w:t>′</w:t>
      </w:r>
      <w:r w:rsidRPr="004769B3">
        <w:t>,6-diamidino-2-phenylindole.</w:t>
      </w:r>
    </w:p>
    <w:p w14:paraId="58C005C7" w14:textId="77777777" w:rsidR="00DE4261" w:rsidRPr="004769B3" w:rsidRDefault="00DE4261" w:rsidP="00DE4261">
      <w:pPr>
        <w:pStyle w:val="TSP52figure"/>
      </w:pPr>
      <w:r w:rsidRPr="004769B3">
        <w:rPr>
          <w:noProof/>
        </w:rPr>
        <w:drawing>
          <wp:inline distT="0" distB="0" distL="0" distR="0" wp14:anchorId="163B9D9E" wp14:editId="041EB150">
            <wp:extent cx="5271135" cy="5379085"/>
            <wp:effectExtent l="0" t="0" r="5715" b="0"/>
            <wp:docPr id="141379957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799572" name="图片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1135" cy="5379085"/>
                    </a:xfrm>
                    <a:prstGeom prst="rect">
                      <a:avLst/>
                    </a:prstGeom>
                    <a:noFill/>
                    <a:ln>
                      <a:noFill/>
                    </a:ln>
                  </pic:spPr>
                </pic:pic>
              </a:graphicData>
            </a:graphic>
          </wp:inline>
        </w:drawing>
      </w:r>
    </w:p>
    <w:p w14:paraId="59AA7E8E" w14:textId="5858EC1C" w:rsidR="00DE4261" w:rsidRPr="004769B3" w:rsidRDefault="00DE4261" w:rsidP="00DE4261">
      <w:pPr>
        <w:pStyle w:val="TSP51figurecaption"/>
      </w:pPr>
      <w:r w:rsidRPr="004769B3">
        <w:rPr>
          <w:b/>
          <w:bCs/>
          <w:kern w:val="2"/>
        </w:rPr>
        <w:t xml:space="preserve">Figure </w:t>
      </w:r>
      <w:r>
        <w:rPr>
          <w:rFonts w:eastAsiaTheme="minorEastAsia" w:hint="eastAsia"/>
          <w:b/>
          <w:bCs/>
          <w:kern w:val="2"/>
          <w:lang w:eastAsia="zh-CN"/>
        </w:rPr>
        <w:t>S</w:t>
      </w:r>
      <w:r w:rsidRPr="004769B3">
        <w:rPr>
          <w:b/>
          <w:bCs/>
          <w:kern w:val="2"/>
        </w:rPr>
        <w:t xml:space="preserve">4: Validation of cGAS-STING-p65-dependent NF-κB pathway. </w:t>
      </w:r>
      <w:r w:rsidRPr="004769B3">
        <w:t>(</w:t>
      </w:r>
      <w:r w:rsidRPr="004769B3">
        <w:rPr>
          <w:b/>
          <w:bCs/>
        </w:rPr>
        <w:t>A</w:t>
      </w:r>
      <w:r w:rsidRPr="004769B3">
        <w:t>) GSEA plot showing type I interferon pathway activation. (</w:t>
      </w:r>
      <w:r w:rsidRPr="004769B3">
        <w:rPr>
          <w:b/>
          <w:bCs/>
        </w:rPr>
        <w:t>B</w:t>
      </w:r>
      <w:r w:rsidRPr="004769B3">
        <w:t>) Densitometric quantification of p-STING relative to total STING corresponding to the Western blot shown in Fig. 4B (n = 3). (</w:t>
      </w:r>
      <w:r w:rsidRPr="004769B3">
        <w:rPr>
          <w:b/>
          <w:bCs/>
        </w:rPr>
        <w:t>C</w:t>
      </w:r>
      <w:r w:rsidRPr="004769B3">
        <w:t xml:space="preserve">) Densitometric quantification of p-TBK1 </w:t>
      </w:r>
      <w:r w:rsidRPr="004769B3">
        <w:lastRenderedPageBreak/>
        <w:t>relative to total TBK1 corresponding to the Western blot shown in Fig. 4B (n = 3). (</w:t>
      </w:r>
      <w:r w:rsidRPr="004769B3">
        <w:rPr>
          <w:b/>
          <w:bCs/>
        </w:rPr>
        <w:t>D</w:t>
      </w:r>
      <w:r w:rsidRPr="004769B3">
        <w:t>) Densitometric quantification of p-IRF3 relative to total IRF3 corresponding to the Western blot shown in Fig. 4B (n = 3). (</w:t>
      </w:r>
      <w:r w:rsidRPr="004769B3">
        <w:rPr>
          <w:b/>
          <w:bCs/>
        </w:rPr>
        <w:t>E</w:t>
      </w:r>
      <w:r w:rsidRPr="004769B3">
        <w:t>) Densitometric quantification of PD-L1 relative to β-actin corresponding to the Western blot shown in Fig. 4B (n = 3). (</w:t>
      </w:r>
      <w:r w:rsidRPr="004769B3">
        <w:rPr>
          <w:b/>
          <w:bCs/>
        </w:rPr>
        <w:t>F</w:t>
      </w:r>
      <w:r w:rsidRPr="004769B3">
        <w:t>) Flow cytometry analysis of PD-L1</w:t>
      </w:r>
      <w:r w:rsidRPr="004769B3">
        <w:rPr>
          <w:rFonts w:cs="Cambria Math"/>
          <w:vertAlign w:val="superscript"/>
        </w:rPr>
        <w:t>+</w:t>
      </w:r>
      <w:r w:rsidRPr="004769B3">
        <w:t xml:space="preserve"> macrophages following pharmacological inhibition at different nodes of the cGAS-STING pathway. (</w:t>
      </w:r>
      <w:r w:rsidRPr="004769B3">
        <w:rPr>
          <w:b/>
          <w:bCs/>
        </w:rPr>
        <w:t>G</w:t>
      </w:r>
      <w:r w:rsidRPr="004769B3">
        <w:t>) ChIP-qPCR analysis of p65 binding to predicted sites (p1</w:t>
      </w:r>
      <w:r w:rsidRPr="004769B3">
        <w:rPr>
          <w:rFonts w:eastAsiaTheme="minorEastAsia" w:hint="eastAsia"/>
          <w:lang w:eastAsia="zh-CN"/>
        </w:rPr>
        <w:t>–</w:t>
      </w:r>
      <w:r w:rsidRPr="004769B3">
        <w:t>p3) in the PD-L1 promoter (n = 3). (</w:t>
      </w:r>
      <w:r w:rsidRPr="004769B3">
        <w:rPr>
          <w:b/>
          <w:bCs/>
        </w:rPr>
        <w:t>H</w:t>
      </w:r>
      <w:r w:rsidRPr="004769B3">
        <w:t>) Schematic of predicted NF-</w:t>
      </w:r>
      <w:r w:rsidRPr="004769B3">
        <w:rPr>
          <w:rFonts w:cs="Minion Pro"/>
        </w:rPr>
        <w:t>κ</w:t>
      </w:r>
      <w:r w:rsidRPr="004769B3">
        <w:t>B binding sites (p1</w:t>
      </w:r>
      <w:r w:rsidRPr="004769B3">
        <w:rPr>
          <w:rFonts w:eastAsiaTheme="minorEastAsia" w:hint="eastAsia"/>
          <w:lang w:eastAsia="zh-CN"/>
        </w:rPr>
        <w:t>–</w:t>
      </w:r>
      <w:r w:rsidRPr="004769B3">
        <w:t>p3) and mutation design. (</w:t>
      </w:r>
      <w:r w:rsidRPr="004769B3">
        <w:rPr>
          <w:b/>
          <w:bCs/>
        </w:rPr>
        <w:t>I</w:t>
      </w:r>
      <w:r w:rsidRPr="004769B3">
        <w:t>) Representative Western blot showing p65 expression in BMDMs transfected with negative-control or p65-targeting siRNA. (</w:t>
      </w:r>
      <w:r w:rsidRPr="004769B3">
        <w:rPr>
          <w:b/>
          <w:bCs/>
        </w:rPr>
        <w:t>J</w:t>
      </w:r>
      <w:r w:rsidRPr="004769B3">
        <w:t>) Densitometric quantification of p65 expression relative to β-actin corresponding to (</w:t>
      </w:r>
      <w:r w:rsidRPr="004769B3">
        <w:rPr>
          <w:b/>
          <w:bCs/>
        </w:rPr>
        <w:t>I</w:t>
      </w:r>
      <w:r w:rsidRPr="004769B3">
        <w:t>) (n = 3). (</w:t>
      </w:r>
      <w:r w:rsidRPr="004769B3">
        <w:rPr>
          <w:b/>
          <w:bCs/>
        </w:rPr>
        <w:t>K</w:t>
      </w:r>
      <w:r w:rsidRPr="004769B3">
        <w:t>) Representative flow cytometry plot showing PD-L1 expression after NF-κB inhibition or p65 knockdown. (</w:t>
      </w:r>
      <w:r w:rsidRPr="004769B3">
        <w:rPr>
          <w:b/>
          <w:bCs/>
        </w:rPr>
        <w:t>L</w:t>
      </w:r>
      <w:r w:rsidRPr="004769B3">
        <w:t>) Representative flow cytometry histograms showing PD-L1 expression in primary hMDMs treated with L-DOX in the presence or absence of H-151 or JSH-23. (</w:t>
      </w:r>
      <w:r w:rsidRPr="004769B3">
        <w:rPr>
          <w:b/>
          <w:bCs/>
        </w:rPr>
        <w:t>M</w:t>
      </w:r>
      <w:r w:rsidRPr="004769B3">
        <w:t>) Quantification of PD-L1 mean fluorescence intensity corresponding to (</w:t>
      </w:r>
      <w:r w:rsidRPr="004769B3">
        <w:rPr>
          <w:b/>
          <w:bCs/>
        </w:rPr>
        <w:t>L</w:t>
      </w:r>
      <w:r w:rsidRPr="004769B3">
        <w:t xml:space="preserve">) (n = 3). L-DOX, H-151, and JSH-23 were used at the same concentrations as in the BMDM experiments. Statistical tests: two-tailed unpaired Student’s </w:t>
      </w:r>
      <w:r w:rsidRPr="004769B3">
        <w:rPr>
          <w:i/>
          <w:iCs/>
        </w:rPr>
        <w:t>t</w:t>
      </w:r>
      <w:r w:rsidRPr="004769B3">
        <w:t>-test (</w:t>
      </w:r>
      <w:r w:rsidRPr="004769B3">
        <w:rPr>
          <w:b/>
          <w:bCs/>
        </w:rPr>
        <w:t>B</w:t>
      </w:r>
      <w:r w:rsidRPr="004769B3">
        <w:rPr>
          <w:rFonts w:eastAsiaTheme="minorEastAsia"/>
          <w:lang w:eastAsia="zh-CN"/>
        </w:rPr>
        <w:t>–</w:t>
      </w:r>
      <w:r w:rsidRPr="004769B3">
        <w:rPr>
          <w:b/>
          <w:bCs/>
        </w:rPr>
        <w:t>E</w:t>
      </w:r>
      <w:r w:rsidRPr="004769B3">
        <w:t>); two-way ANOVA with Sidak’s correction (</w:t>
      </w:r>
      <w:r w:rsidRPr="004769B3">
        <w:rPr>
          <w:b/>
          <w:bCs/>
        </w:rPr>
        <w:t>G</w:t>
      </w:r>
      <w:r w:rsidRPr="004769B3">
        <w:t>); one-way ANOVA with Dunnett’s correction (</w:t>
      </w:r>
      <w:r w:rsidRPr="004769B3">
        <w:rPr>
          <w:b/>
          <w:bCs/>
        </w:rPr>
        <w:t>J</w:t>
      </w:r>
      <w:r w:rsidRPr="004769B3">
        <w:t>); one-way ANOVA with Sidak’s correction for indicated comparisons (</w:t>
      </w:r>
      <w:r w:rsidRPr="004769B3">
        <w:rPr>
          <w:b/>
          <w:bCs/>
        </w:rPr>
        <w:t>M</w:t>
      </w:r>
      <w:r w:rsidRPr="004769B3">
        <w:t>). *</w:t>
      </w:r>
      <w:r w:rsidRPr="004769B3">
        <w:rPr>
          <w:i/>
          <w:iCs/>
        </w:rPr>
        <w:t>p</w:t>
      </w:r>
      <w:r w:rsidRPr="004769B3">
        <w:t xml:space="preserve"> &lt; 0.05, **</w:t>
      </w:r>
      <w:r w:rsidRPr="004769B3">
        <w:rPr>
          <w:i/>
          <w:iCs/>
        </w:rPr>
        <w:t>p</w:t>
      </w:r>
      <w:r w:rsidRPr="004769B3">
        <w:t xml:space="preserve"> &lt; 0.01, ***</w:t>
      </w:r>
      <w:r w:rsidRPr="004769B3">
        <w:rPr>
          <w:i/>
          <w:iCs/>
        </w:rPr>
        <w:t>p</w:t>
      </w:r>
      <w:r w:rsidRPr="004769B3">
        <w:t xml:space="preserve"> &lt; 0.001, ****</w:t>
      </w:r>
      <w:r w:rsidRPr="004769B3">
        <w:rPr>
          <w:i/>
          <w:iCs/>
        </w:rPr>
        <w:t>p</w:t>
      </w:r>
      <w:r w:rsidRPr="004769B3">
        <w:t xml:space="preserve"> &lt; 0.0001. ns, not significant (</w:t>
      </w:r>
      <w:r w:rsidRPr="004769B3">
        <w:rPr>
          <w:i/>
          <w:iCs/>
        </w:rPr>
        <w:t>p</w:t>
      </w:r>
      <w:r w:rsidRPr="004769B3">
        <w:t xml:space="preserve"> ≥ 0.05). Abbreviations: L-DOX, liposomal doxorubicin; PD-L1, programmed death-ligand 1; cGAS, cyclic GMP-AMP synthase; STING, stimulator of interferon genes; TBK1, TANK-binding kinase 1; IRF3, interferon regulatory factor 3; NF-κB, nuclear factor kappa B; GSEA, gene set enrichment analysis; ChIP-qPCR, chromatin immunoprecipitation–quantitative PCR; BMDM, bone marrow-derived macrophage; hMDM, human monocyte-derived macrophage; TSS, transcription start site; siRNA, small interfering RNA; MFI, mean fluorescence intensity.</w:t>
      </w:r>
    </w:p>
    <w:p w14:paraId="7CC5F090" w14:textId="77777777" w:rsidR="00DE4261" w:rsidRPr="004769B3" w:rsidRDefault="00DE4261" w:rsidP="00DE4261">
      <w:pPr>
        <w:pStyle w:val="TSP52figure"/>
        <w:rPr>
          <w:rFonts w:eastAsia="宋体"/>
          <w:shd w:val="clear" w:color="auto" w:fill="FFFFFF"/>
        </w:rPr>
      </w:pPr>
      <w:r w:rsidRPr="004769B3">
        <w:rPr>
          <w:rFonts w:eastAsia="宋体"/>
          <w:noProof/>
          <w:shd w:val="clear" w:color="auto" w:fill="FFFFFF"/>
        </w:rPr>
        <w:lastRenderedPageBreak/>
        <w:drawing>
          <wp:inline distT="0" distB="0" distL="0" distR="0" wp14:anchorId="7AB54D04" wp14:editId="391F62D1">
            <wp:extent cx="5271135" cy="5638165"/>
            <wp:effectExtent l="0" t="0" r="5715" b="635"/>
            <wp:docPr id="8475496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549645"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1135" cy="5638165"/>
                    </a:xfrm>
                    <a:prstGeom prst="rect">
                      <a:avLst/>
                    </a:prstGeom>
                    <a:noFill/>
                    <a:ln>
                      <a:noFill/>
                    </a:ln>
                  </pic:spPr>
                </pic:pic>
              </a:graphicData>
            </a:graphic>
          </wp:inline>
        </w:drawing>
      </w:r>
    </w:p>
    <w:p w14:paraId="50AAC27E" w14:textId="10F142CF" w:rsidR="00DE4261" w:rsidRPr="004769B3" w:rsidRDefault="00DE4261" w:rsidP="00DE4261">
      <w:pPr>
        <w:pStyle w:val="TSP51figurecaption"/>
      </w:pPr>
      <w:r w:rsidRPr="004769B3">
        <w:rPr>
          <w:b/>
          <w:bCs/>
          <w:kern w:val="2"/>
        </w:rPr>
        <w:t xml:space="preserve">Figure </w:t>
      </w:r>
      <w:r>
        <w:rPr>
          <w:rFonts w:eastAsiaTheme="minorEastAsia" w:hint="eastAsia"/>
          <w:b/>
          <w:bCs/>
          <w:kern w:val="2"/>
          <w:lang w:eastAsia="zh-CN"/>
        </w:rPr>
        <w:t>S</w:t>
      </w:r>
      <w:r w:rsidRPr="004769B3">
        <w:rPr>
          <w:b/>
          <w:bCs/>
          <w:kern w:val="2"/>
        </w:rPr>
        <w:t xml:space="preserve">5: Validating macrophage phenotype modulation by anti-PD-L1. </w:t>
      </w:r>
      <w:r w:rsidRPr="004769B3">
        <w:t>(</w:t>
      </w:r>
      <w:r w:rsidRPr="004769B3">
        <w:rPr>
          <w:b/>
          <w:bCs/>
        </w:rPr>
        <w:t>A</w:t>
      </w:r>
      <w:r w:rsidRPr="004769B3">
        <w:t>,</w:t>
      </w:r>
      <w:r w:rsidRPr="004769B3">
        <w:rPr>
          <w:b/>
          <w:bCs/>
        </w:rPr>
        <w:t>B</w:t>
      </w:r>
      <w:r w:rsidRPr="004769B3">
        <w:t>) t-SNE feature plots for CD14 (</w:t>
      </w:r>
      <w:r w:rsidRPr="004769B3">
        <w:rPr>
          <w:b/>
          <w:bCs/>
        </w:rPr>
        <w:t>A</w:t>
      </w:r>
      <w:r w:rsidRPr="004769B3">
        <w:t>) and CD68 (</w:t>
      </w:r>
      <w:r w:rsidRPr="004769B3">
        <w:rPr>
          <w:b/>
          <w:bCs/>
        </w:rPr>
        <w:t>B</w:t>
      </w:r>
      <w:r w:rsidRPr="004769B3">
        <w:t>) expression in GSE266919. (</w:t>
      </w:r>
      <w:r w:rsidRPr="004769B3">
        <w:rPr>
          <w:b/>
          <w:bCs/>
        </w:rPr>
        <w:t>C</w:t>
      </w:r>
      <w:r w:rsidRPr="004769B3">
        <w:t>) Sample distribution across patients in GSE266919. (</w:t>
      </w:r>
      <w:r w:rsidRPr="004769B3">
        <w:rPr>
          <w:b/>
          <w:bCs/>
        </w:rPr>
        <w:t>D</w:t>
      </w:r>
      <w:r w:rsidRPr="004769B3">
        <w:t>) Heatmap showing the average scaled expression of CD274 and representative macrophage phenotype markers across macrophage clusters from the GSE266919 dataset. Rows represent macrophage clusters, and columns represent marker genes. CD274 is shown as the PD-L1 marker but was excluded from the M2-like/immunoregulatory scoring signature. (</w:t>
      </w:r>
      <w:r w:rsidRPr="004769B3">
        <w:rPr>
          <w:b/>
          <w:bCs/>
        </w:rPr>
        <w:t>E</w:t>
      </w:r>
      <w:r w:rsidRPr="004769B3">
        <w:t>) Effect of anti-PD-L1 treatment on the expression of representative M1-like and M2-like markers in GSE116564. (</w:t>
      </w:r>
      <w:r w:rsidRPr="004769B3">
        <w:rPr>
          <w:b/>
          <w:bCs/>
        </w:rPr>
        <w:t>F</w:t>
      </w:r>
      <w:r w:rsidRPr="004769B3">
        <w:t>) Bright-field images showing morphological changes under different treatments (scale bar = 100 μm). Statistical tests: one-way ANOVA with Sidak’s correction for indicated comparisons (</w:t>
      </w:r>
      <w:r w:rsidRPr="004769B3">
        <w:rPr>
          <w:b/>
          <w:bCs/>
        </w:rPr>
        <w:t>E</w:t>
      </w:r>
      <w:r w:rsidRPr="004769B3">
        <w:t>). *</w:t>
      </w:r>
      <w:r w:rsidRPr="004769B3">
        <w:rPr>
          <w:i/>
          <w:iCs/>
        </w:rPr>
        <w:t>p</w:t>
      </w:r>
      <w:r w:rsidRPr="004769B3">
        <w:t xml:space="preserve"> &lt; 0.05, **</w:t>
      </w:r>
      <w:r w:rsidRPr="004769B3">
        <w:rPr>
          <w:i/>
          <w:iCs/>
        </w:rPr>
        <w:t>p</w:t>
      </w:r>
      <w:r w:rsidRPr="004769B3">
        <w:t xml:space="preserve"> &lt; 0.01, ***</w:t>
      </w:r>
      <w:r w:rsidRPr="004769B3">
        <w:rPr>
          <w:i/>
          <w:iCs/>
        </w:rPr>
        <w:t>p</w:t>
      </w:r>
      <w:r w:rsidRPr="004769B3">
        <w:t xml:space="preserve"> &lt; 0.001. Abbreviations: PD-L1, programmed death-ligand 1; L-DOX, liposomal doxorubicin; GSE, gene expression omnibus series; t-SNE, t-distributed stochastic neighbor embedding; M1, M1-like/pro-inflammatory macrophage phenotype; M2, M2-like/immunoregulatory macrophage phenotype; IgG, immunoglobulin G.</w:t>
      </w:r>
    </w:p>
    <w:p w14:paraId="41F4311E" w14:textId="77777777" w:rsidR="00DE4261" w:rsidRPr="004769B3" w:rsidRDefault="00DE4261" w:rsidP="00DE4261">
      <w:pPr>
        <w:pStyle w:val="TSP52figure"/>
        <w:rPr>
          <w:rStyle w:val="Strong"/>
          <w:rFonts w:eastAsia="宋体"/>
          <w:bCs/>
          <w:shd w:val="clear" w:color="auto" w:fill="FFFFFF"/>
        </w:rPr>
      </w:pPr>
      <w:r w:rsidRPr="004769B3">
        <w:rPr>
          <w:rStyle w:val="Strong"/>
          <w:rFonts w:eastAsia="宋体"/>
          <w:bCs/>
          <w:noProof/>
          <w:shd w:val="clear" w:color="auto" w:fill="FFFFFF"/>
        </w:rPr>
        <w:lastRenderedPageBreak/>
        <w:drawing>
          <wp:inline distT="0" distB="0" distL="0" distR="0" wp14:anchorId="1655C782" wp14:editId="32D8902A">
            <wp:extent cx="5271135" cy="3208020"/>
            <wp:effectExtent l="0" t="0" r="5715" b="0"/>
            <wp:docPr id="20101250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125003" name="图片 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1135" cy="3208020"/>
                    </a:xfrm>
                    <a:prstGeom prst="rect">
                      <a:avLst/>
                    </a:prstGeom>
                    <a:noFill/>
                    <a:ln>
                      <a:noFill/>
                    </a:ln>
                  </pic:spPr>
                </pic:pic>
              </a:graphicData>
            </a:graphic>
          </wp:inline>
        </w:drawing>
      </w:r>
    </w:p>
    <w:p w14:paraId="500D2177" w14:textId="1EDE9B46" w:rsidR="00DE4261" w:rsidRPr="004769B3" w:rsidRDefault="00DE4261" w:rsidP="00DE4261">
      <w:pPr>
        <w:pStyle w:val="TSP51figurecaption"/>
      </w:pPr>
      <w:r w:rsidRPr="004769B3">
        <w:rPr>
          <w:b/>
          <w:bCs/>
        </w:rPr>
        <w:t xml:space="preserve">Figure </w:t>
      </w:r>
      <w:r>
        <w:rPr>
          <w:rFonts w:eastAsiaTheme="minorEastAsia" w:hint="eastAsia"/>
          <w:b/>
          <w:bCs/>
          <w:lang w:eastAsia="zh-CN"/>
        </w:rPr>
        <w:t>S</w:t>
      </w:r>
      <w:r w:rsidRPr="004769B3">
        <w:rPr>
          <w:b/>
          <w:bCs/>
        </w:rPr>
        <w:t>6: CD8</w:t>
      </w:r>
      <w:r w:rsidRPr="004769B3">
        <w:rPr>
          <w:rFonts w:cs="Cambria Math"/>
          <w:b/>
          <w:bCs/>
          <w:vertAlign w:val="superscript"/>
        </w:rPr>
        <w:t>+</w:t>
      </w:r>
      <w:r w:rsidRPr="004769B3">
        <w:rPr>
          <w:b/>
          <w:bCs/>
        </w:rPr>
        <w:t xml:space="preserve"> T Cell Subsets and Functional Validation. </w:t>
      </w:r>
      <w:r w:rsidRPr="004769B3">
        <w:t>(</w:t>
      </w:r>
      <w:r w:rsidRPr="004769B3">
        <w:rPr>
          <w:b/>
          <w:bCs/>
        </w:rPr>
        <w:t>A</w:t>
      </w:r>
      <w:r w:rsidRPr="004769B3">
        <w:t>) t-SNE clustering of CD8</w:t>
      </w:r>
      <w:r w:rsidRPr="004769B3">
        <w:rPr>
          <w:rFonts w:cs="Cambria Math"/>
          <w:vertAlign w:val="superscript"/>
        </w:rPr>
        <w:t>+</w:t>
      </w:r>
      <w:r w:rsidRPr="004769B3">
        <w:t xml:space="preserve"> T cells from GSE266919. (</w:t>
      </w:r>
      <w:r w:rsidRPr="004769B3">
        <w:rPr>
          <w:b/>
          <w:bCs/>
        </w:rPr>
        <w:t>B</w:t>
      </w:r>
      <w:r w:rsidRPr="004769B3">
        <w:t>) Patient distribution of CD8</w:t>
      </w:r>
      <w:r w:rsidRPr="004769B3">
        <w:rPr>
          <w:rFonts w:cs="Cambria Math"/>
          <w:vertAlign w:val="superscript"/>
        </w:rPr>
        <w:t>+</w:t>
      </w:r>
      <w:r w:rsidRPr="004769B3">
        <w:t xml:space="preserve"> T cells. (</w:t>
      </w:r>
      <w:r w:rsidRPr="004769B3">
        <w:rPr>
          <w:b/>
          <w:bCs/>
        </w:rPr>
        <w:t>C</w:t>
      </w:r>
      <w:r w:rsidRPr="004769B3">
        <w:t>) t-SNE clustering of CD4</w:t>
      </w:r>
      <w:r w:rsidRPr="004769B3">
        <w:rPr>
          <w:rFonts w:cs="Cambria Math"/>
          <w:vertAlign w:val="superscript"/>
        </w:rPr>
        <w:t>+</w:t>
      </w:r>
      <w:r w:rsidRPr="004769B3">
        <w:t xml:space="preserve"> T cells from GSE266919. (</w:t>
      </w:r>
      <w:r w:rsidRPr="004769B3">
        <w:rPr>
          <w:b/>
          <w:bCs/>
        </w:rPr>
        <w:t>D</w:t>
      </w:r>
      <w:r w:rsidRPr="004769B3">
        <w:t>) Patient distribution of CD4</w:t>
      </w:r>
      <w:r w:rsidRPr="004769B3">
        <w:rPr>
          <w:rFonts w:cs="Cambria Math"/>
          <w:vertAlign w:val="superscript"/>
        </w:rPr>
        <w:t>+</w:t>
      </w:r>
      <w:r w:rsidRPr="004769B3">
        <w:t xml:space="preserve"> T cells. (</w:t>
      </w:r>
      <w:r w:rsidRPr="004769B3">
        <w:rPr>
          <w:b/>
          <w:bCs/>
        </w:rPr>
        <w:t>E</w:t>
      </w:r>
      <w:r w:rsidRPr="004769B3">
        <w:t>) Marker gene expression for CD8</w:t>
      </w:r>
      <w:r w:rsidRPr="004769B3">
        <w:rPr>
          <w:rFonts w:cs="Cambria Math"/>
          <w:vertAlign w:val="superscript"/>
        </w:rPr>
        <w:t>+</w:t>
      </w:r>
      <w:r w:rsidRPr="004769B3">
        <w:t xml:space="preserve"> T cell subsets. CD8</w:t>
      </w:r>
      <w:r w:rsidRPr="004769B3">
        <w:rPr>
          <w:rFonts w:cs="Cambria Math"/>
          <w:vertAlign w:val="superscript"/>
        </w:rPr>
        <w:t>+</w:t>
      </w:r>
      <w:r w:rsidRPr="004769B3">
        <w:t xml:space="preserve"> T cells (CD3D, CD3E, CD3G, CD8A), exhausted T cells (PDCD1, LAG3, HAVCR2), proliferating T cells (MKI67, TOP2A, PCNA). (</w:t>
      </w:r>
      <w:r w:rsidRPr="004769B3">
        <w:rPr>
          <w:b/>
          <w:bCs/>
        </w:rPr>
        <w:t>F</w:t>
      </w:r>
      <w:r w:rsidRPr="004769B3">
        <w:t>) Marker gene expression for CD4</w:t>
      </w:r>
      <w:r w:rsidRPr="004769B3">
        <w:rPr>
          <w:rFonts w:cs="Cambria Math"/>
          <w:vertAlign w:val="superscript"/>
        </w:rPr>
        <w:t>+</w:t>
      </w:r>
      <w:r w:rsidRPr="004769B3">
        <w:t xml:space="preserve"> T cell subsets. CD4</w:t>
      </w:r>
      <w:r w:rsidRPr="004769B3">
        <w:rPr>
          <w:rFonts w:cs="Cambria Math"/>
          <w:vertAlign w:val="superscript"/>
        </w:rPr>
        <w:t>+</w:t>
      </w:r>
      <w:r w:rsidRPr="004769B3">
        <w:t xml:space="preserve"> T cells (CD3D, CD3E, CD3G, CD4), Treg cells (CD4, FOXP3, IL2RA). (</w:t>
      </w:r>
      <w:r w:rsidRPr="004769B3">
        <w:rPr>
          <w:b/>
          <w:bCs/>
        </w:rPr>
        <w:t>G</w:t>
      </w:r>
      <w:r w:rsidRPr="004769B3">
        <w:t>) Gene set score plots for GZMB and IFN-γ in CD8</w:t>
      </w:r>
      <w:r w:rsidRPr="004769B3">
        <w:rPr>
          <w:rFonts w:cs="Cambria Math"/>
          <w:vertAlign w:val="superscript"/>
        </w:rPr>
        <w:t>+</w:t>
      </w:r>
      <w:r w:rsidRPr="004769B3">
        <w:t xml:space="preserve"> T cells (left) and zoomed-in view (right). Dots represent the average score per patient subgroup. (</w:t>
      </w:r>
      <w:r w:rsidRPr="004769B3">
        <w:rPr>
          <w:b/>
          <w:bCs/>
        </w:rPr>
        <w:t>H</w:t>
      </w:r>
      <w:r w:rsidRPr="004769B3">
        <w:t>) Representative flow cytometry histograms showing CD25 expression in CD8</w:t>
      </w:r>
      <w:r w:rsidRPr="004769B3">
        <w:rPr>
          <w:rFonts w:cs="Cambria Math"/>
          <w:vertAlign w:val="superscript"/>
        </w:rPr>
        <w:t>+</w:t>
      </w:r>
      <w:r w:rsidRPr="004769B3">
        <w:t xml:space="preserve"> T cells under the indicated co-culture conditions. (</w:t>
      </w:r>
      <w:r w:rsidRPr="004769B3">
        <w:rPr>
          <w:b/>
          <w:bCs/>
        </w:rPr>
        <w:t>I</w:t>
      </w:r>
      <w:r w:rsidRPr="004769B3">
        <w:t>) Quantification of CD25 mean fluorescence intensity corresponding to (</w:t>
      </w:r>
      <w:r w:rsidRPr="004769B3">
        <w:rPr>
          <w:b/>
          <w:bCs/>
        </w:rPr>
        <w:t>H</w:t>
      </w:r>
      <w:r w:rsidRPr="004769B3">
        <w:t>) (n = 3). (</w:t>
      </w:r>
      <w:r w:rsidRPr="004769B3">
        <w:rPr>
          <w:b/>
          <w:bCs/>
        </w:rPr>
        <w:t>J</w:t>
      </w:r>
      <w:r w:rsidRPr="004769B3">
        <w:t>) Flow cytometry analysis showing the positivity rate (CD11c</w:t>
      </w:r>
      <w:r w:rsidRPr="004769B3">
        <w:rPr>
          <w:rFonts w:cs="Cambria Math"/>
          <w:vertAlign w:val="superscript"/>
        </w:rPr>
        <w:t>+</w:t>
      </w:r>
      <w:r w:rsidRPr="004769B3">
        <w:t>) of BMDCs. (</w:t>
      </w:r>
      <w:r w:rsidRPr="004769B3">
        <w:rPr>
          <w:b/>
          <w:bCs/>
        </w:rPr>
        <w:t>K</w:t>
      </w:r>
      <w:r w:rsidRPr="004769B3">
        <w:t>) Basal cytotoxicity rate of EO771 cells cultured without CD8</w:t>
      </w:r>
      <w:r w:rsidRPr="004769B3">
        <w:rPr>
          <w:rFonts w:cs="Cambria Math"/>
          <w:vertAlign w:val="superscript"/>
        </w:rPr>
        <w:t>+</w:t>
      </w:r>
      <w:r w:rsidRPr="004769B3">
        <w:t xml:space="preserve"> T cells. (</w:t>
      </w:r>
      <w:r w:rsidRPr="004769B3">
        <w:rPr>
          <w:b/>
          <w:bCs/>
        </w:rPr>
        <w:t>L</w:t>
      </w:r>
      <w:r w:rsidRPr="004769B3">
        <w:t>) Basal cytotoxicity rate of 4T1 cells cultured without CD8</w:t>
      </w:r>
      <w:r w:rsidRPr="004769B3">
        <w:rPr>
          <w:rFonts w:cs="Cambria Math"/>
          <w:vertAlign w:val="superscript"/>
        </w:rPr>
        <w:t>+</w:t>
      </w:r>
      <w:r w:rsidRPr="004769B3">
        <w:t xml:space="preserve"> T cells. Statistical tests: one-way ANOVA with Sidak</w:t>
      </w:r>
      <w:r w:rsidRPr="004769B3">
        <w:rPr>
          <w:rFonts w:cs="Minion Pro"/>
        </w:rPr>
        <w:t>’</w:t>
      </w:r>
      <w:r w:rsidRPr="004769B3">
        <w:t>s correction for indicated comparisons (</w:t>
      </w:r>
      <w:r w:rsidRPr="004769B3">
        <w:rPr>
          <w:b/>
          <w:bCs/>
        </w:rPr>
        <w:t>I</w:t>
      </w:r>
      <w:r w:rsidRPr="004769B3">
        <w:t>). **</w:t>
      </w:r>
      <w:r w:rsidRPr="004769B3">
        <w:rPr>
          <w:i/>
          <w:iCs/>
        </w:rPr>
        <w:t>p</w:t>
      </w:r>
      <w:r w:rsidRPr="004769B3">
        <w:t xml:space="preserve"> &lt; 0.01, ***</w:t>
      </w:r>
      <w:r w:rsidRPr="004769B3">
        <w:rPr>
          <w:i/>
          <w:iCs/>
        </w:rPr>
        <w:t>p</w:t>
      </w:r>
      <w:r w:rsidRPr="004769B3">
        <w:t xml:space="preserve"> &lt; 0.001. ns, not significant (</w:t>
      </w:r>
      <w:r w:rsidRPr="004769B3">
        <w:rPr>
          <w:i/>
          <w:iCs/>
        </w:rPr>
        <w:t>p</w:t>
      </w:r>
      <w:r w:rsidRPr="004769B3">
        <w:t xml:space="preserve"> ≥ 0.05). Abbreviations: GSE, gene expression omnibus series; t-SNE, t-distributed stochastic neighbor embedding; Treg, regulatory T cell; PD-L1, programmed death-ligand 1; L-DOX, liposomal doxorubicin; IgG, immunoglobulin G; BMDC, bone marrow-derived dendritic cell; CFSE, carboxyfluorescein succinimidyl ester; MFI, mean fluorescence intensity.</w:t>
      </w:r>
    </w:p>
    <w:p w14:paraId="22C9BCB5" w14:textId="77777777" w:rsidR="00DE4261" w:rsidRPr="004769B3" w:rsidRDefault="00DE4261" w:rsidP="00DE4261">
      <w:pPr>
        <w:pStyle w:val="TSP52figure"/>
        <w:rPr>
          <w:rFonts w:eastAsia="宋体"/>
          <w:shd w:val="clear" w:color="auto" w:fill="FFFFFF"/>
        </w:rPr>
      </w:pPr>
      <w:r w:rsidRPr="004769B3">
        <w:rPr>
          <w:rFonts w:eastAsia="宋体"/>
          <w:noProof/>
          <w:shd w:val="clear" w:color="auto" w:fill="FFFFFF"/>
        </w:rPr>
        <w:lastRenderedPageBreak/>
        <w:drawing>
          <wp:inline distT="0" distB="0" distL="0" distR="0" wp14:anchorId="11D9EC9C" wp14:editId="78DC348A">
            <wp:extent cx="5271135" cy="7148830"/>
            <wp:effectExtent l="0" t="0" r="5715" b="0"/>
            <wp:docPr id="4828408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0839" name="图片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1135" cy="7148830"/>
                    </a:xfrm>
                    <a:prstGeom prst="rect">
                      <a:avLst/>
                    </a:prstGeom>
                    <a:noFill/>
                    <a:ln>
                      <a:noFill/>
                    </a:ln>
                  </pic:spPr>
                </pic:pic>
              </a:graphicData>
            </a:graphic>
          </wp:inline>
        </w:drawing>
      </w:r>
    </w:p>
    <w:p w14:paraId="30592380" w14:textId="21317395" w:rsidR="00DE4261" w:rsidRPr="004769B3" w:rsidRDefault="00DE4261" w:rsidP="00DE4261">
      <w:pPr>
        <w:pStyle w:val="TSP51figurecaption"/>
      </w:pPr>
      <w:r w:rsidRPr="004769B3">
        <w:rPr>
          <w:b/>
          <w:bCs/>
        </w:rPr>
        <w:t xml:space="preserve">Figure </w:t>
      </w:r>
      <w:r>
        <w:rPr>
          <w:rFonts w:eastAsiaTheme="minorEastAsia" w:hint="eastAsia"/>
          <w:b/>
          <w:bCs/>
          <w:lang w:eastAsia="zh-CN"/>
        </w:rPr>
        <w:t>S</w:t>
      </w:r>
      <w:r w:rsidRPr="004769B3">
        <w:rPr>
          <w:b/>
          <w:bCs/>
        </w:rPr>
        <w:t xml:space="preserve">7: </w:t>
      </w:r>
      <w:r w:rsidRPr="004769B3">
        <w:rPr>
          <w:b/>
          <w:bCs/>
          <w:i/>
          <w:iCs/>
        </w:rPr>
        <w:t>In vivo</w:t>
      </w:r>
      <w:r w:rsidRPr="004769B3">
        <w:rPr>
          <w:b/>
          <w:bCs/>
        </w:rPr>
        <w:t xml:space="preserve"> therapeutic efficacy and immune infiltration analysis. </w:t>
      </w:r>
      <w:r w:rsidRPr="004769B3">
        <w:t>(</w:t>
      </w:r>
      <w:r w:rsidRPr="004769B3">
        <w:rPr>
          <w:b/>
          <w:bCs/>
        </w:rPr>
        <w:t>A</w:t>
      </w:r>
      <w:r w:rsidRPr="004769B3">
        <w:t>) Representative images of EO771 and 4T1 tumors at endpoint (n = 5). (</w:t>
      </w:r>
      <w:r w:rsidRPr="004769B3">
        <w:rPr>
          <w:b/>
          <w:bCs/>
        </w:rPr>
        <w:t>B</w:t>
      </w:r>
      <w:r w:rsidRPr="004769B3">
        <w:t>) Gating strategy in this study: single cells were selected by FSC-A/SSC-A and FSC-A/FSC-H, live cells were identified using a fixable viability dye, and immune cells were gated as CD45</w:t>
      </w:r>
      <w:r w:rsidRPr="004769B3">
        <w:rPr>
          <w:rFonts w:cs="Cambria Math"/>
          <w:vertAlign w:val="superscript"/>
        </w:rPr>
        <w:t>+</w:t>
      </w:r>
      <w:r w:rsidRPr="004769B3">
        <w:t>. For T cells, CD8</w:t>
      </w:r>
      <w:r w:rsidRPr="004769B3">
        <w:rPr>
          <w:rFonts w:cs="Cambria Math"/>
          <w:vertAlign w:val="superscript"/>
        </w:rPr>
        <w:t>+</w:t>
      </w:r>
      <w:r w:rsidRPr="004769B3">
        <w:t xml:space="preserve"> T cells were selected by CD3 and CD8, followed by analysis of CD69, PD-1, TIM-3, IFN-</w:t>
      </w:r>
      <w:r w:rsidRPr="004769B3">
        <w:rPr>
          <w:rFonts w:cs="Minion Pro"/>
        </w:rPr>
        <w:t>γ</w:t>
      </w:r>
      <w:r w:rsidRPr="004769B3">
        <w:t>, and GZMB expression. For macrophages, cells were gated as F4/80</w:t>
      </w:r>
      <w:r w:rsidRPr="004769B3">
        <w:rPr>
          <w:rFonts w:cs="Cambria Math"/>
          <w:vertAlign w:val="superscript"/>
        </w:rPr>
        <w:t>+</w:t>
      </w:r>
      <w:r w:rsidRPr="004769B3">
        <w:t>CD11b</w:t>
      </w:r>
      <w:r w:rsidRPr="004769B3">
        <w:rPr>
          <w:rFonts w:cs="Cambria Math"/>
          <w:vertAlign w:val="superscript"/>
        </w:rPr>
        <w:t>+</w:t>
      </w:r>
      <w:r w:rsidRPr="004769B3">
        <w:t xml:space="preserve">, followed </w:t>
      </w:r>
      <w:r w:rsidRPr="004769B3">
        <w:lastRenderedPageBreak/>
        <w:t>by analysis of PD-L1, CD86, and CD206 expression.</w:t>
      </w:r>
      <w:r w:rsidRPr="004769B3">
        <w:rPr>
          <w:sz w:val="21"/>
        </w:rPr>
        <w:t xml:space="preserve"> </w:t>
      </w:r>
      <w:r w:rsidRPr="004769B3">
        <w:t>Tumor cells were gated as CD45</w:t>
      </w:r>
      <w:r w:rsidRPr="004769B3">
        <w:rPr>
          <w:rFonts w:cs="Cambria Math"/>
          <w:vertAlign w:val="superscript"/>
        </w:rPr>
        <w:t>−</w:t>
      </w:r>
      <w:r w:rsidRPr="004769B3">
        <w:t>EpCAM</w:t>
      </w:r>
      <w:r w:rsidRPr="004769B3">
        <w:rPr>
          <w:rFonts w:cs="Cambria Math"/>
          <w:vertAlign w:val="superscript"/>
        </w:rPr>
        <w:t>+</w:t>
      </w:r>
      <w:r w:rsidRPr="004769B3">
        <w:t>. (</w:t>
      </w:r>
      <w:r w:rsidRPr="004769B3">
        <w:rPr>
          <w:b/>
          <w:bCs/>
        </w:rPr>
        <w:t>C</w:t>
      </w:r>
      <w:r w:rsidRPr="004769B3">
        <w:t>) Percentage of tumor-infiltrating macrophages in EO771 and 4T1 tumors (n = 5). (</w:t>
      </w:r>
      <w:r w:rsidRPr="004769B3">
        <w:rPr>
          <w:b/>
          <w:bCs/>
        </w:rPr>
        <w:t>D</w:t>
      </w:r>
      <w:r w:rsidRPr="004769B3">
        <w:t>) Percentage of tumor-infiltrating CD8</w:t>
      </w:r>
      <w:r w:rsidRPr="004769B3">
        <w:rPr>
          <w:rFonts w:cs="Cambria Math"/>
          <w:vertAlign w:val="superscript"/>
        </w:rPr>
        <w:t>+</w:t>
      </w:r>
      <w:r w:rsidRPr="004769B3">
        <w:t xml:space="preserve"> T cells in EO771 and 4T1 tumors (n = 5). (</w:t>
      </w:r>
      <w:r w:rsidRPr="004769B3">
        <w:rPr>
          <w:b/>
          <w:bCs/>
        </w:rPr>
        <w:t>E</w:t>
      </w:r>
      <w:r w:rsidRPr="004769B3">
        <w:t>) Quantification of PD-L1 MFI in CD45</w:t>
      </w:r>
      <w:r w:rsidRPr="004769B3">
        <w:rPr>
          <w:rFonts w:cs="Cambria Math"/>
          <w:vertAlign w:val="superscript"/>
        </w:rPr>
        <w:t>−</w:t>
      </w:r>
      <w:r w:rsidRPr="004769B3">
        <w:t>EpCAM</w:t>
      </w:r>
      <w:r w:rsidRPr="004769B3">
        <w:rPr>
          <w:rFonts w:cs="Cambria Math"/>
          <w:vertAlign w:val="superscript"/>
        </w:rPr>
        <w:t>+</w:t>
      </w:r>
      <w:r w:rsidRPr="004769B3">
        <w:t xml:space="preserve"> tumor cells and CD45</w:t>
      </w:r>
      <w:r w:rsidRPr="004769B3">
        <w:rPr>
          <w:rFonts w:cs="Cambria Math"/>
          <w:vertAlign w:val="superscript"/>
        </w:rPr>
        <w:t>+</w:t>
      </w:r>
      <w:r w:rsidRPr="004769B3">
        <w:t>CD11b</w:t>
      </w:r>
      <w:r w:rsidRPr="004769B3">
        <w:rPr>
          <w:rFonts w:cs="Cambria Math"/>
          <w:vertAlign w:val="superscript"/>
        </w:rPr>
        <w:t>+</w:t>
      </w:r>
      <w:r w:rsidRPr="004769B3">
        <w:t>F4/80</w:t>
      </w:r>
      <w:r w:rsidRPr="004769B3">
        <w:rPr>
          <w:rFonts w:cs="Cambria Math"/>
          <w:vertAlign w:val="superscript"/>
        </w:rPr>
        <w:t>+</w:t>
      </w:r>
      <w:r w:rsidRPr="004769B3">
        <w:t xml:space="preserve"> TAMs from control and L-DOX-treated EO771 and 4T1 tumors (n = 5). Statistical tests: one-way ANOVA with Sidak</w:t>
      </w:r>
      <w:r w:rsidRPr="004769B3">
        <w:rPr>
          <w:rFonts w:cs="Minion Pro"/>
        </w:rPr>
        <w:t>’</w:t>
      </w:r>
      <w:r w:rsidRPr="004769B3">
        <w:t>s correction for indicated comparisons (</w:t>
      </w:r>
      <w:r w:rsidRPr="004769B3">
        <w:rPr>
          <w:b/>
          <w:bCs/>
        </w:rPr>
        <w:t>C</w:t>
      </w:r>
      <w:r w:rsidRPr="004769B3">
        <w:rPr>
          <w:rFonts w:eastAsiaTheme="minorEastAsia"/>
          <w:lang w:eastAsia="zh-CN"/>
        </w:rPr>
        <w:t>,</w:t>
      </w:r>
      <w:r w:rsidRPr="004769B3">
        <w:rPr>
          <w:b/>
          <w:bCs/>
        </w:rPr>
        <w:t>D</w:t>
      </w:r>
      <w:r w:rsidRPr="004769B3">
        <w:t>); two-way ANOVA with Sidak</w:t>
      </w:r>
      <w:r w:rsidRPr="004769B3">
        <w:rPr>
          <w:rFonts w:cs="Minion Pro"/>
        </w:rPr>
        <w:t>’</w:t>
      </w:r>
      <w:r w:rsidRPr="004769B3">
        <w:t>s correction (</w:t>
      </w:r>
      <w:r w:rsidRPr="004769B3">
        <w:rPr>
          <w:b/>
          <w:bCs/>
        </w:rPr>
        <w:t>E</w:t>
      </w:r>
      <w:r w:rsidRPr="004769B3">
        <w:t>). *</w:t>
      </w:r>
      <w:r w:rsidRPr="004769B3">
        <w:rPr>
          <w:i/>
          <w:iCs/>
        </w:rPr>
        <w:t>p</w:t>
      </w:r>
      <w:r w:rsidRPr="004769B3">
        <w:t xml:space="preserve"> &lt; 0.05, ***</w:t>
      </w:r>
      <w:r w:rsidRPr="004769B3">
        <w:rPr>
          <w:i/>
          <w:iCs/>
        </w:rPr>
        <w:t>p</w:t>
      </w:r>
      <w:r w:rsidRPr="004769B3">
        <w:t xml:space="preserve"> &lt; 0.001, ****</w:t>
      </w:r>
      <w:r w:rsidRPr="004769B3">
        <w:rPr>
          <w:i/>
          <w:iCs/>
        </w:rPr>
        <w:t>p</w:t>
      </w:r>
      <w:r w:rsidRPr="004769B3">
        <w:t xml:space="preserve"> &lt; 0.0001. ns, not significant (</w:t>
      </w:r>
      <w:r w:rsidRPr="004769B3">
        <w:rPr>
          <w:i/>
          <w:iCs/>
        </w:rPr>
        <w:t>p</w:t>
      </w:r>
      <w:r w:rsidRPr="004769B3">
        <w:t xml:space="preserve"> ≥ 0.05). Abbreviations: L-DOX, liposomal doxorubicin; PD-L1, programmed death-ligand 1; PD-1, programmed cell death protein 1; FSC-A, forward scatter area; FSC-H, forward scatter height; SSC-A, side scatter area; FVS, fixable viability stain; TAM, tumor-associated macrophage; IgG, immunoglobulin G; MFI, mean fluorescence intensity.</w:t>
      </w:r>
    </w:p>
    <w:p w14:paraId="66B3C4BB" w14:textId="084E85BC" w:rsidR="00DE4261" w:rsidRPr="004769B3" w:rsidRDefault="00DE4261" w:rsidP="00DE4261">
      <w:pPr>
        <w:pStyle w:val="TSP41tablecaption"/>
        <w:jc w:val="center"/>
        <w:rPr>
          <w:rFonts w:eastAsia="宋体"/>
        </w:rPr>
      </w:pPr>
      <w:r w:rsidRPr="004769B3">
        <w:rPr>
          <w:b/>
        </w:rPr>
        <w:t xml:space="preserve">Table </w:t>
      </w:r>
      <w:r>
        <w:rPr>
          <w:rFonts w:eastAsiaTheme="minorEastAsia" w:hint="eastAsia"/>
          <w:b/>
          <w:lang w:eastAsia="zh-CN"/>
        </w:rPr>
        <w:t>S</w:t>
      </w:r>
      <w:r w:rsidRPr="004769B3">
        <w:rPr>
          <w:b/>
        </w:rPr>
        <w:t>1:</w:t>
      </w:r>
      <w:r w:rsidRPr="004769B3">
        <w:t xml:space="preserve"> </w:t>
      </w:r>
      <w:r w:rsidRPr="004769B3">
        <w:rPr>
          <w:rFonts w:eastAsia="宋体"/>
        </w:rPr>
        <w:t>Public bulk transcriptomic datasets used in this study</w:t>
      </w:r>
      <w:r w:rsidRPr="004769B3">
        <w:t>.</w:t>
      </w:r>
    </w:p>
    <w:tbl>
      <w:tblPr>
        <w:tblW w:w="9360" w:type="dxa"/>
        <w:jc w:val="center"/>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993"/>
        <w:gridCol w:w="708"/>
        <w:gridCol w:w="1806"/>
        <w:gridCol w:w="1171"/>
        <w:gridCol w:w="1134"/>
        <w:gridCol w:w="2268"/>
        <w:gridCol w:w="1280"/>
      </w:tblGrid>
      <w:tr w:rsidR="00DE4261" w:rsidRPr="004769B3" w14:paraId="1A393388" w14:textId="77777777" w:rsidTr="00363FA1">
        <w:trPr>
          <w:jc w:val="center"/>
        </w:trPr>
        <w:tc>
          <w:tcPr>
            <w:tcW w:w="993" w:type="dxa"/>
            <w:tcBorders>
              <w:top w:val="single" w:sz="8" w:space="0" w:color="auto"/>
              <w:bottom w:val="single" w:sz="4" w:space="0" w:color="auto"/>
            </w:tcBorders>
            <w:vAlign w:val="center"/>
          </w:tcPr>
          <w:p w14:paraId="198F34F8"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sz w:val="20"/>
                <w:szCs w:val="18"/>
              </w:rPr>
              <w:t>Dataset</w:t>
            </w:r>
          </w:p>
        </w:tc>
        <w:tc>
          <w:tcPr>
            <w:tcW w:w="708" w:type="dxa"/>
            <w:tcBorders>
              <w:top w:val="single" w:sz="8" w:space="0" w:color="auto"/>
              <w:bottom w:val="single" w:sz="4" w:space="0" w:color="auto"/>
            </w:tcBorders>
            <w:vAlign w:val="center"/>
          </w:tcPr>
          <w:p w14:paraId="25EFCB50"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sz w:val="20"/>
                <w:szCs w:val="18"/>
              </w:rPr>
              <w:t>Species</w:t>
            </w:r>
          </w:p>
        </w:tc>
        <w:tc>
          <w:tcPr>
            <w:tcW w:w="1806" w:type="dxa"/>
            <w:tcBorders>
              <w:top w:val="single" w:sz="8" w:space="0" w:color="auto"/>
              <w:bottom w:val="single" w:sz="4" w:space="0" w:color="auto"/>
            </w:tcBorders>
            <w:vAlign w:val="center"/>
          </w:tcPr>
          <w:p w14:paraId="7B577EE5"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sz w:val="20"/>
                <w:szCs w:val="18"/>
              </w:rPr>
              <w:t>Data Type/Platform</w:t>
            </w:r>
          </w:p>
        </w:tc>
        <w:tc>
          <w:tcPr>
            <w:tcW w:w="1171" w:type="dxa"/>
            <w:tcBorders>
              <w:top w:val="single" w:sz="8" w:space="0" w:color="auto"/>
              <w:bottom w:val="single" w:sz="4" w:space="0" w:color="auto"/>
            </w:tcBorders>
            <w:vAlign w:val="center"/>
          </w:tcPr>
          <w:p w14:paraId="66AC184A"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sz w:val="20"/>
                <w:szCs w:val="18"/>
              </w:rPr>
              <w:t>Sample Size</w:t>
            </w:r>
          </w:p>
        </w:tc>
        <w:tc>
          <w:tcPr>
            <w:tcW w:w="1134" w:type="dxa"/>
            <w:tcBorders>
              <w:top w:val="single" w:sz="8" w:space="0" w:color="auto"/>
              <w:bottom w:val="single" w:sz="4" w:space="0" w:color="auto"/>
            </w:tcBorders>
            <w:vAlign w:val="center"/>
          </w:tcPr>
          <w:p w14:paraId="732CCDE2"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sz w:val="20"/>
                <w:szCs w:val="18"/>
              </w:rPr>
              <w:t>Biological Source</w:t>
            </w:r>
          </w:p>
        </w:tc>
        <w:tc>
          <w:tcPr>
            <w:tcW w:w="2268" w:type="dxa"/>
            <w:tcBorders>
              <w:top w:val="single" w:sz="8" w:space="0" w:color="auto"/>
              <w:bottom w:val="single" w:sz="4" w:space="0" w:color="auto"/>
            </w:tcBorders>
            <w:vAlign w:val="center"/>
          </w:tcPr>
          <w:p w14:paraId="18E352BC"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sz w:val="20"/>
                <w:szCs w:val="18"/>
              </w:rPr>
              <w:t>Comparison/Groups</w:t>
            </w:r>
          </w:p>
        </w:tc>
        <w:tc>
          <w:tcPr>
            <w:tcW w:w="1280" w:type="dxa"/>
            <w:tcBorders>
              <w:top w:val="single" w:sz="8" w:space="0" w:color="auto"/>
              <w:bottom w:val="single" w:sz="4" w:space="0" w:color="auto"/>
            </w:tcBorders>
            <w:vAlign w:val="center"/>
          </w:tcPr>
          <w:p w14:paraId="63E9C50B"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sz w:val="20"/>
                <w:szCs w:val="18"/>
              </w:rPr>
              <w:t>Paired Design</w:t>
            </w:r>
          </w:p>
        </w:tc>
      </w:tr>
      <w:tr w:rsidR="00DE4261" w:rsidRPr="004769B3" w14:paraId="668C877A" w14:textId="77777777" w:rsidTr="00363FA1">
        <w:trPr>
          <w:jc w:val="center"/>
        </w:trPr>
        <w:tc>
          <w:tcPr>
            <w:tcW w:w="993" w:type="dxa"/>
            <w:tcBorders>
              <w:top w:val="single" w:sz="4" w:space="0" w:color="auto"/>
            </w:tcBorders>
            <w:vAlign w:val="center"/>
          </w:tcPr>
          <w:p w14:paraId="1F7A978A"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GSE28583</w:t>
            </w:r>
          </w:p>
        </w:tc>
        <w:tc>
          <w:tcPr>
            <w:tcW w:w="708" w:type="dxa"/>
            <w:tcBorders>
              <w:top w:val="single" w:sz="4" w:space="0" w:color="auto"/>
            </w:tcBorders>
            <w:vAlign w:val="center"/>
          </w:tcPr>
          <w:p w14:paraId="3D144646"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Human</w:t>
            </w:r>
          </w:p>
        </w:tc>
        <w:tc>
          <w:tcPr>
            <w:tcW w:w="1806" w:type="dxa"/>
            <w:tcBorders>
              <w:top w:val="single" w:sz="4" w:space="0" w:color="auto"/>
            </w:tcBorders>
            <w:vAlign w:val="center"/>
          </w:tcPr>
          <w:p w14:paraId="4DD8CDA9"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Microarray; Affymetrix U133 Plus 2.0</w:t>
            </w:r>
          </w:p>
        </w:tc>
        <w:tc>
          <w:tcPr>
            <w:tcW w:w="1171" w:type="dxa"/>
            <w:tcBorders>
              <w:top w:val="single" w:sz="4" w:space="0" w:color="auto"/>
            </w:tcBorders>
            <w:vAlign w:val="center"/>
          </w:tcPr>
          <w:p w14:paraId="1156AB42"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10 matched pairs</w:t>
            </w:r>
          </w:p>
        </w:tc>
        <w:tc>
          <w:tcPr>
            <w:tcW w:w="1134" w:type="dxa"/>
            <w:tcBorders>
              <w:top w:val="single" w:sz="4" w:space="0" w:color="auto"/>
            </w:tcBorders>
            <w:vAlign w:val="center"/>
          </w:tcPr>
          <w:p w14:paraId="44F4B4CE"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Breast tumor biopsies</w:t>
            </w:r>
          </w:p>
        </w:tc>
        <w:tc>
          <w:tcPr>
            <w:tcW w:w="2268" w:type="dxa"/>
            <w:tcBorders>
              <w:top w:val="single" w:sz="4" w:space="0" w:color="auto"/>
            </w:tcBorders>
            <w:vAlign w:val="center"/>
          </w:tcPr>
          <w:p w14:paraId="7AC914A8"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Pre- vs</w:t>
            </w:r>
            <w:r w:rsidRPr="004769B3">
              <w:rPr>
                <w:rFonts w:hint="eastAsia"/>
                <w:sz w:val="20"/>
                <w:szCs w:val="18"/>
              </w:rPr>
              <w:t>.</w:t>
            </w:r>
            <w:r w:rsidRPr="004769B3">
              <w:rPr>
                <w:sz w:val="20"/>
                <w:szCs w:val="18"/>
              </w:rPr>
              <w:t xml:space="preserve"> post-NAC</w:t>
            </w:r>
          </w:p>
        </w:tc>
        <w:tc>
          <w:tcPr>
            <w:tcW w:w="1280" w:type="dxa"/>
            <w:tcBorders>
              <w:top w:val="single" w:sz="4" w:space="0" w:color="auto"/>
            </w:tcBorders>
            <w:vAlign w:val="center"/>
          </w:tcPr>
          <w:p w14:paraId="0F2A585C"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Yes</w:t>
            </w:r>
          </w:p>
        </w:tc>
      </w:tr>
      <w:tr w:rsidR="00DE4261" w:rsidRPr="004769B3" w14:paraId="06F9D6CF" w14:textId="77777777" w:rsidTr="00363FA1">
        <w:trPr>
          <w:jc w:val="center"/>
        </w:trPr>
        <w:tc>
          <w:tcPr>
            <w:tcW w:w="993" w:type="dxa"/>
            <w:vAlign w:val="center"/>
          </w:tcPr>
          <w:p w14:paraId="38364D28"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GSE28826</w:t>
            </w:r>
          </w:p>
        </w:tc>
        <w:tc>
          <w:tcPr>
            <w:tcW w:w="708" w:type="dxa"/>
            <w:vAlign w:val="center"/>
          </w:tcPr>
          <w:p w14:paraId="163AB859"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Human</w:t>
            </w:r>
          </w:p>
        </w:tc>
        <w:tc>
          <w:tcPr>
            <w:tcW w:w="1806" w:type="dxa"/>
            <w:vAlign w:val="center"/>
          </w:tcPr>
          <w:p w14:paraId="65BEE660"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Microarray; Affymetrix U133 Plus 2.0</w:t>
            </w:r>
          </w:p>
        </w:tc>
        <w:tc>
          <w:tcPr>
            <w:tcW w:w="1171" w:type="dxa"/>
            <w:vAlign w:val="center"/>
          </w:tcPr>
          <w:p w14:paraId="6798EBFB"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13 matched pairs</w:t>
            </w:r>
          </w:p>
        </w:tc>
        <w:tc>
          <w:tcPr>
            <w:tcW w:w="1134" w:type="dxa"/>
            <w:vAlign w:val="center"/>
          </w:tcPr>
          <w:p w14:paraId="70A1E6BB"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Breast tumor biopsies</w:t>
            </w:r>
          </w:p>
        </w:tc>
        <w:tc>
          <w:tcPr>
            <w:tcW w:w="2268" w:type="dxa"/>
            <w:vAlign w:val="center"/>
          </w:tcPr>
          <w:p w14:paraId="0E1D7904"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Pre- vs</w:t>
            </w:r>
            <w:r w:rsidRPr="004769B3">
              <w:rPr>
                <w:rFonts w:hint="eastAsia"/>
                <w:sz w:val="20"/>
                <w:szCs w:val="18"/>
              </w:rPr>
              <w:t>.</w:t>
            </w:r>
            <w:r w:rsidRPr="004769B3">
              <w:rPr>
                <w:sz w:val="20"/>
                <w:szCs w:val="18"/>
              </w:rPr>
              <w:t xml:space="preserve"> post-NAC</w:t>
            </w:r>
          </w:p>
        </w:tc>
        <w:tc>
          <w:tcPr>
            <w:tcW w:w="1280" w:type="dxa"/>
            <w:vAlign w:val="center"/>
          </w:tcPr>
          <w:p w14:paraId="1BB84348"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Yes</w:t>
            </w:r>
          </w:p>
        </w:tc>
      </w:tr>
      <w:tr w:rsidR="00DE4261" w:rsidRPr="004769B3" w14:paraId="696A3671" w14:textId="77777777" w:rsidTr="00363FA1">
        <w:trPr>
          <w:jc w:val="center"/>
        </w:trPr>
        <w:tc>
          <w:tcPr>
            <w:tcW w:w="993" w:type="dxa"/>
            <w:vAlign w:val="center"/>
          </w:tcPr>
          <w:p w14:paraId="39B278C6"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GSE232764</w:t>
            </w:r>
          </w:p>
        </w:tc>
        <w:tc>
          <w:tcPr>
            <w:tcW w:w="708" w:type="dxa"/>
            <w:vAlign w:val="center"/>
          </w:tcPr>
          <w:p w14:paraId="0ED018E7"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Human</w:t>
            </w:r>
          </w:p>
        </w:tc>
        <w:tc>
          <w:tcPr>
            <w:tcW w:w="1806" w:type="dxa"/>
            <w:vAlign w:val="center"/>
          </w:tcPr>
          <w:p w14:paraId="605808A5"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RNA-seq; Illumina NovaSeq 6000</w:t>
            </w:r>
          </w:p>
        </w:tc>
        <w:tc>
          <w:tcPr>
            <w:tcW w:w="1171" w:type="dxa"/>
            <w:vAlign w:val="center"/>
          </w:tcPr>
          <w:p w14:paraId="2C507AA8"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8 matched pairs</w:t>
            </w:r>
          </w:p>
        </w:tc>
        <w:tc>
          <w:tcPr>
            <w:tcW w:w="1134" w:type="dxa"/>
            <w:vAlign w:val="center"/>
          </w:tcPr>
          <w:p w14:paraId="267E5B45"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Breast tumor tissue</w:t>
            </w:r>
          </w:p>
        </w:tc>
        <w:tc>
          <w:tcPr>
            <w:tcW w:w="2268" w:type="dxa"/>
            <w:vAlign w:val="center"/>
          </w:tcPr>
          <w:p w14:paraId="5880308B"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Baseline vs</w:t>
            </w:r>
            <w:r w:rsidRPr="004769B3">
              <w:rPr>
                <w:rFonts w:hint="eastAsia"/>
                <w:sz w:val="20"/>
                <w:szCs w:val="18"/>
              </w:rPr>
              <w:t>.</w:t>
            </w:r>
            <w:r w:rsidRPr="004769B3">
              <w:rPr>
                <w:sz w:val="20"/>
                <w:szCs w:val="18"/>
              </w:rPr>
              <w:t xml:space="preserve"> post-induction (prior to DOX/cyclophosphamide)</w:t>
            </w:r>
          </w:p>
        </w:tc>
        <w:tc>
          <w:tcPr>
            <w:tcW w:w="1280" w:type="dxa"/>
            <w:vAlign w:val="center"/>
          </w:tcPr>
          <w:p w14:paraId="48D33377"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Yes</w:t>
            </w:r>
          </w:p>
        </w:tc>
      </w:tr>
      <w:tr w:rsidR="00DE4261" w:rsidRPr="004769B3" w14:paraId="4B8872BC" w14:textId="77777777" w:rsidTr="00363FA1">
        <w:trPr>
          <w:jc w:val="center"/>
        </w:trPr>
        <w:tc>
          <w:tcPr>
            <w:tcW w:w="993" w:type="dxa"/>
            <w:vAlign w:val="center"/>
          </w:tcPr>
          <w:p w14:paraId="2AB78191"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GSE260989</w:t>
            </w:r>
          </w:p>
        </w:tc>
        <w:tc>
          <w:tcPr>
            <w:tcW w:w="708" w:type="dxa"/>
            <w:vAlign w:val="center"/>
          </w:tcPr>
          <w:p w14:paraId="5CF25C75"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Human</w:t>
            </w:r>
          </w:p>
        </w:tc>
        <w:tc>
          <w:tcPr>
            <w:tcW w:w="1806" w:type="dxa"/>
            <w:vAlign w:val="center"/>
          </w:tcPr>
          <w:p w14:paraId="58D1EAF7"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RNA-seq; Illumina NovaSeq 6000</w:t>
            </w:r>
          </w:p>
        </w:tc>
        <w:tc>
          <w:tcPr>
            <w:tcW w:w="1171" w:type="dxa"/>
            <w:vAlign w:val="center"/>
          </w:tcPr>
          <w:p w14:paraId="082FE63E"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7 matched pairs</w:t>
            </w:r>
          </w:p>
        </w:tc>
        <w:tc>
          <w:tcPr>
            <w:tcW w:w="1134" w:type="dxa"/>
            <w:vAlign w:val="center"/>
          </w:tcPr>
          <w:p w14:paraId="30A08A34"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Breast tumor tissue</w:t>
            </w:r>
          </w:p>
        </w:tc>
        <w:tc>
          <w:tcPr>
            <w:tcW w:w="2268" w:type="dxa"/>
            <w:vAlign w:val="center"/>
          </w:tcPr>
          <w:p w14:paraId="19E2B0C7"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Pre- vs</w:t>
            </w:r>
            <w:r w:rsidRPr="004769B3">
              <w:rPr>
                <w:rFonts w:hint="eastAsia"/>
                <w:sz w:val="20"/>
                <w:szCs w:val="18"/>
              </w:rPr>
              <w:t>.</w:t>
            </w:r>
            <w:r w:rsidRPr="004769B3">
              <w:rPr>
                <w:sz w:val="20"/>
                <w:szCs w:val="18"/>
              </w:rPr>
              <w:t xml:space="preserve"> post-NAC</w:t>
            </w:r>
          </w:p>
        </w:tc>
        <w:tc>
          <w:tcPr>
            <w:tcW w:w="1280" w:type="dxa"/>
            <w:vAlign w:val="center"/>
          </w:tcPr>
          <w:p w14:paraId="28A48B80"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Yes</w:t>
            </w:r>
          </w:p>
        </w:tc>
      </w:tr>
      <w:tr w:rsidR="00DE4261" w:rsidRPr="004769B3" w14:paraId="0B8D6FBD" w14:textId="77777777" w:rsidTr="00363FA1">
        <w:trPr>
          <w:jc w:val="center"/>
        </w:trPr>
        <w:tc>
          <w:tcPr>
            <w:tcW w:w="993" w:type="dxa"/>
            <w:vAlign w:val="center"/>
          </w:tcPr>
          <w:p w14:paraId="4CA669D7"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GSE149479</w:t>
            </w:r>
          </w:p>
        </w:tc>
        <w:tc>
          <w:tcPr>
            <w:tcW w:w="708" w:type="dxa"/>
            <w:vAlign w:val="center"/>
          </w:tcPr>
          <w:p w14:paraId="27374B40"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Mouse</w:t>
            </w:r>
          </w:p>
        </w:tc>
        <w:tc>
          <w:tcPr>
            <w:tcW w:w="1806" w:type="dxa"/>
            <w:vAlign w:val="center"/>
          </w:tcPr>
          <w:p w14:paraId="0F4EB08B"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RNA-seq; Illumina NextSeq 500</w:t>
            </w:r>
          </w:p>
        </w:tc>
        <w:tc>
          <w:tcPr>
            <w:tcW w:w="1171" w:type="dxa"/>
            <w:vAlign w:val="center"/>
          </w:tcPr>
          <w:p w14:paraId="58D77340"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12 samples</w:t>
            </w:r>
          </w:p>
        </w:tc>
        <w:tc>
          <w:tcPr>
            <w:tcW w:w="1134" w:type="dxa"/>
            <w:vAlign w:val="center"/>
          </w:tcPr>
          <w:p w14:paraId="5C6D4546"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Murine mammary tumors</w:t>
            </w:r>
          </w:p>
        </w:tc>
        <w:tc>
          <w:tcPr>
            <w:tcW w:w="2268" w:type="dxa"/>
            <w:vAlign w:val="center"/>
          </w:tcPr>
          <w:p w14:paraId="67078544"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Control vs</w:t>
            </w:r>
            <w:r w:rsidRPr="004769B3">
              <w:rPr>
                <w:rFonts w:hint="eastAsia"/>
                <w:sz w:val="20"/>
                <w:szCs w:val="18"/>
              </w:rPr>
              <w:t>.</w:t>
            </w:r>
            <w:r w:rsidRPr="004769B3">
              <w:rPr>
                <w:sz w:val="20"/>
                <w:szCs w:val="18"/>
              </w:rPr>
              <w:t xml:space="preserve"> DOX-treated tumors</w:t>
            </w:r>
          </w:p>
        </w:tc>
        <w:tc>
          <w:tcPr>
            <w:tcW w:w="1280" w:type="dxa"/>
            <w:vAlign w:val="center"/>
          </w:tcPr>
          <w:p w14:paraId="26905EB1"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No; independent mouse tumors</w:t>
            </w:r>
          </w:p>
        </w:tc>
      </w:tr>
      <w:tr w:rsidR="00DE4261" w:rsidRPr="004769B3" w14:paraId="13848568" w14:textId="77777777" w:rsidTr="00363FA1">
        <w:trPr>
          <w:jc w:val="center"/>
        </w:trPr>
        <w:tc>
          <w:tcPr>
            <w:tcW w:w="993" w:type="dxa"/>
            <w:vAlign w:val="center"/>
          </w:tcPr>
          <w:p w14:paraId="4C046B6B"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GSE133683</w:t>
            </w:r>
          </w:p>
        </w:tc>
        <w:tc>
          <w:tcPr>
            <w:tcW w:w="708" w:type="dxa"/>
            <w:vAlign w:val="center"/>
          </w:tcPr>
          <w:p w14:paraId="6099C5D4"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Mouse</w:t>
            </w:r>
          </w:p>
        </w:tc>
        <w:tc>
          <w:tcPr>
            <w:tcW w:w="1806" w:type="dxa"/>
            <w:vAlign w:val="center"/>
          </w:tcPr>
          <w:p w14:paraId="06474DAE"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RNA-seq; Illumina HiSeq 2000</w:t>
            </w:r>
          </w:p>
        </w:tc>
        <w:tc>
          <w:tcPr>
            <w:tcW w:w="1171" w:type="dxa"/>
            <w:vAlign w:val="center"/>
          </w:tcPr>
          <w:p w14:paraId="787BC2C1"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24 samples</w:t>
            </w:r>
          </w:p>
        </w:tc>
        <w:tc>
          <w:tcPr>
            <w:tcW w:w="1134" w:type="dxa"/>
            <w:vAlign w:val="center"/>
          </w:tcPr>
          <w:p w14:paraId="3EEB6F4F"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Murine mammary tumors</w:t>
            </w:r>
          </w:p>
        </w:tc>
        <w:tc>
          <w:tcPr>
            <w:tcW w:w="2268" w:type="dxa"/>
            <w:vAlign w:val="center"/>
          </w:tcPr>
          <w:p w14:paraId="6919F3A7"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Untreated vs</w:t>
            </w:r>
            <w:r w:rsidRPr="004769B3">
              <w:rPr>
                <w:rFonts w:hint="eastAsia"/>
                <w:sz w:val="20"/>
                <w:szCs w:val="18"/>
              </w:rPr>
              <w:t>.</w:t>
            </w:r>
            <w:r w:rsidRPr="004769B3">
              <w:rPr>
                <w:sz w:val="20"/>
                <w:szCs w:val="18"/>
              </w:rPr>
              <w:t xml:space="preserve"> DOX-treated WT tumors</w:t>
            </w:r>
          </w:p>
        </w:tc>
        <w:tc>
          <w:tcPr>
            <w:tcW w:w="1280" w:type="dxa"/>
            <w:vAlign w:val="center"/>
          </w:tcPr>
          <w:p w14:paraId="23A53239"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No; independent mouse tumors</w:t>
            </w:r>
          </w:p>
        </w:tc>
      </w:tr>
      <w:tr w:rsidR="00DE4261" w:rsidRPr="004769B3" w14:paraId="73150722" w14:textId="77777777" w:rsidTr="00363FA1">
        <w:trPr>
          <w:jc w:val="center"/>
        </w:trPr>
        <w:tc>
          <w:tcPr>
            <w:tcW w:w="993" w:type="dxa"/>
            <w:tcBorders>
              <w:bottom w:val="single" w:sz="8" w:space="0" w:color="auto"/>
            </w:tcBorders>
            <w:vAlign w:val="center"/>
          </w:tcPr>
          <w:p w14:paraId="5DFEB24F" w14:textId="77777777" w:rsidR="00DE4261" w:rsidRPr="004769B3" w:rsidRDefault="00DE4261" w:rsidP="00363FA1">
            <w:pPr>
              <w:autoSpaceDE w:val="0"/>
              <w:autoSpaceDN w:val="0"/>
              <w:spacing w:line="240" w:lineRule="auto"/>
              <w:jc w:val="left"/>
              <w:rPr>
                <w:sz w:val="20"/>
                <w:szCs w:val="18"/>
              </w:rPr>
            </w:pPr>
            <w:r w:rsidRPr="004769B3">
              <w:rPr>
                <w:sz w:val="20"/>
                <w:szCs w:val="18"/>
              </w:rPr>
              <w:t>GSE116564</w:t>
            </w:r>
          </w:p>
        </w:tc>
        <w:tc>
          <w:tcPr>
            <w:tcW w:w="708" w:type="dxa"/>
            <w:tcBorders>
              <w:bottom w:val="single" w:sz="8" w:space="0" w:color="auto"/>
            </w:tcBorders>
            <w:vAlign w:val="center"/>
          </w:tcPr>
          <w:p w14:paraId="0F0B5E23" w14:textId="77777777" w:rsidR="00DE4261" w:rsidRPr="004769B3" w:rsidRDefault="00DE4261" w:rsidP="00363FA1">
            <w:pPr>
              <w:autoSpaceDE w:val="0"/>
              <w:autoSpaceDN w:val="0"/>
              <w:spacing w:line="240" w:lineRule="auto"/>
              <w:jc w:val="left"/>
              <w:rPr>
                <w:sz w:val="20"/>
                <w:szCs w:val="18"/>
              </w:rPr>
            </w:pPr>
            <w:r w:rsidRPr="004769B3">
              <w:rPr>
                <w:sz w:val="20"/>
                <w:szCs w:val="18"/>
              </w:rPr>
              <w:t>Mouse</w:t>
            </w:r>
          </w:p>
        </w:tc>
        <w:tc>
          <w:tcPr>
            <w:tcW w:w="1806" w:type="dxa"/>
            <w:tcBorders>
              <w:bottom w:val="single" w:sz="8" w:space="0" w:color="auto"/>
            </w:tcBorders>
            <w:vAlign w:val="center"/>
          </w:tcPr>
          <w:p w14:paraId="42272B99" w14:textId="77777777" w:rsidR="00DE4261" w:rsidRPr="004769B3" w:rsidRDefault="00DE4261" w:rsidP="00363FA1">
            <w:pPr>
              <w:autoSpaceDE w:val="0"/>
              <w:autoSpaceDN w:val="0"/>
              <w:spacing w:line="240" w:lineRule="auto"/>
              <w:jc w:val="left"/>
              <w:rPr>
                <w:sz w:val="20"/>
                <w:szCs w:val="18"/>
              </w:rPr>
            </w:pPr>
            <w:r w:rsidRPr="004769B3">
              <w:rPr>
                <w:sz w:val="20"/>
                <w:szCs w:val="18"/>
              </w:rPr>
              <w:t>RNA-seq; Illumina HiSeq 4000, paired-end 150-bp sequencing</w:t>
            </w:r>
          </w:p>
        </w:tc>
        <w:tc>
          <w:tcPr>
            <w:tcW w:w="1171" w:type="dxa"/>
            <w:tcBorders>
              <w:bottom w:val="single" w:sz="8" w:space="0" w:color="auto"/>
            </w:tcBorders>
            <w:vAlign w:val="center"/>
          </w:tcPr>
          <w:p w14:paraId="73C05FF9" w14:textId="77777777" w:rsidR="00DE4261" w:rsidRPr="004769B3" w:rsidRDefault="00DE4261" w:rsidP="00363FA1">
            <w:pPr>
              <w:autoSpaceDE w:val="0"/>
              <w:autoSpaceDN w:val="0"/>
              <w:spacing w:line="240" w:lineRule="auto"/>
              <w:jc w:val="left"/>
              <w:rPr>
                <w:sz w:val="20"/>
                <w:szCs w:val="18"/>
              </w:rPr>
            </w:pPr>
            <w:r w:rsidRPr="004769B3">
              <w:rPr>
                <w:sz w:val="20"/>
                <w:szCs w:val="18"/>
              </w:rPr>
              <w:t>9 samples; n = 3 per group</w:t>
            </w:r>
          </w:p>
        </w:tc>
        <w:tc>
          <w:tcPr>
            <w:tcW w:w="1134" w:type="dxa"/>
            <w:tcBorders>
              <w:bottom w:val="single" w:sz="8" w:space="0" w:color="auto"/>
            </w:tcBorders>
            <w:vAlign w:val="center"/>
          </w:tcPr>
          <w:p w14:paraId="362EDA07" w14:textId="77777777" w:rsidR="00DE4261" w:rsidRPr="004769B3" w:rsidRDefault="00DE4261" w:rsidP="00363FA1">
            <w:pPr>
              <w:autoSpaceDE w:val="0"/>
              <w:autoSpaceDN w:val="0"/>
              <w:spacing w:line="240" w:lineRule="auto"/>
              <w:jc w:val="left"/>
              <w:rPr>
                <w:sz w:val="20"/>
                <w:szCs w:val="18"/>
              </w:rPr>
            </w:pPr>
            <w:r w:rsidRPr="004769B3">
              <w:rPr>
                <w:sz w:val="20"/>
                <w:szCs w:val="18"/>
              </w:rPr>
              <w:t>Primary BMDMs from C57BL/6 mice</w:t>
            </w:r>
          </w:p>
        </w:tc>
        <w:tc>
          <w:tcPr>
            <w:tcW w:w="2268" w:type="dxa"/>
            <w:tcBorders>
              <w:bottom w:val="single" w:sz="8" w:space="0" w:color="auto"/>
            </w:tcBorders>
            <w:vAlign w:val="center"/>
          </w:tcPr>
          <w:p w14:paraId="3E6F2113" w14:textId="77777777" w:rsidR="00DE4261" w:rsidRPr="004769B3" w:rsidRDefault="00DE4261" w:rsidP="00363FA1">
            <w:pPr>
              <w:autoSpaceDE w:val="0"/>
              <w:autoSpaceDN w:val="0"/>
              <w:spacing w:line="240" w:lineRule="auto"/>
              <w:jc w:val="left"/>
              <w:rPr>
                <w:sz w:val="20"/>
                <w:szCs w:val="18"/>
              </w:rPr>
            </w:pPr>
            <w:r w:rsidRPr="004769B3">
              <w:rPr>
                <w:sz w:val="20"/>
                <w:szCs w:val="18"/>
              </w:rPr>
              <w:t>Medium alone, irrelevant isotype control antibody, or anti-PD-L1 antibody; 100 μg/mL for 24 h</w:t>
            </w:r>
          </w:p>
        </w:tc>
        <w:tc>
          <w:tcPr>
            <w:tcW w:w="1280" w:type="dxa"/>
            <w:tcBorders>
              <w:bottom w:val="single" w:sz="8" w:space="0" w:color="auto"/>
            </w:tcBorders>
            <w:vAlign w:val="center"/>
          </w:tcPr>
          <w:p w14:paraId="4854AA45" w14:textId="77777777" w:rsidR="00DE4261" w:rsidRPr="004769B3" w:rsidRDefault="00DE4261" w:rsidP="00363FA1">
            <w:pPr>
              <w:autoSpaceDE w:val="0"/>
              <w:autoSpaceDN w:val="0"/>
              <w:spacing w:line="240" w:lineRule="auto"/>
              <w:jc w:val="left"/>
              <w:rPr>
                <w:sz w:val="20"/>
                <w:szCs w:val="18"/>
              </w:rPr>
            </w:pPr>
            <w:r w:rsidRPr="004769B3">
              <w:rPr>
                <w:sz w:val="20"/>
                <w:szCs w:val="18"/>
              </w:rPr>
              <w:t>No; independent BMDM cultures</w:t>
            </w:r>
          </w:p>
        </w:tc>
      </w:tr>
    </w:tbl>
    <w:p w14:paraId="08BF9D0A" w14:textId="77777777" w:rsidR="00DE4261" w:rsidRPr="004769B3" w:rsidRDefault="00DE4261" w:rsidP="00DE4261">
      <w:pPr>
        <w:pStyle w:val="TSP43tablefooter"/>
        <w:rPr>
          <w:rFonts w:eastAsia="宋体"/>
        </w:rPr>
      </w:pPr>
      <w:r w:rsidRPr="004769B3">
        <w:t xml:space="preserve">Note: </w:t>
      </w:r>
      <w:r w:rsidRPr="004769B3">
        <w:rPr>
          <w:rFonts w:eastAsia="宋体"/>
        </w:rPr>
        <w:t>Abbreviations: BMDM, bone marrow-derived macrophage; DOX, doxorubicin; GSE, gene expression omnibus series; NAC, neoadjuvant chemotherapy; PD-L1, programmed death ligand 1; RNA-seq, RNA sequencing; WT, wild-type; bp, base pairs.</w:t>
      </w:r>
    </w:p>
    <w:p w14:paraId="39F83B83" w14:textId="438D5240" w:rsidR="00DE4261" w:rsidRPr="004769B3" w:rsidRDefault="00DE4261" w:rsidP="00DE4261">
      <w:pPr>
        <w:pStyle w:val="TSP41tablecaption"/>
        <w:jc w:val="center"/>
        <w:rPr>
          <w:rFonts w:eastAsia="宋体"/>
        </w:rPr>
      </w:pPr>
      <w:r w:rsidRPr="004769B3">
        <w:rPr>
          <w:b/>
        </w:rPr>
        <w:t xml:space="preserve">Table </w:t>
      </w:r>
      <w:r>
        <w:rPr>
          <w:rFonts w:eastAsiaTheme="minorEastAsia" w:hint="eastAsia"/>
          <w:b/>
          <w:lang w:eastAsia="zh-CN"/>
        </w:rPr>
        <w:t>S</w:t>
      </w:r>
      <w:r w:rsidRPr="004769B3">
        <w:rPr>
          <w:b/>
        </w:rPr>
        <w:t>2:</w:t>
      </w:r>
      <w:r w:rsidRPr="004769B3">
        <w:t xml:space="preserve"> </w:t>
      </w:r>
      <w:r w:rsidRPr="004769B3">
        <w:rPr>
          <w:rFonts w:eastAsia="宋体"/>
        </w:rPr>
        <w:t>Public single-cell RNA-seq datasets used in this study.</w:t>
      </w:r>
    </w:p>
    <w:tbl>
      <w:tblPr>
        <w:tblW w:w="9360" w:type="dxa"/>
        <w:jc w:val="center"/>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993"/>
        <w:gridCol w:w="708"/>
        <w:gridCol w:w="1985"/>
        <w:gridCol w:w="1680"/>
        <w:gridCol w:w="2005"/>
        <w:gridCol w:w="1989"/>
      </w:tblGrid>
      <w:tr w:rsidR="00DE4261" w:rsidRPr="004769B3" w14:paraId="5BE08691" w14:textId="77777777" w:rsidTr="00363FA1">
        <w:trPr>
          <w:jc w:val="center"/>
        </w:trPr>
        <w:tc>
          <w:tcPr>
            <w:tcW w:w="993" w:type="dxa"/>
            <w:tcBorders>
              <w:top w:val="single" w:sz="8" w:space="0" w:color="auto"/>
              <w:bottom w:val="single" w:sz="4" w:space="0" w:color="auto"/>
            </w:tcBorders>
            <w:vAlign w:val="center"/>
          </w:tcPr>
          <w:p w14:paraId="030FD0E2"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color w:val="000000" w:themeColor="text1"/>
                <w:sz w:val="20"/>
                <w:szCs w:val="18"/>
              </w:rPr>
              <w:t>Dataset</w:t>
            </w:r>
          </w:p>
        </w:tc>
        <w:tc>
          <w:tcPr>
            <w:tcW w:w="708" w:type="dxa"/>
            <w:tcBorders>
              <w:top w:val="single" w:sz="8" w:space="0" w:color="auto"/>
              <w:bottom w:val="single" w:sz="4" w:space="0" w:color="auto"/>
            </w:tcBorders>
            <w:vAlign w:val="center"/>
          </w:tcPr>
          <w:p w14:paraId="10CD1BBC"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color w:val="000000" w:themeColor="text1"/>
                <w:sz w:val="20"/>
                <w:szCs w:val="18"/>
              </w:rPr>
              <w:t>Species</w:t>
            </w:r>
          </w:p>
        </w:tc>
        <w:tc>
          <w:tcPr>
            <w:tcW w:w="1985" w:type="dxa"/>
            <w:tcBorders>
              <w:top w:val="single" w:sz="8" w:space="0" w:color="auto"/>
              <w:bottom w:val="single" w:sz="4" w:space="0" w:color="auto"/>
            </w:tcBorders>
            <w:vAlign w:val="center"/>
          </w:tcPr>
          <w:p w14:paraId="27ADC687"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color w:val="000000" w:themeColor="text1"/>
                <w:sz w:val="20"/>
                <w:szCs w:val="18"/>
              </w:rPr>
              <w:t>Library Preparation and Sequencing Platform</w:t>
            </w:r>
          </w:p>
        </w:tc>
        <w:tc>
          <w:tcPr>
            <w:tcW w:w="1680" w:type="dxa"/>
            <w:tcBorders>
              <w:top w:val="single" w:sz="8" w:space="0" w:color="auto"/>
              <w:bottom w:val="single" w:sz="4" w:space="0" w:color="auto"/>
            </w:tcBorders>
            <w:vAlign w:val="center"/>
          </w:tcPr>
          <w:p w14:paraId="50A6019C"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color w:val="000000" w:themeColor="text1"/>
                <w:sz w:val="20"/>
                <w:szCs w:val="18"/>
              </w:rPr>
              <w:t>Sample Size</w:t>
            </w:r>
          </w:p>
        </w:tc>
        <w:tc>
          <w:tcPr>
            <w:tcW w:w="2005" w:type="dxa"/>
            <w:tcBorders>
              <w:top w:val="single" w:sz="8" w:space="0" w:color="auto"/>
              <w:bottom w:val="single" w:sz="4" w:space="0" w:color="auto"/>
            </w:tcBorders>
            <w:vAlign w:val="center"/>
          </w:tcPr>
          <w:p w14:paraId="0B988BFA"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color w:val="000000" w:themeColor="text1"/>
                <w:sz w:val="20"/>
                <w:szCs w:val="18"/>
              </w:rPr>
              <w:t>Biological Source</w:t>
            </w:r>
          </w:p>
        </w:tc>
        <w:tc>
          <w:tcPr>
            <w:tcW w:w="1989" w:type="dxa"/>
            <w:tcBorders>
              <w:top w:val="single" w:sz="8" w:space="0" w:color="auto"/>
              <w:bottom w:val="single" w:sz="4" w:space="0" w:color="auto"/>
            </w:tcBorders>
            <w:vAlign w:val="center"/>
          </w:tcPr>
          <w:p w14:paraId="763EA22D" w14:textId="77777777" w:rsidR="00DE4261" w:rsidRPr="004769B3" w:rsidRDefault="00DE4261" w:rsidP="00363FA1">
            <w:pPr>
              <w:autoSpaceDE w:val="0"/>
              <w:autoSpaceDN w:val="0"/>
              <w:spacing w:line="240" w:lineRule="auto"/>
              <w:jc w:val="left"/>
              <w:rPr>
                <w:b/>
                <w:bCs/>
                <w:color w:val="000000" w:themeColor="text1"/>
                <w:sz w:val="20"/>
                <w:szCs w:val="18"/>
              </w:rPr>
            </w:pPr>
            <w:r w:rsidRPr="004769B3">
              <w:rPr>
                <w:b/>
                <w:bCs/>
                <w:color w:val="000000" w:themeColor="text1"/>
                <w:sz w:val="20"/>
                <w:szCs w:val="18"/>
              </w:rPr>
              <w:t>Treatment Design</w:t>
            </w:r>
          </w:p>
        </w:tc>
      </w:tr>
      <w:tr w:rsidR="00DE4261" w:rsidRPr="004769B3" w14:paraId="2D9F26DC" w14:textId="77777777" w:rsidTr="00363FA1">
        <w:trPr>
          <w:jc w:val="center"/>
        </w:trPr>
        <w:tc>
          <w:tcPr>
            <w:tcW w:w="993" w:type="dxa"/>
            <w:tcBorders>
              <w:top w:val="single" w:sz="4" w:space="0" w:color="auto"/>
            </w:tcBorders>
            <w:vAlign w:val="center"/>
          </w:tcPr>
          <w:p w14:paraId="4F974A02"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lastRenderedPageBreak/>
              <w:t>GSE279219</w:t>
            </w:r>
          </w:p>
        </w:tc>
        <w:tc>
          <w:tcPr>
            <w:tcW w:w="708" w:type="dxa"/>
            <w:tcBorders>
              <w:top w:val="single" w:sz="4" w:space="0" w:color="auto"/>
            </w:tcBorders>
            <w:vAlign w:val="center"/>
          </w:tcPr>
          <w:p w14:paraId="79FF06B0"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Human</w:t>
            </w:r>
          </w:p>
        </w:tc>
        <w:tc>
          <w:tcPr>
            <w:tcW w:w="1985" w:type="dxa"/>
            <w:tcBorders>
              <w:top w:val="single" w:sz="4" w:space="0" w:color="auto"/>
            </w:tcBorders>
            <w:vAlign w:val="center"/>
          </w:tcPr>
          <w:p w14:paraId="47B09795"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10x Genomics Chromium X; Chromium Next GEM Single Cell 5</w:t>
            </w:r>
            <w:r w:rsidRPr="004769B3">
              <w:rPr>
                <w:rFonts w:ascii="Times New Roman" w:hAnsi="Times New Roman"/>
                <w:color w:val="000000" w:themeColor="text1"/>
                <w:sz w:val="20"/>
                <w:szCs w:val="18"/>
              </w:rPr>
              <w:t>′</w:t>
            </w:r>
            <w:r w:rsidRPr="004769B3">
              <w:rPr>
                <w:color w:val="000000" w:themeColor="text1"/>
                <w:sz w:val="20"/>
                <w:szCs w:val="18"/>
              </w:rPr>
              <w:t xml:space="preserve"> Kit v2; Illumina NovaSeq 6000</w:t>
            </w:r>
          </w:p>
        </w:tc>
        <w:tc>
          <w:tcPr>
            <w:tcW w:w="1680" w:type="dxa"/>
            <w:tcBorders>
              <w:top w:val="single" w:sz="4" w:space="0" w:color="auto"/>
            </w:tcBorders>
            <w:vAlign w:val="center"/>
          </w:tcPr>
          <w:p w14:paraId="5CB3FC87"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13 pretreatment and 11 post-treatment samples</w:t>
            </w:r>
          </w:p>
        </w:tc>
        <w:tc>
          <w:tcPr>
            <w:tcW w:w="2005" w:type="dxa"/>
            <w:tcBorders>
              <w:top w:val="single" w:sz="4" w:space="0" w:color="auto"/>
            </w:tcBorders>
            <w:vAlign w:val="center"/>
          </w:tcPr>
          <w:p w14:paraId="7FEBB93B"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Fresh tumor biopsies from patients with early-stage TNBC</w:t>
            </w:r>
          </w:p>
        </w:tc>
        <w:tc>
          <w:tcPr>
            <w:tcW w:w="1989" w:type="dxa"/>
            <w:tcBorders>
              <w:top w:val="single" w:sz="4" w:space="0" w:color="auto"/>
            </w:tcBorders>
            <w:vAlign w:val="center"/>
          </w:tcPr>
          <w:p w14:paraId="112E05BF"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Pretreatment vs</w:t>
            </w:r>
            <w:r w:rsidRPr="004769B3">
              <w:rPr>
                <w:rFonts w:hint="eastAsia"/>
                <w:color w:val="000000" w:themeColor="text1"/>
                <w:sz w:val="20"/>
                <w:szCs w:val="18"/>
              </w:rPr>
              <w:t>.</w:t>
            </w:r>
            <w:r w:rsidRPr="004769B3">
              <w:rPr>
                <w:color w:val="000000" w:themeColor="text1"/>
                <w:sz w:val="20"/>
                <w:szCs w:val="18"/>
              </w:rPr>
              <w:t xml:space="preserve"> after one cycle of DOX plus cyclophosphamide-based NAC</w:t>
            </w:r>
          </w:p>
        </w:tc>
      </w:tr>
      <w:tr w:rsidR="00DE4261" w:rsidRPr="004769B3" w14:paraId="3048C05A" w14:textId="77777777" w:rsidTr="00363FA1">
        <w:trPr>
          <w:jc w:val="center"/>
        </w:trPr>
        <w:tc>
          <w:tcPr>
            <w:tcW w:w="993" w:type="dxa"/>
            <w:vAlign w:val="center"/>
          </w:tcPr>
          <w:p w14:paraId="4DA2A1C9"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GSE266919</w:t>
            </w:r>
          </w:p>
        </w:tc>
        <w:tc>
          <w:tcPr>
            <w:tcW w:w="708" w:type="dxa"/>
            <w:vAlign w:val="center"/>
          </w:tcPr>
          <w:p w14:paraId="73256A04"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Human</w:t>
            </w:r>
          </w:p>
        </w:tc>
        <w:tc>
          <w:tcPr>
            <w:tcW w:w="1985" w:type="dxa"/>
            <w:vAlign w:val="center"/>
          </w:tcPr>
          <w:p w14:paraId="7D611F06"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10x Genomics Chromium Next GEM Single Cell 5</w:t>
            </w:r>
            <w:r w:rsidRPr="004769B3">
              <w:rPr>
                <w:rFonts w:ascii="Times New Roman" w:hAnsi="Times New Roman"/>
                <w:color w:val="000000" w:themeColor="text1"/>
                <w:sz w:val="20"/>
                <w:szCs w:val="18"/>
              </w:rPr>
              <w:t>′</w:t>
            </w:r>
            <w:r w:rsidRPr="004769B3">
              <w:rPr>
                <w:color w:val="000000" w:themeColor="text1"/>
                <w:sz w:val="20"/>
                <w:szCs w:val="18"/>
              </w:rPr>
              <w:t xml:space="preserve"> Kit; Illumina NovaSeq 6000</w:t>
            </w:r>
          </w:p>
        </w:tc>
        <w:tc>
          <w:tcPr>
            <w:tcW w:w="1680" w:type="dxa"/>
            <w:vAlign w:val="center"/>
          </w:tcPr>
          <w:p w14:paraId="11F027E3"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78 tumor biopsies from 44 patients</w:t>
            </w:r>
          </w:p>
        </w:tc>
        <w:tc>
          <w:tcPr>
            <w:tcW w:w="2005" w:type="dxa"/>
            <w:vAlign w:val="center"/>
          </w:tcPr>
          <w:p w14:paraId="4536E8EF"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Immune cells isolated from pretreatment and/or post-treatment TNBC tumor biopsies</w:t>
            </w:r>
          </w:p>
        </w:tc>
        <w:tc>
          <w:tcPr>
            <w:tcW w:w="1989" w:type="dxa"/>
            <w:vAlign w:val="center"/>
          </w:tcPr>
          <w:p w14:paraId="6692FEE0"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TNBC patients receiving various therapies, including paclitaxel, nab-paclitaxel, and their combinations with anti-PD-L1</w:t>
            </w:r>
          </w:p>
        </w:tc>
      </w:tr>
      <w:tr w:rsidR="00DE4261" w:rsidRPr="004769B3" w14:paraId="6A18D9B2" w14:textId="77777777" w:rsidTr="00363FA1">
        <w:trPr>
          <w:jc w:val="center"/>
        </w:trPr>
        <w:tc>
          <w:tcPr>
            <w:tcW w:w="993" w:type="dxa"/>
            <w:tcBorders>
              <w:bottom w:val="single" w:sz="8" w:space="0" w:color="auto"/>
            </w:tcBorders>
            <w:vAlign w:val="center"/>
          </w:tcPr>
          <w:p w14:paraId="72080287" w14:textId="77777777" w:rsidR="00DE4261" w:rsidRPr="004769B3" w:rsidRDefault="00DE4261" w:rsidP="00363FA1">
            <w:pPr>
              <w:tabs>
                <w:tab w:val="left" w:pos="573"/>
              </w:tabs>
              <w:autoSpaceDE w:val="0"/>
              <w:autoSpaceDN w:val="0"/>
              <w:spacing w:line="240" w:lineRule="auto"/>
              <w:jc w:val="left"/>
              <w:rPr>
                <w:color w:val="000000" w:themeColor="text1"/>
                <w:sz w:val="20"/>
                <w:szCs w:val="18"/>
              </w:rPr>
            </w:pPr>
            <w:r w:rsidRPr="004769B3">
              <w:rPr>
                <w:color w:val="000000" w:themeColor="text1"/>
                <w:sz w:val="20"/>
                <w:szCs w:val="18"/>
              </w:rPr>
              <w:t>GSE191246</w:t>
            </w:r>
          </w:p>
        </w:tc>
        <w:tc>
          <w:tcPr>
            <w:tcW w:w="708" w:type="dxa"/>
            <w:tcBorders>
              <w:bottom w:val="single" w:sz="8" w:space="0" w:color="auto"/>
            </w:tcBorders>
            <w:vAlign w:val="center"/>
          </w:tcPr>
          <w:p w14:paraId="3855D9F9" w14:textId="77777777" w:rsidR="00DE4261" w:rsidRPr="004769B3" w:rsidRDefault="00DE4261" w:rsidP="00363FA1">
            <w:pPr>
              <w:autoSpaceDE w:val="0"/>
              <w:autoSpaceDN w:val="0"/>
              <w:spacing w:line="240" w:lineRule="auto"/>
              <w:jc w:val="left"/>
              <w:rPr>
                <w:color w:val="000000" w:themeColor="text1"/>
                <w:sz w:val="20"/>
                <w:szCs w:val="18"/>
              </w:rPr>
            </w:pPr>
            <w:r w:rsidRPr="004769B3">
              <w:rPr>
                <w:sz w:val="20"/>
                <w:szCs w:val="18"/>
              </w:rPr>
              <w:t>Mouse</w:t>
            </w:r>
          </w:p>
        </w:tc>
        <w:tc>
          <w:tcPr>
            <w:tcW w:w="1985" w:type="dxa"/>
            <w:tcBorders>
              <w:bottom w:val="single" w:sz="8" w:space="0" w:color="auto"/>
            </w:tcBorders>
            <w:vAlign w:val="center"/>
          </w:tcPr>
          <w:p w14:paraId="5097F2B5"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10x Genomics Chromium, version 2 chemistry; Illumina NovaSeq 6000</w:t>
            </w:r>
          </w:p>
        </w:tc>
        <w:tc>
          <w:tcPr>
            <w:tcW w:w="1680" w:type="dxa"/>
            <w:tcBorders>
              <w:bottom w:val="single" w:sz="8" w:space="0" w:color="auto"/>
            </w:tcBorders>
            <w:vAlign w:val="center"/>
          </w:tcPr>
          <w:p w14:paraId="7046EE01"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Two DOX-control pairs</w:t>
            </w:r>
          </w:p>
        </w:tc>
        <w:tc>
          <w:tcPr>
            <w:tcW w:w="2005" w:type="dxa"/>
            <w:tcBorders>
              <w:bottom w:val="single" w:sz="8" w:space="0" w:color="auto"/>
            </w:tcBorders>
            <w:vAlign w:val="center"/>
          </w:tcPr>
          <w:p w14:paraId="6C259DE9"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FACS-sorted viable CD45</w:t>
            </w:r>
            <w:r w:rsidRPr="004769B3">
              <w:rPr>
                <w:color w:val="000000" w:themeColor="text1"/>
                <w:sz w:val="20"/>
                <w:szCs w:val="18"/>
                <w:vertAlign w:val="superscript"/>
              </w:rPr>
              <w:t>+</w:t>
            </w:r>
            <w:r w:rsidRPr="004769B3">
              <w:rPr>
                <w:color w:val="000000" w:themeColor="text1"/>
                <w:sz w:val="20"/>
                <w:szCs w:val="18"/>
              </w:rPr>
              <w:t>DAPI</w:t>
            </w:r>
            <w:r w:rsidRPr="004769B3">
              <w:rPr>
                <w:color w:val="000000" w:themeColor="text1"/>
                <w:sz w:val="20"/>
                <w:szCs w:val="18"/>
                <w:vertAlign w:val="superscript"/>
              </w:rPr>
              <w:t>−</w:t>
            </w:r>
            <w:r w:rsidRPr="004769B3">
              <w:rPr>
                <w:color w:val="000000" w:themeColor="text1"/>
                <w:sz w:val="20"/>
                <w:szCs w:val="18"/>
              </w:rPr>
              <w:t xml:space="preserve"> tumor-infiltrating immune cells from 4T1 and EMT6 tumors</w:t>
            </w:r>
          </w:p>
        </w:tc>
        <w:tc>
          <w:tcPr>
            <w:tcW w:w="1989" w:type="dxa"/>
            <w:tcBorders>
              <w:bottom w:val="single" w:sz="8" w:space="0" w:color="auto"/>
            </w:tcBorders>
            <w:vAlign w:val="center"/>
          </w:tcPr>
          <w:p w14:paraId="7A27F617" w14:textId="77777777" w:rsidR="00DE4261" w:rsidRPr="004769B3" w:rsidRDefault="00DE4261" w:rsidP="00363FA1">
            <w:pPr>
              <w:autoSpaceDE w:val="0"/>
              <w:autoSpaceDN w:val="0"/>
              <w:spacing w:line="240" w:lineRule="auto"/>
              <w:jc w:val="left"/>
              <w:rPr>
                <w:color w:val="000000" w:themeColor="text1"/>
                <w:sz w:val="20"/>
                <w:szCs w:val="18"/>
              </w:rPr>
            </w:pPr>
            <w:r w:rsidRPr="004769B3">
              <w:rPr>
                <w:color w:val="000000" w:themeColor="text1"/>
                <w:sz w:val="20"/>
                <w:szCs w:val="18"/>
              </w:rPr>
              <w:t>Two DOX-control pairs from the 18 pooled scRNA-seq libraries (4T1/EMT6)</w:t>
            </w:r>
          </w:p>
        </w:tc>
      </w:tr>
    </w:tbl>
    <w:p w14:paraId="56647FEB" w14:textId="77777777" w:rsidR="00DE4261" w:rsidRPr="004769B3" w:rsidRDefault="00DE4261" w:rsidP="00DE4261">
      <w:pPr>
        <w:pStyle w:val="TSP43tablefooter"/>
        <w:rPr>
          <w:rFonts w:eastAsia="宋体"/>
        </w:rPr>
      </w:pPr>
      <w:r w:rsidRPr="004769B3">
        <w:rPr>
          <w:rFonts w:eastAsia="宋体"/>
        </w:rPr>
        <w:t>Note: For GSE266919, the GEO series contains both human scRNA-seq samples and murine bulk RNA-seq experiments: Only the processed human immune-cell-specific scRNA-seq objects relevant to the present study are described here. Abbreviations: DAPI, 4</w:t>
      </w:r>
      <w:r w:rsidRPr="004769B3">
        <w:rPr>
          <w:rFonts w:ascii="Times New Roman" w:eastAsia="宋体" w:hAnsi="Times New Roman" w:cs="Times New Roman"/>
        </w:rPr>
        <w:t>′</w:t>
      </w:r>
      <w:r w:rsidRPr="004769B3">
        <w:rPr>
          <w:rFonts w:eastAsia="宋体"/>
        </w:rPr>
        <w:t>,6-diamidino-2-phenylindole; DOX, doxorubicin; FACS, fluorescence-activated cell sorting; GEO, gene expression omnibus; GSE, gene expression omnibus series; NAC, neoadjuvant chemotherapy; scRNA-seq, single-cell RNA sequencing; TNBC, triple-negative breast cancer.</w:t>
      </w:r>
    </w:p>
    <w:p w14:paraId="688C36AE" w14:textId="52A2685E" w:rsidR="00DE4261" w:rsidRPr="004769B3" w:rsidRDefault="00DE4261" w:rsidP="00DE4261">
      <w:pPr>
        <w:pStyle w:val="TSP41tablecaption"/>
        <w:jc w:val="center"/>
        <w:rPr>
          <w:rFonts w:eastAsia="宋体"/>
        </w:rPr>
      </w:pPr>
      <w:r w:rsidRPr="004769B3">
        <w:rPr>
          <w:b/>
        </w:rPr>
        <w:t xml:space="preserve">Table </w:t>
      </w:r>
      <w:r>
        <w:rPr>
          <w:rFonts w:eastAsiaTheme="minorEastAsia" w:hint="eastAsia"/>
          <w:b/>
          <w:lang w:eastAsia="zh-CN"/>
        </w:rPr>
        <w:t>S</w:t>
      </w:r>
      <w:r w:rsidRPr="004769B3">
        <w:rPr>
          <w:b/>
        </w:rPr>
        <w:t>3:</w:t>
      </w:r>
      <w:r w:rsidRPr="004769B3">
        <w:t xml:space="preserve"> </w:t>
      </w:r>
      <w:r w:rsidRPr="004769B3">
        <w:rPr>
          <w:rFonts w:eastAsia="宋体"/>
        </w:rPr>
        <w:t>Canonical marker genes used for scRNA-seq cell-type annotation</w:t>
      </w:r>
      <w:r w:rsidRPr="004769B3">
        <w:t>.</w:t>
      </w:r>
    </w:p>
    <w:tbl>
      <w:tblPr>
        <w:tblW w:w="9360" w:type="dxa"/>
        <w:jc w:val="center"/>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2134"/>
        <w:gridCol w:w="2891"/>
        <w:gridCol w:w="4335"/>
      </w:tblGrid>
      <w:tr w:rsidR="00DE4261" w:rsidRPr="004769B3" w14:paraId="70486BF5" w14:textId="77777777" w:rsidTr="00363FA1">
        <w:trPr>
          <w:jc w:val="center"/>
        </w:trPr>
        <w:tc>
          <w:tcPr>
            <w:tcW w:w="2093" w:type="dxa"/>
            <w:tcBorders>
              <w:top w:val="single" w:sz="8" w:space="0" w:color="auto"/>
              <w:bottom w:val="single" w:sz="4" w:space="0" w:color="auto"/>
            </w:tcBorders>
            <w:vAlign w:val="center"/>
          </w:tcPr>
          <w:p w14:paraId="661AA905"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Dataset/Species</w:t>
            </w:r>
          </w:p>
        </w:tc>
        <w:tc>
          <w:tcPr>
            <w:tcW w:w="2835" w:type="dxa"/>
            <w:tcBorders>
              <w:top w:val="single" w:sz="8" w:space="0" w:color="auto"/>
              <w:bottom w:val="single" w:sz="4" w:space="0" w:color="auto"/>
            </w:tcBorders>
            <w:vAlign w:val="center"/>
          </w:tcPr>
          <w:p w14:paraId="27D30FAA"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Cell Type</w:t>
            </w:r>
          </w:p>
        </w:tc>
        <w:tc>
          <w:tcPr>
            <w:tcW w:w="4252" w:type="dxa"/>
            <w:tcBorders>
              <w:top w:val="single" w:sz="8" w:space="0" w:color="auto"/>
              <w:bottom w:val="single" w:sz="4" w:space="0" w:color="auto"/>
            </w:tcBorders>
            <w:vAlign w:val="center"/>
          </w:tcPr>
          <w:p w14:paraId="670CC758"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Marker Genes</w:t>
            </w:r>
          </w:p>
        </w:tc>
      </w:tr>
      <w:tr w:rsidR="00DE4261" w:rsidRPr="004769B3" w14:paraId="3D4B339B" w14:textId="77777777" w:rsidTr="00363FA1">
        <w:trPr>
          <w:jc w:val="center"/>
        </w:trPr>
        <w:tc>
          <w:tcPr>
            <w:tcW w:w="2093" w:type="dxa"/>
            <w:vMerge w:val="restart"/>
            <w:tcBorders>
              <w:top w:val="single" w:sz="4" w:space="0" w:color="auto"/>
            </w:tcBorders>
            <w:vAlign w:val="center"/>
          </w:tcPr>
          <w:p w14:paraId="256292E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Human/GSE279219</w:t>
            </w:r>
          </w:p>
        </w:tc>
        <w:tc>
          <w:tcPr>
            <w:tcW w:w="2835" w:type="dxa"/>
            <w:tcBorders>
              <w:top w:val="single" w:sz="4" w:space="0" w:color="auto"/>
            </w:tcBorders>
            <w:vAlign w:val="center"/>
          </w:tcPr>
          <w:p w14:paraId="51AAC6B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Macrophages</w:t>
            </w:r>
          </w:p>
        </w:tc>
        <w:tc>
          <w:tcPr>
            <w:tcW w:w="4252" w:type="dxa"/>
            <w:tcBorders>
              <w:top w:val="single" w:sz="4" w:space="0" w:color="auto"/>
            </w:tcBorders>
            <w:vAlign w:val="center"/>
          </w:tcPr>
          <w:p w14:paraId="1F954A2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CD68, CD14, CD163</w:t>
            </w:r>
          </w:p>
        </w:tc>
      </w:tr>
      <w:tr w:rsidR="00DE4261" w:rsidRPr="004769B3" w14:paraId="0343E24C" w14:textId="77777777" w:rsidTr="00363FA1">
        <w:trPr>
          <w:jc w:val="center"/>
        </w:trPr>
        <w:tc>
          <w:tcPr>
            <w:tcW w:w="2093" w:type="dxa"/>
            <w:vMerge/>
            <w:vAlign w:val="center"/>
          </w:tcPr>
          <w:p w14:paraId="09078EF0"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0203479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Dendritic cells</w:t>
            </w:r>
          </w:p>
        </w:tc>
        <w:tc>
          <w:tcPr>
            <w:tcW w:w="4252" w:type="dxa"/>
            <w:vAlign w:val="center"/>
          </w:tcPr>
          <w:p w14:paraId="52DCFF8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IRF7, IRF8, CLEC4C</w:t>
            </w:r>
          </w:p>
        </w:tc>
      </w:tr>
      <w:tr w:rsidR="00DE4261" w:rsidRPr="004769B3" w14:paraId="466C2D9A" w14:textId="77777777" w:rsidTr="00363FA1">
        <w:trPr>
          <w:jc w:val="center"/>
        </w:trPr>
        <w:tc>
          <w:tcPr>
            <w:tcW w:w="2093" w:type="dxa"/>
            <w:vMerge/>
            <w:vAlign w:val="center"/>
          </w:tcPr>
          <w:p w14:paraId="5E4D3894"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53805DB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Neutrophils</w:t>
            </w:r>
          </w:p>
        </w:tc>
        <w:tc>
          <w:tcPr>
            <w:tcW w:w="4252" w:type="dxa"/>
            <w:vAlign w:val="center"/>
          </w:tcPr>
          <w:p w14:paraId="7E98C93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CSF3R, G0S2, CXCL8</w:t>
            </w:r>
          </w:p>
        </w:tc>
      </w:tr>
      <w:tr w:rsidR="00DE4261" w:rsidRPr="004769B3" w14:paraId="21791701" w14:textId="77777777" w:rsidTr="00363FA1">
        <w:trPr>
          <w:jc w:val="center"/>
        </w:trPr>
        <w:tc>
          <w:tcPr>
            <w:tcW w:w="2093" w:type="dxa"/>
            <w:vMerge/>
            <w:vAlign w:val="center"/>
          </w:tcPr>
          <w:p w14:paraId="3F1E5911"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0A4BBF2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T cells</w:t>
            </w:r>
          </w:p>
        </w:tc>
        <w:tc>
          <w:tcPr>
            <w:tcW w:w="4252" w:type="dxa"/>
            <w:vAlign w:val="center"/>
          </w:tcPr>
          <w:p w14:paraId="16F0730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CD3D, CD3E, CD4, CD8A, CD8B</w:t>
            </w:r>
          </w:p>
        </w:tc>
      </w:tr>
      <w:tr w:rsidR="00DE4261" w:rsidRPr="004769B3" w14:paraId="7FB4D421" w14:textId="77777777" w:rsidTr="00363FA1">
        <w:trPr>
          <w:jc w:val="center"/>
        </w:trPr>
        <w:tc>
          <w:tcPr>
            <w:tcW w:w="2093" w:type="dxa"/>
            <w:vMerge/>
            <w:vAlign w:val="center"/>
          </w:tcPr>
          <w:p w14:paraId="3D743DD5"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2F74DE4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 cells</w:t>
            </w:r>
          </w:p>
        </w:tc>
        <w:tc>
          <w:tcPr>
            <w:tcW w:w="4252" w:type="dxa"/>
            <w:vAlign w:val="center"/>
          </w:tcPr>
          <w:p w14:paraId="317F679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CD19, MS4A1, CD79A, CD79B</w:t>
            </w:r>
          </w:p>
        </w:tc>
      </w:tr>
      <w:tr w:rsidR="00DE4261" w:rsidRPr="004769B3" w14:paraId="38E654B5" w14:textId="77777777" w:rsidTr="00363FA1">
        <w:trPr>
          <w:jc w:val="center"/>
        </w:trPr>
        <w:tc>
          <w:tcPr>
            <w:tcW w:w="2093" w:type="dxa"/>
            <w:vMerge/>
            <w:vAlign w:val="center"/>
          </w:tcPr>
          <w:p w14:paraId="573AE781"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09D020E6"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Natural killer cells</w:t>
            </w:r>
          </w:p>
        </w:tc>
        <w:tc>
          <w:tcPr>
            <w:tcW w:w="4252" w:type="dxa"/>
            <w:vAlign w:val="center"/>
          </w:tcPr>
          <w:p w14:paraId="108AD3A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GNLY, NKG7, PRF1</w:t>
            </w:r>
          </w:p>
        </w:tc>
      </w:tr>
      <w:tr w:rsidR="00DE4261" w:rsidRPr="004769B3" w14:paraId="2856B986" w14:textId="77777777" w:rsidTr="00363FA1">
        <w:trPr>
          <w:jc w:val="center"/>
        </w:trPr>
        <w:tc>
          <w:tcPr>
            <w:tcW w:w="2093" w:type="dxa"/>
            <w:vMerge/>
            <w:vAlign w:val="center"/>
          </w:tcPr>
          <w:p w14:paraId="774C6F94"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4A617A1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Cancer cells</w:t>
            </w:r>
          </w:p>
        </w:tc>
        <w:tc>
          <w:tcPr>
            <w:tcW w:w="4252" w:type="dxa"/>
            <w:vAlign w:val="center"/>
          </w:tcPr>
          <w:p w14:paraId="189507B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EPCAM, KRT7, KRT18</w:t>
            </w:r>
          </w:p>
        </w:tc>
      </w:tr>
      <w:tr w:rsidR="00DE4261" w:rsidRPr="004769B3" w14:paraId="55EB5529" w14:textId="77777777" w:rsidTr="00363FA1">
        <w:trPr>
          <w:jc w:val="center"/>
        </w:trPr>
        <w:tc>
          <w:tcPr>
            <w:tcW w:w="2093" w:type="dxa"/>
            <w:vMerge/>
            <w:vAlign w:val="center"/>
          </w:tcPr>
          <w:p w14:paraId="221817AF"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11514B6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Fibroblasts</w:t>
            </w:r>
          </w:p>
        </w:tc>
        <w:tc>
          <w:tcPr>
            <w:tcW w:w="4252" w:type="dxa"/>
            <w:vAlign w:val="center"/>
          </w:tcPr>
          <w:p w14:paraId="76C7469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ACTA2, FGF7, MME</w:t>
            </w:r>
          </w:p>
        </w:tc>
      </w:tr>
      <w:tr w:rsidR="00DE4261" w:rsidRPr="004769B3" w14:paraId="5B4D08DF" w14:textId="77777777" w:rsidTr="00363FA1">
        <w:trPr>
          <w:jc w:val="center"/>
        </w:trPr>
        <w:tc>
          <w:tcPr>
            <w:tcW w:w="2093" w:type="dxa"/>
            <w:vMerge/>
            <w:vAlign w:val="center"/>
          </w:tcPr>
          <w:p w14:paraId="402EE521"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6218F7A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Endothelial cells</w:t>
            </w:r>
          </w:p>
        </w:tc>
        <w:tc>
          <w:tcPr>
            <w:tcW w:w="4252" w:type="dxa"/>
            <w:vAlign w:val="center"/>
          </w:tcPr>
          <w:p w14:paraId="72E1CB9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PTPRB, PECAM1</w:t>
            </w:r>
          </w:p>
        </w:tc>
      </w:tr>
      <w:tr w:rsidR="00DE4261" w:rsidRPr="004769B3" w14:paraId="2B3C2E4B" w14:textId="77777777" w:rsidTr="00363FA1">
        <w:trPr>
          <w:jc w:val="center"/>
        </w:trPr>
        <w:tc>
          <w:tcPr>
            <w:tcW w:w="2093" w:type="dxa"/>
            <w:vMerge/>
            <w:vAlign w:val="center"/>
          </w:tcPr>
          <w:p w14:paraId="355A2DC0"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5F99F75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Epithelial cells</w:t>
            </w:r>
          </w:p>
        </w:tc>
        <w:tc>
          <w:tcPr>
            <w:tcW w:w="4252" w:type="dxa"/>
            <w:vAlign w:val="center"/>
          </w:tcPr>
          <w:p w14:paraId="30B1ACBA"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KRT5, KRT14</w:t>
            </w:r>
          </w:p>
        </w:tc>
      </w:tr>
      <w:tr w:rsidR="00DE4261" w:rsidRPr="004769B3" w14:paraId="69E93C5D" w14:textId="77777777" w:rsidTr="00363FA1">
        <w:trPr>
          <w:jc w:val="center"/>
        </w:trPr>
        <w:tc>
          <w:tcPr>
            <w:tcW w:w="2093" w:type="dxa"/>
            <w:vMerge/>
            <w:vAlign w:val="center"/>
          </w:tcPr>
          <w:p w14:paraId="3EC8BB1A"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35BEB5B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Plasma cells</w:t>
            </w:r>
          </w:p>
        </w:tc>
        <w:tc>
          <w:tcPr>
            <w:tcW w:w="4252" w:type="dxa"/>
            <w:vAlign w:val="center"/>
          </w:tcPr>
          <w:p w14:paraId="704D8B6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IGHG1, MZB1, SDC1</w:t>
            </w:r>
          </w:p>
        </w:tc>
      </w:tr>
      <w:tr w:rsidR="00DE4261" w:rsidRPr="004769B3" w14:paraId="2A00ACAB" w14:textId="77777777" w:rsidTr="00363FA1">
        <w:trPr>
          <w:jc w:val="center"/>
        </w:trPr>
        <w:tc>
          <w:tcPr>
            <w:tcW w:w="2093" w:type="dxa"/>
            <w:vMerge/>
            <w:vAlign w:val="center"/>
          </w:tcPr>
          <w:p w14:paraId="33BDAF1A"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0EF340D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Adipocytes</w:t>
            </w:r>
          </w:p>
        </w:tc>
        <w:tc>
          <w:tcPr>
            <w:tcW w:w="4252" w:type="dxa"/>
            <w:vAlign w:val="center"/>
          </w:tcPr>
          <w:p w14:paraId="250ACA5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MGLL, SAA1, SAA2</w:t>
            </w:r>
          </w:p>
        </w:tc>
      </w:tr>
      <w:tr w:rsidR="00DE4261" w:rsidRPr="004769B3" w14:paraId="3A813D34" w14:textId="77777777" w:rsidTr="00363FA1">
        <w:trPr>
          <w:jc w:val="center"/>
        </w:trPr>
        <w:tc>
          <w:tcPr>
            <w:tcW w:w="2093" w:type="dxa"/>
            <w:vMerge/>
            <w:tcBorders>
              <w:bottom w:val="single" w:sz="4" w:space="0" w:color="auto"/>
            </w:tcBorders>
            <w:vAlign w:val="center"/>
          </w:tcPr>
          <w:p w14:paraId="76ECDFC7" w14:textId="77777777" w:rsidR="00DE4261" w:rsidRPr="004769B3" w:rsidRDefault="00DE4261" w:rsidP="00363FA1">
            <w:pPr>
              <w:autoSpaceDE w:val="0"/>
              <w:autoSpaceDN w:val="0"/>
              <w:spacing w:line="240" w:lineRule="auto"/>
              <w:jc w:val="center"/>
              <w:rPr>
                <w:color w:val="000000" w:themeColor="text1"/>
                <w:sz w:val="20"/>
              </w:rPr>
            </w:pPr>
          </w:p>
        </w:tc>
        <w:tc>
          <w:tcPr>
            <w:tcW w:w="2835" w:type="dxa"/>
            <w:tcBorders>
              <w:bottom w:val="single" w:sz="4" w:space="0" w:color="auto"/>
            </w:tcBorders>
            <w:vAlign w:val="center"/>
          </w:tcPr>
          <w:p w14:paraId="7851D65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Pericytes</w:t>
            </w:r>
          </w:p>
        </w:tc>
        <w:tc>
          <w:tcPr>
            <w:tcW w:w="4252" w:type="dxa"/>
            <w:tcBorders>
              <w:bottom w:val="single" w:sz="4" w:space="0" w:color="auto"/>
            </w:tcBorders>
            <w:vAlign w:val="center"/>
          </w:tcPr>
          <w:p w14:paraId="7697D98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PDGFRB, MCAM, RGS5</w:t>
            </w:r>
          </w:p>
        </w:tc>
      </w:tr>
      <w:tr w:rsidR="00DE4261" w:rsidRPr="004769B3" w14:paraId="6CE100BB" w14:textId="77777777" w:rsidTr="00363FA1">
        <w:trPr>
          <w:jc w:val="center"/>
        </w:trPr>
        <w:tc>
          <w:tcPr>
            <w:tcW w:w="2093" w:type="dxa"/>
            <w:vMerge w:val="restart"/>
            <w:tcBorders>
              <w:top w:val="single" w:sz="4" w:space="0" w:color="auto"/>
            </w:tcBorders>
            <w:vAlign w:val="center"/>
          </w:tcPr>
          <w:p w14:paraId="0B15C50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Murine/GSE191246</w:t>
            </w:r>
          </w:p>
        </w:tc>
        <w:tc>
          <w:tcPr>
            <w:tcW w:w="2835" w:type="dxa"/>
            <w:tcBorders>
              <w:top w:val="single" w:sz="4" w:space="0" w:color="auto"/>
            </w:tcBorders>
            <w:vAlign w:val="center"/>
          </w:tcPr>
          <w:p w14:paraId="5D34DF9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Monocyte-macrophages</w:t>
            </w:r>
          </w:p>
        </w:tc>
        <w:tc>
          <w:tcPr>
            <w:tcW w:w="4252" w:type="dxa"/>
            <w:tcBorders>
              <w:top w:val="single" w:sz="4" w:space="0" w:color="auto"/>
            </w:tcBorders>
            <w:vAlign w:val="center"/>
          </w:tcPr>
          <w:p w14:paraId="5073286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Cd68, Cd14, Adgre1</w:t>
            </w:r>
          </w:p>
        </w:tc>
      </w:tr>
      <w:tr w:rsidR="00DE4261" w:rsidRPr="004769B3" w14:paraId="38E2D18F" w14:textId="77777777" w:rsidTr="00363FA1">
        <w:trPr>
          <w:jc w:val="center"/>
        </w:trPr>
        <w:tc>
          <w:tcPr>
            <w:tcW w:w="2093" w:type="dxa"/>
            <w:vMerge/>
            <w:vAlign w:val="center"/>
          </w:tcPr>
          <w:p w14:paraId="0EE5EA91"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25646E0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T cells</w:t>
            </w:r>
          </w:p>
        </w:tc>
        <w:tc>
          <w:tcPr>
            <w:tcW w:w="4252" w:type="dxa"/>
            <w:vAlign w:val="center"/>
          </w:tcPr>
          <w:p w14:paraId="18DEDD7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Cd3d, Cd3e, Cd4, Cd8a, Cd8b1</w:t>
            </w:r>
          </w:p>
        </w:tc>
      </w:tr>
      <w:tr w:rsidR="00DE4261" w:rsidRPr="004769B3" w14:paraId="4FC28799" w14:textId="77777777" w:rsidTr="00363FA1">
        <w:trPr>
          <w:jc w:val="center"/>
        </w:trPr>
        <w:tc>
          <w:tcPr>
            <w:tcW w:w="2093" w:type="dxa"/>
            <w:vMerge/>
            <w:vAlign w:val="center"/>
          </w:tcPr>
          <w:p w14:paraId="708E1EAF"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173C013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 cells</w:t>
            </w:r>
          </w:p>
        </w:tc>
        <w:tc>
          <w:tcPr>
            <w:tcW w:w="4252" w:type="dxa"/>
            <w:vAlign w:val="center"/>
          </w:tcPr>
          <w:p w14:paraId="74071BC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Cd19, Ms4a1, Cd79a, Cd79b</w:t>
            </w:r>
          </w:p>
        </w:tc>
      </w:tr>
      <w:tr w:rsidR="00DE4261" w:rsidRPr="004769B3" w14:paraId="06D936B8" w14:textId="77777777" w:rsidTr="00363FA1">
        <w:trPr>
          <w:jc w:val="center"/>
        </w:trPr>
        <w:tc>
          <w:tcPr>
            <w:tcW w:w="2093" w:type="dxa"/>
            <w:vMerge/>
            <w:vAlign w:val="center"/>
          </w:tcPr>
          <w:p w14:paraId="74D8E9CC"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408E228F"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Natural killer cells</w:t>
            </w:r>
          </w:p>
        </w:tc>
        <w:tc>
          <w:tcPr>
            <w:tcW w:w="4252" w:type="dxa"/>
            <w:vAlign w:val="center"/>
          </w:tcPr>
          <w:p w14:paraId="27D08DB6"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Klrb1c, Ncr1, Nkg7</w:t>
            </w:r>
          </w:p>
        </w:tc>
      </w:tr>
      <w:tr w:rsidR="00DE4261" w:rsidRPr="004769B3" w14:paraId="66900A29" w14:textId="77777777" w:rsidTr="00363FA1">
        <w:trPr>
          <w:jc w:val="center"/>
        </w:trPr>
        <w:tc>
          <w:tcPr>
            <w:tcW w:w="2093" w:type="dxa"/>
            <w:vMerge/>
            <w:vAlign w:val="center"/>
          </w:tcPr>
          <w:p w14:paraId="5614DBC7"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79403E3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Dendritic cells</w:t>
            </w:r>
          </w:p>
        </w:tc>
        <w:tc>
          <w:tcPr>
            <w:tcW w:w="4252" w:type="dxa"/>
            <w:vAlign w:val="center"/>
          </w:tcPr>
          <w:p w14:paraId="309F33B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Fcer1a, Clec9a, Clec10a</w:t>
            </w:r>
          </w:p>
        </w:tc>
      </w:tr>
      <w:tr w:rsidR="00DE4261" w:rsidRPr="004769B3" w14:paraId="40C20C45" w14:textId="77777777" w:rsidTr="00363FA1">
        <w:trPr>
          <w:jc w:val="center"/>
        </w:trPr>
        <w:tc>
          <w:tcPr>
            <w:tcW w:w="2093" w:type="dxa"/>
            <w:vMerge/>
            <w:vAlign w:val="center"/>
          </w:tcPr>
          <w:p w14:paraId="3EE2AB73" w14:textId="77777777" w:rsidR="00DE4261" w:rsidRPr="004769B3" w:rsidRDefault="00DE4261" w:rsidP="00363FA1">
            <w:pPr>
              <w:autoSpaceDE w:val="0"/>
              <w:autoSpaceDN w:val="0"/>
              <w:spacing w:line="240" w:lineRule="auto"/>
              <w:jc w:val="center"/>
              <w:rPr>
                <w:color w:val="000000" w:themeColor="text1"/>
                <w:sz w:val="20"/>
              </w:rPr>
            </w:pPr>
          </w:p>
        </w:tc>
        <w:tc>
          <w:tcPr>
            <w:tcW w:w="2835" w:type="dxa"/>
            <w:vAlign w:val="center"/>
          </w:tcPr>
          <w:p w14:paraId="18D82B7A"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Neutrophils</w:t>
            </w:r>
          </w:p>
        </w:tc>
        <w:tc>
          <w:tcPr>
            <w:tcW w:w="4252" w:type="dxa"/>
            <w:vAlign w:val="center"/>
          </w:tcPr>
          <w:p w14:paraId="3808B2D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Itgam, S100a8, G0s2</w:t>
            </w:r>
          </w:p>
        </w:tc>
      </w:tr>
    </w:tbl>
    <w:p w14:paraId="6F5D79F2" w14:textId="77777777" w:rsidR="00DE4261" w:rsidRPr="004769B3" w:rsidRDefault="00DE4261" w:rsidP="00DE4261">
      <w:pPr>
        <w:pStyle w:val="TSP43tablefooter"/>
        <w:rPr>
          <w:rFonts w:eastAsia="宋体"/>
        </w:rPr>
      </w:pPr>
      <w:r w:rsidRPr="004769B3">
        <w:t xml:space="preserve">Note: </w:t>
      </w:r>
      <w:r w:rsidRPr="004769B3">
        <w:rPr>
          <w:rFonts w:eastAsia="宋体"/>
        </w:rPr>
        <w:t>Abbreviations: GSE, gene expression omnibus series; scRNA-seq, single-cell RNA sequencing.</w:t>
      </w:r>
    </w:p>
    <w:p w14:paraId="701C32AC" w14:textId="521AA998" w:rsidR="00DE4261" w:rsidRPr="004769B3" w:rsidRDefault="00DE4261" w:rsidP="00DE4261">
      <w:pPr>
        <w:pStyle w:val="TSP41tablecaption"/>
        <w:jc w:val="center"/>
      </w:pPr>
      <w:r w:rsidRPr="004769B3">
        <w:rPr>
          <w:b/>
        </w:rPr>
        <w:t xml:space="preserve">Table </w:t>
      </w:r>
      <w:r>
        <w:rPr>
          <w:rFonts w:eastAsiaTheme="minorEastAsia" w:hint="eastAsia"/>
          <w:b/>
          <w:lang w:eastAsia="zh-CN"/>
        </w:rPr>
        <w:t>S</w:t>
      </w:r>
      <w:r w:rsidRPr="004769B3">
        <w:rPr>
          <w:b/>
        </w:rPr>
        <w:t>4:</w:t>
      </w:r>
      <w:r w:rsidRPr="004769B3">
        <w:t xml:space="preserve"> </w:t>
      </w:r>
      <w:r w:rsidRPr="004769B3">
        <w:rPr>
          <w:rFonts w:eastAsia="宋体"/>
        </w:rPr>
        <w:t>Gene sets used for macrophage phenotype scoring</w:t>
      </w:r>
      <w:r w:rsidRPr="004769B3">
        <w:t>.</w:t>
      </w:r>
    </w:p>
    <w:tbl>
      <w:tblPr>
        <w:tblW w:w="9360" w:type="dxa"/>
        <w:jc w:val="center"/>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1701"/>
        <w:gridCol w:w="7659"/>
      </w:tblGrid>
      <w:tr w:rsidR="00DE4261" w:rsidRPr="004769B3" w14:paraId="61BA2182" w14:textId="77777777" w:rsidTr="00363FA1">
        <w:trPr>
          <w:jc w:val="center"/>
        </w:trPr>
        <w:tc>
          <w:tcPr>
            <w:tcW w:w="1701" w:type="dxa"/>
            <w:tcBorders>
              <w:top w:val="single" w:sz="8" w:space="0" w:color="auto"/>
              <w:bottom w:val="single" w:sz="4" w:space="0" w:color="auto"/>
            </w:tcBorders>
            <w:vAlign w:val="center"/>
          </w:tcPr>
          <w:p w14:paraId="04D0D0C5"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lastRenderedPageBreak/>
              <w:t>Gene Set</w:t>
            </w:r>
          </w:p>
        </w:tc>
        <w:tc>
          <w:tcPr>
            <w:tcW w:w="7659" w:type="dxa"/>
            <w:tcBorders>
              <w:top w:val="single" w:sz="8" w:space="0" w:color="auto"/>
              <w:bottom w:val="single" w:sz="4" w:space="0" w:color="auto"/>
            </w:tcBorders>
            <w:vAlign w:val="center"/>
          </w:tcPr>
          <w:p w14:paraId="59E5D8C7"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Marker Genes</w:t>
            </w:r>
          </w:p>
        </w:tc>
      </w:tr>
      <w:tr w:rsidR="00DE4261" w:rsidRPr="004769B3" w14:paraId="17A1892C" w14:textId="77777777" w:rsidTr="00363FA1">
        <w:trPr>
          <w:jc w:val="center"/>
        </w:trPr>
        <w:tc>
          <w:tcPr>
            <w:tcW w:w="1701" w:type="dxa"/>
            <w:tcBorders>
              <w:top w:val="single" w:sz="4" w:space="0" w:color="auto"/>
            </w:tcBorders>
            <w:vAlign w:val="center"/>
          </w:tcPr>
          <w:p w14:paraId="3CA4628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M1_Polarization</w:t>
            </w:r>
          </w:p>
        </w:tc>
        <w:tc>
          <w:tcPr>
            <w:tcW w:w="7659" w:type="dxa"/>
            <w:tcBorders>
              <w:top w:val="single" w:sz="4" w:space="0" w:color="auto"/>
            </w:tcBorders>
            <w:vAlign w:val="center"/>
          </w:tcPr>
          <w:p w14:paraId="09658B66" w14:textId="77777777" w:rsidR="00DE4261" w:rsidRPr="004769B3" w:rsidRDefault="00DE4261" w:rsidP="00363FA1">
            <w:pPr>
              <w:autoSpaceDE w:val="0"/>
              <w:autoSpaceDN w:val="0"/>
              <w:spacing w:line="240" w:lineRule="auto"/>
              <w:jc w:val="center"/>
              <w:rPr>
                <w:color w:val="000000" w:themeColor="text1"/>
                <w:sz w:val="20"/>
                <w:lang w:val="it-IT"/>
              </w:rPr>
            </w:pPr>
            <w:r w:rsidRPr="004769B3">
              <w:rPr>
                <w:color w:val="000000" w:themeColor="text1"/>
                <w:sz w:val="20"/>
                <w:lang w:val="it-IT"/>
              </w:rPr>
              <w:t>IL12, IL23, TNF, IL6, CD86, IL1B, MARCO, NOS2, CD64, CD80, CXCL9, CXCL10, CXCL11, IL1A, CCL5, IRF5, IRF1, CD40, IDO1, KYNU, CCR7</w:t>
            </w:r>
          </w:p>
        </w:tc>
      </w:tr>
      <w:tr w:rsidR="00DE4261" w:rsidRPr="004769B3" w14:paraId="7E2FEA28" w14:textId="77777777" w:rsidTr="00363FA1">
        <w:trPr>
          <w:jc w:val="center"/>
        </w:trPr>
        <w:tc>
          <w:tcPr>
            <w:tcW w:w="1701" w:type="dxa"/>
            <w:vAlign w:val="center"/>
          </w:tcPr>
          <w:p w14:paraId="2B180A8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M2_Polarization</w:t>
            </w:r>
          </w:p>
        </w:tc>
        <w:tc>
          <w:tcPr>
            <w:tcW w:w="7659" w:type="dxa"/>
            <w:vAlign w:val="center"/>
          </w:tcPr>
          <w:p w14:paraId="54593AC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ARG1, ARG2, IL10, CD32, CD163, CD23, CD200R1, PDCD1LG2, MARCO, CSF1R, CD206, IL1RN, IL1R2, IL4R, CCL4, CCL13, CCL20, CCL17, CCL18, CCL22, CCL24, LYVE1, VEGFA, VEGFB, VEGFC, VEGFD, EGF, CTSA, CTSB, CTSC, CTSD, TGFB1, TGFB2, TGFB3, MMP14, MMP19, MMP9, CLEC7A, WNT7B, FASL, TNFSF12, TNFSF8, CD276, VTCN1, MSR1, FN1, IRF4</w:t>
            </w:r>
          </w:p>
        </w:tc>
      </w:tr>
      <w:tr w:rsidR="00DE4261" w:rsidRPr="004769B3" w14:paraId="3D621482" w14:textId="77777777" w:rsidTr="00363FA1">
        <w:trPr>
          <w:jc w:val="center"/>
        </w:trPr>
        <w:tc>
          <w:tcPr>
            <w:tcW w:w="1701" w:type="dxa"/>
            <w:vAlign w:val="center"/>
          </w:tcPr>
          <w:p w14:paraId="0F36FDE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Anti_inflammatory</w:t>
            </w:r>
          </w:p>
        </w:tc>
        <w:tc>
          <w:tcPr>
            <w:tcW w:w="7659" w:type="dxa"/>
            <w:vAlign w:val="center"/>
          </w:tcPr>
          <w:p w14:paraId="4BB6C2F5" w14:textId="77777777" w:rsidR="00DE4261" w:rsidRPr="004769B3" w:rsidRDefault="00DE4261" w:rsidP="00363FA1">
            <w:pPr>
              <w:autoSpaceDE w:val="0"/>
              <w:autoSpaceDN w:val="0"/>
              <w:spacing w:line="240" w:lineRule="auto"/>
              <w:jc w:val="center"/>
              <w:rPr>
                <w:color w:val="000000" w:themeColor="text1"/>
                <w:sz w:val="20"/>
                <w:lang w:val="it-IT"/>
              </w:rPr>
            </w:pPr>
            <w:r w:rsidRPr="004769B3">
              <w:rPr>
                <w:color w:val="000000" w:themeColor="text1"/>
                <w:sz w:val="20"/>
                <w:lang w:val="it-IT"/>
              </w:rPr>
              <w:t>IL1RN, IL10, IL4, IL11, IL13, TGFB1, TNFRSF1A, TNFRSF1B, IL1R2, IL18BP</w:t>
            </w:r>
          </w:p>
        </w:tc>
      </w:tr>
      <w:tr w:rsidR="00DE4261" w:rsidRPr="004769B3" w14:paraId="5B0C9C20" w14:textId="77777777" w:rsidTr="00363FA1">
        <w:trPr>
          <w:jc w:val="center"/>
        </w:trPr>
        <w:tc>
          <w:tcPr>
            <w:tcW w:w="1701" w:type="dxa"/>
            <w:vAlign w:val="center"/>
          </w:tcPr>
          <w:p w14:paraId="76B9A17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Pro_inflammatory</w:t>
            </w:r>
          </w:p>
        </w:tc>
        <w:tc>
          <w:tcPr>
            <w:tcW w:w="7659" w:type="dxa"/>
            <w:vAlign w:val="center"/>
          </w:tcPr>
          <w:p w14:paraId="4A73E45D" w14:textId="77777777" w:rsidR="00DE4261" w:rsidRPr="004769B3" w:rsidRDefault="00DE4261" w:rsidP="00363FA1">
            <w:pPr>
              <w:autoSpaceDE w:val="0"/>
              <w:autoSpaceDN w:val="0"/>
              <w:spacing w:line="240" w:lineRule="auto"/>
              <w:jc w:val="center"/>
              <w:rPr>
                <w:color w:val="000000" w:themeColor="text1"/>
                <w:sz w:val="20"/>
                <w:lang w:val="it-IT"/>
              </w:rPr>
            </w:pPr>
            <w:r w:rsidRPr="004769B3">
              <w:rPr>
                <w:color w:val="000000" w:themeColor="text1"/>
                <w:sz w:val="20"/>
                <w:lang w:val="it-IT"/>
              </w:rPr>
              <w:t>IL1B, TNF, CCL2, CCL3, CCL5, CCL7, CCL8, CCL13, CCL17, CCL22</w:t>
            </w:r>
          </w:p>
        </w:tc>
      </w:tr>
    </w:tbl>
    <w:p w14:paraId="0DCE5763" w14:textId="77777777" w:rsidR="00DE4261" w:rsidRPr="004769B3" w:rsidRDefault="00DE4261" w:rsidP="00DE4261">
      <w:pPr>
        <w:pStyle w:val="TSP43tablefooter"/>
        <w:rPr>
          <w:rFonts w:eastAsia="宋体"/>
        </w:rPr>
      </w:pPr>
      <w:r w:rsidRPr="004769B3">
        <w:t xml:space="preserve">Note: </w:t>
      </w:r>
      <w:r w:rsidRPr="004769B3">
        <w:rPr>
          <w:rFonts w:eastAsia="宋体"/>
        </w:rPr>
        <w:t>Gene sets were compiled based on established macrophage polarization and inflammatory signatures reported in previous studies [</w:t>
      </w:r>
      <w:r w:rsidRPr="004769B3">
        <w:rPr>
          <w:rFonts w:eastAsia="宋体"/>
          <w:lang w:eastAsia="zh-CN"/>
        </w:rPr>
        <w:t>43</w:t>
      </w:r>
      <w:r w:rsidRPr="004769B3">
        <w:rPr>
          <w:rFonts w:eastAsia="宋体"/>
        </w:rPr>
        <w:t>,</w:t>
      </w:r>
      <w:r w:rsidRPr="004769B3">
        <w:rPr>
          <w:rFonts w:eastAsia="宋体"/>
          <w:lang w:eastAsia="zh-CN"/>
        </w:rPr>
        <w:t>44</w:t>
      </w:r>
      <w:r w:rsidRPr="004769B3">
        <w:rPr>
          <w:rFonts w:eastAsia="宋体"/>
        </w:rPr>
        <w:t>]. Abbreviations: M1, M1-like/pro-inflammatory macrophage phenotype; M2, M2-like/immunoregulatory macrophage phenotype.</w:t>
      </w:r>
    </w:p>
    <w:p w14:paraId="3FFB29B0" w14:textId="7C556DBB" w:rsidR="00DE4261" w:rsidRPr="004769B3" w:rsidRDefault="00DE4261" w:rsidP="00DE4261">
      <w:pPr>
        <w:pStyle w:val="TSP41tablecaption"/>
        <w:jc w:val="center"/>
        <w:rPr>
          <w:rFonts w:eastAsia="宋体"/>
        </w:rPr>
      </w:pPr>
      <w:r w:rsidRPr="004769B3">
        <w:rPr>
          <w:b/>
        </w:rPr>
        <w:t xml:space="preserve">Table </w:t>
      </w:r>
      <w:r>
        <w:rPr>
          <w:rFonts w:eastAsiaTheme="minorEastAsia" w:hint="eastAsia"/>
          <w:b/>
          <w:lang w:eastAsia="zh-CN"/>
        </w:rPr>
        <w:t>S</w:t>
      </w:r>
      <w:r w:rsidRPr="004769B3">
        <w:rPr>
          <w:b/>
        </w:rPr>
        <w:t>5:</w:t>
      </w:r>
      <w:r w:rsidRPr="004769B3">
        <w:t xml:space="preserve"> </w:t>
      </w:r>
      <w:r w:rsidRPr="004769B3">
        <w:rPr>
          <w:rFonts w:eastAsia="宋体"/>
        </w:rPr>
        <w:t>Chemotherapeutic agents and inhibitors</w:t>
      </w:r>
      <w:r w:rsidRPr="004769B3">
        <w:t>.</w:t>
      </w:r>
    </w:p>
    <w:tbl>
      <w:tblPr>
        <w:tblW w:w="9360" w:type="dxa"/>
        <w:jc w:val="center"/>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993"/>
        <w:gridCol w:w="4110"/>
        <w:gridCol w:w="2127"/>
        <w:gridCol w:w="2130"/>
      </w:tblGrid>
      <w:tr w:rsidR="00DE4261" w:rsidRPr="004769B3" w14:paraId="4963F912" w14:textId="77777777" w:rsidTr="00363FA1">
        <w:trPr>
          <w:jc w:val="center"/>
        </w:trPr>
        <w:tc>
          <w:tcPr>
            <w:tcW w:w="993" w:type="dxa"/>
            <w:tcBorders>
              <w:top w:val="single" w:sz="8" w:space="0" w:color="auto"/>
              <w:bottom w:val="single" w:sz="4" w:space="0" w:color="auto"/>
            </w:tcBorders>
            <w:vAlign w:val="center"/>
          </w:tcPr>
          <w:p w14:paraId="217B0BAC" w14:textId="77777777" w:rsidR="00DE4261" w:rsidRPr="004769B3" w:rsidRDefault="00DE4261" w:rsidP="00363FA1">
            <w:pPr>
              <w:autoSpaceDE w:val="0"/>
              <w:autoSpaceDN w:val="0"/>
              <w:spacing w:line="240" w:lineRule="auto"/>
              <w:jc w:val="left"/>
              <w:rPr>
                <w:b/>
                <w:bCs/>
                <w:color w:val="000000" w:themeColor="text1"/>
                <w:sz w:val="20"/>
              </w:rPr>
            </w:pPr>
            <w:r w:rsidRPr="004769B3">
              <w:rPr>
                <w:b/>
                <w:bCs/>
                <w:color w:val="000000" w:themeColor="text1"/>
                <w:sz w:val="20"/>
              </w:rPr>
              <w:t>Reagent</w:t>
            </w:r>
          </w:p>
        </w:tc>
        <w:tc>
          <w:tcPr>
            <w:tcW w:w="4110" w:type="dxa"/>
            <w:tcBorders>
              <w:top w:val="single" w:sz="8" w:space="0" w:color="auto"/>
              <w:bottom w:val="single" w:sz="4" w:space="0" w:color="auto"/>
            </w:tcBorders>
            <w:vAlign w:val="center"/>
          </w:tcPr>
          <w:p w14:paraId="087B8AF2" w14:textId="77777777" w:rsidR="00DE4261" w:rsidRPr="004769B3" w:rsidRDefault="00DE4261" w:rsidP="00363FA1">
            <w:pPr>
              <w:autoSpaceDE w:val="0"/>
              <w:autoSpaceDN w:val="0"/>
              <w:spacing w:line="240" w:lineRule="auto"/>
              <w:jc w:val="left"/>
              <w:rPr>
                <w:b/>
                <w:bCs/>
                <w:color w:val="000000" w:themeColor="text1"/>
                <w:sz w:val="20"/>
              </w:rPr>
            </w:pPr>
            <w:r w:rsidRPr="004769B3">
              <w:rPr>
                <w:b/>
                <w:bCs/>
                <w:color w:val="000000" w:themeColor="text1"/>
                <w:sz w:val="20"/>
              </w:rPr>
              <w:t>Source</w:t>
            </w:r>
          </w:p>
        </w:tc>
        <w:tc>
          <w:tcPr>
            <w:tcW w:w="2127" w:type="dxa"/>
            <w:tcBorders>
              <w:top w:val="single" w:sz="8" w:space="0" w:color="auto"/>
              <w:bottom w:val="single" w:sz="4" w:space="0" w:color="auto"/>
            </w:tcBorders>
            <w:vAlign w:val="center"/>
          </w:tcPr>
          <w:p w14:paraId="068E2801" w14:textId="77777777" w:rsidR="00DE4261" w:rsidRPr="004769B3" w:rsidRDefault="00DE4261" w:rsidP="00363FA1">
            <w:pPr>
              <w:autoSpaceDE w:val="0"/>
              <w:autoSpaceDN w:val="0"/>
              <w:spacing w:line="240" w:lineRule="auto"/>
              <w:jc w:val="left"/>
              <w:rPr>
                <w:b/>
                <w:bCs/>
                <w:color w:val="000000" w:themeColor="text1"/>
                <w:sz w:val="20"/>
              </w:rPr>
            </w:pPr>
            <w:r w:rsidRPr="004769B3">
              <w:rPr>
                <w:b/>
                <w:bCs/>
                <w:color w:val="000000" w:themeColor="text1"/>
                <w:sz w:val="20"/>
              </w:rPr>
              <w:t>Cat No./Approval No.</w:t>
            </w:r>
          </w:p>
        </w:tc>
        <w:tc>
          <w:tcPr>
            <w:tcW w:w="2130" w:type="dxa"/>
            <w:tcBorders>
              <w:top w:val="single" w:sz="8" w:space="0" w:color="auto"/>
              <w:bottom w:val="single" w:sz="4" w:space="0" w:color="auto"/>
            </w:tcBorders>
            <w:vAlign w:val="center"/>
          </w:tcPr>
          <w:p w14:paraId="16A169C9" w14:textId="77777777" w:rsidR="00DE4261" w:rsidRPr="004769B3" w:rsidRDefault="00DE4261" w:rsidP="00363FA1">
            <w:pPr>
              <w:autoSpaceDE w:val="0"/>
              <w:autoSpaceDN w:val="0"/>
              <w:spacing w:line="240" w:lineRule="auto"/>
              <w:jc w:val="left"/>
              <w:rPr>
                <w:b/>
                <w:bCs/>
                <w:color w:val="000000" w:themeColor="text1"/>
                <w:sz w:val="20"/>
              </w:rPr>
            </w:pPr>
            <w:r w:rsidRPr="004769B3">
              <w:rPr>
                <w:b/>
                <w:bCs/>
                <w:color w:val="000000" w:themeColor="text1"/>
                <w:sz w:val="20"/>
              </w:rPr>
              <w:t>Usage</w:t>
            </w:r>
          </w:p>
        </w:tc>
      </w:tr>
      <w:tr w:rsidR="00DE4261" w:rsidRPr="004769B3" w14:paraId="2061B67D" w14:textId="77777777" w:rsidTr="00363FA1">
        <w:trPr>
          <w:jc w:val="center"/>
        </w:trPr>
        <w:tc>
          <w:tcPr>
            <w:tcW w:w="993" w:type="dxa"/>
            <w:tcBorders>
              <w:top w:val="single" w:sz="4" w:space="0" w:color="auto"/>
            </w:tcBorders>
            <w:vAlign w:val="center"/>
          </w:tcPr>
          <w:p w14:paraId="1B56F218"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Pifithrin-α</w:t>
            </w:r>
          </w:p>
        </w:tc>
        <w:tc>
          <w:tcPr>
            <w:tcW w:w="4110" w:type="dxa"/>
            <w:tcBorders>
              <w:top w:val="single" w:sz="4" w:space="0" w:color="auto"/>
            </w:tcBorders>
            <w:vAlign w:val="center"/>
          </w:tcPr>
          <w:p w14:paraId="7192524A"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Beyotime Biotechnology, Shanghai, China</w:t>
            </w:r>
          </w:p>
        </w:tc>
        <w:tc>
          <w:tcPr>
            <w:tcW w:w="2127" w:type="dxa"/>
            <w:tcBorders>
              <w:top w:val="single" w:sz="4" w:space="0" w:color="auto"/>
            </w:tcBorders>
            <w:vAlign w:val="center"/>
          </w:tcPr>
          <w:p w14:paraId="156BDD57"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S1816-5 mg</w:t>
            </w:r>
          </w:p>
        </w:tc>
        <w:tc>
          <w:tcPr>
            <w:tcW w:w="2130" w:type="dxa"/>
            <w:tcBorders>
              <w:top w:val="single" w:sz="4" w:space="0" w:color="auto"/>
            </w:tcBorders>
            <w:vAlign w:val="center"/>
          </w:tcPr>
          <w:p w14:paraId="66172134"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20 μM</w:t>
            </w:r>
          </w:p>
        </w:tc>
      </w:tr>
      <w:tr w:rsidR="00DE4261" w:rsidRPr="004769B3" w14:paraId="49474815" w14:textId="77777777" w:rsidTr="00363FA1">
        <w:trPr>
          <w:jc w:val="center"/>
        </w:trPr>
        <w:tc>
          <w:tcPr>
            <w:tcW w:w="993" w:type="dxa"/>
            <w:vAlign w:val="center"/>
          </w:tcPr>
          <w:p w14:paraId="5FA290C8"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KU-55933</w:t>
            </w:r>
          </w:p>
        </w:tc>
        <w:tc>
          <w:tcPr>
            <w:tcW w:w="4110" w:type="dxa"/>
            <w:vAlign w:val="center"/>
          </w:tcPr>
          <w:p w14:paraId="7A992B69"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Beyotime Biotechnology, Shanghai, China</w:t>
            </w:r>
          </w:p>
        </w:tc>
        <w:tc>
          <w:tcPr>
            <w:tcW w:w="2127" w:type="dxa"/>
            <w:vAlign w:val="center"/>
          </w:tcPr>
          <w:p w14:paraId="6123446B"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SC9136-10 mM</w:t>
            </w:r>
          </w:p>
        </w:tc>
        <w:tc>
          <w:tcPr>
            <w:tcW w:w="2130" w:type="dxa"/>
            <w:vAlign w:val="center"/>
          </w:tcPr>
          <w:p w14:paraId="21049EA8"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20 μM</w:t>
            </w:r>
          </w:p>
        </w:tc>
      </w:tr>
      <w:tr w:rsidR="00DE4261" w:rsidRPr="004769B3" w14:paraId="6ADF3064" w14:textId="77777777" w:rsidTr="00363FA1">
        <w:trPr>
          <w:jc w:val="center"/>
        </w:trPr>
        <w:tc>
          <w:tcPr>
            <w:tcW w:w="993" w:type="dxa"/>
            <w:vAlign w:val="center"/>
          </w:tcPr>
          <w:p w14:paraId="4EA5182F"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H-151</w:t>
            </w:r>
          </w:p>
        </w:tc>
        <w:tc>
          <w:tcPr>
            <w:tcW w:w="4110" w:type="dxa"/>
            <w:vAlign w:val="center"/>
          </w:tcPr>
          <w:p w14:paraId="2E9D92A6"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MedChemExpress, Monmouth Junction, NJ, USA</w:t>
            </w:r>
          </w:p>
        </w:tc>
        <w:tc>
          <w:tcPr>
            <w:tcW w:w="2127" w:type="dxa"/>
            <w:vAlign w:val="center"/>
          </w:tcPr>
          <w:p w14:paraId="6E0FC065" w14:textId="77777777" w:rsidR="00DE4261" w:rsidRPr="004769B3" w:rsidRDefault="00DE4261" w:rsidP="00363FA1">
            <w:pPr>
              <w:autoSpaceDE w:val="0"/>
              <w:autoSpaceDN w:val="0"/>
              <w:spacing w:line="240" w:lineRule="auto"/>
              <w:jc w:val="left"/>
              <w:rPr>
                <w:color w:val="000000" w:themeColor="text1"/>
                <w:sz w:val="20"/>
              </w:rPr>
            </w:pPr>
            <w:r w:rsidRPr="004769B3">
              <w:rPr>
                <w:sz w:val="20"/>
              </w:rPr>
              <w:t>HY-112693</w:t>
            </w:r>
          </w:p>
        </w:tc>
        <w:tc>
          <w:tcPr>
            <w:tcW w:w="2130" w:type="dxa"/>
            <w:vAlign w:val="center"/>
          </w:tcPr>
          <w:p w14:paraId="6D54D794"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500 nM</w:t>
            </w:r>
          </w:p>
        </w:tc>
      </w:tr>
      <w:tr w:rsidR="00DE4261" w:rsidRPr="004769B3" w14:paraId="1F2010DC" w14:textId="77777777" w:rsidTr="00363FA1">
        <w:trPr>
          <w:jc w:val="center"/>
        </w:trPr>
        <w:tc>
          <w:tcPr>
            <w:tcW w:w="993" w:type="dxa"/>
            <w:vAlign w:val="center"/>
          </w:tcPr>
          <w:p w14:paraId="0F504E43"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GSK8612</w:t>
            </w:r>
          </w:p>
        </w:tc>
        <w:tc>
          <w:tcPr>
            <w:tcW w:w="4110" w:type="dxa"/>
            <w:vAlign w:val="center"/>
          </w:tcPr>
          <w:p w14:paraId="16D72367"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MedChemExpress, Monmouth Junction, NJ, USA</w:t>
            </w:r>
          </w:p>
        </w:tc>
        <w:tc>
          <w:tcPr>
            <w:tcW w:w="2127" w:type="dxa"/>
            <w:vAlign w:val="center"/>
          </w:tcPr>
          <w:p w14:paraId="5675EFB2" w14:textId="77777777" w:rsidR="00DE4261" w:rsidRPr="004769B3" w:rsidRDefault="00DE4261" w:rsidP="00363FA1">
            <w:pPr>
              <w:autoSpaceDE w:val="0"/>
              <w:autoSpaceDN w:val="0"/>
              <w:spacing w:line="240" w:lineRule="auto"/>
              <w:jc w:val="left"/>
              <w:rPr>
                <w:color w:val="000000" w:themeColor="text1"/>
                <w:sz w:val="20"/>
              </w:rPr>
            </w:pPr>
            <w:r w:rsidRPr="004769B3">
              <w:rPr>
                <w:sz w:val="20"/>
              </w:rPr>
              <w:t>HY-111941</w:t>
            </w:r>
          </w:p>
        </w:tc>
        <w:tc>
          <w:tcPr>
            <w:tcW w:w="2130" w:type="dxa"/>
            <w:vAlign w:val="center"/>
          </w:tcPr>
          <w:p w14:paraId="0579723C"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500 nM</w:t>
            </w:r>
          </w:p>
        </w:tc>
      </w:tr>
      <w:tr w:rsidR="00DE4261" w:rsidRPr="004769B3" w14:paraId="422A48D0" w14:textId="77777777" w:rsidTr="00363FA1">
        <w:trPr>
          <w:jc w:val="center"/>
        </w:trPr>
        <w:tc>
          <w:tcPr>
            <w:tcW w:w="993" w:type="dxa"/>
            <w:vAlign w:val="center"/>
          </w:tcPr>
          <w:p w14:paraId="2C339014"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G140</w:t>
            </w:r>
          </w:p>
        </w:tc>
        <w:tc>
          <w:tcPr>
            <w:tcW w:w="4110" w:type="dxa"/>
            <w:vAlign w:val="center"/>
          </w:tcPr>
          <w:p w14:paraId="512B2608"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MedChemExpress, Monmouth Junction, NJ, USA</w:t>
            </w:r>
          </w:p>
        </w:tc>
        <w:tc>
          <w:tcPr>
            <w:tcW w:w="2127" w:type="dxa"/>
            <w:vAlign w:val="center"/>
          </w:tcPr>
          <w:p w14:paraId="7F5EE7C7" w14:textId="77777777" w:rsidR="00DE4261" w:rsidRPr="004769B3" w:rsidRDefault="00DE4261" w:rsidP="00363FA1">
            <w:pPr>
              <w:autoSpaceDE w:val="0"/>
              <w:autoSpaceDN w:val="0"/>
              <w:spacing w:line="240" w:lineRule="auto"/>
              <w:jc w:val="left"/>
              <w:rPr>
                <w:color w:val="000000" w:themeColor="text1"/>
                <w:sz w:val="20"/>
              </w:rPr>
            </w:pPr>
            <w:r w:rsidRPr="004769B3">
              <w:rPr>
                <w:sz w:val="20"/>
              </w:rPr>
              <w:t>HY-133916</w:t>
            </w:r>
          </w:p>
        </w:tc>
        <w:tc>
          <w:tcPr>
            <w:tcW w:w="2130" w:type="dxa"/>
            <w:vAlign w:val="center"/>
          </w:tcPr>
          <w:p w14:paraId="76EECC8E"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2 μM</w:t>
            </w:r>
          </w:p>
        </w:tc>
      </w:tr>
      <w:tr w:rsidR="00DE4261" w:rsidRPr="004769B3" w14:paraId="708E43D7" w14:textId="77777777" w:rsidTr="00363FA1">
        <w:trPr>
          <w:jc w:val="center"/>
        </w:trPr>
        <w:tc>
          <w:tcPr>
            <w:tcW w:w="993" w:type="dxa"/>
            <w:vAlign w:val="center"/>
          </w:tcPr>
          <w:p w14:paraId="6B383CAF"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L-DOX</w:t>
            </w:r>
          </w:p>
        </w:tc>
        <w:tc>
          <w:tcPr>
            <w:tcW w:w="4110" w:type="dxa"/>
            <w:vAlign w:val="center"/>
          </w:tcPr>
          <w:p w14:paraId="677CFFB5"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Changzhou Jinyuan Pharmaceutical Manufacturing Co., Ltd., Changzhou, Jiangsu, China</w:t>
            </w:r>
          </w:p>
        </w:tc>
        <w:tc>
          <w:tcPr>
            <w:tcW w:w="2127" w:type="dxa"/>
            <w:vAlign w:val="center"/>
          </w:tcPr>
          <w:p w14:paraId="416A9F97"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NMPA approval No. H20123273</w:t>
            </w:r>
          </w:p>
        </w:tc>
        <w:tc>
          <w:tcPr>
            <w:tcW w:w="2130" w:type="dxa"/>
            <w:vAlign w:val="center"/>
          </w:tcPr>
          <w:p w14:paraId="32793FB8"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 xml:space="preserve">1 μM for </w:t>
            </w:r>
            <w:r w:rsidRPr="004769B3">
              <w:rPr>
                <w:i/>
                <w:iCs/>
                <w:color w:val="000000" w:themeColor="text1"/>
                <w:sz w:val="20"/>
              </w:rPr>
              <w:t>in vitro</w:t>
            </w:r>
            <w:r w:rsidRPr="004769B3">
              <w:rPr>
                <w:color w:val="000000" w:themeColor="text1"/>
                <w:sz w:val="20"/>
              </w:rPr>
              <w:t xml:space="preserve"> macrophage experiments; 5 mg/kg weekly for </w:t>
            </w:r>
            <w:r w:rsidRPr="004769B3">
              <w:rPr>
                <w:i/>
                <w:iCs/>
                <w:color w:val="000000" w:themeColor="text1"/>
                <w:sz w:val="20"/>
              </w:rPr>
              <w:t>in vivo</w:t>
            </w:r>
            <w:r w:rsidRPr="004769B3">
              <w:rPr>
                <w:color w:val="000000" w:themeColor="text1"/>
                <w:sz w:val="20"/>
              </w:rPr>
              <w:t xml:space="preserve"> treatment</w:t>
            </w:r>
          </w:p>
        </w:tc>
      </w:tr>
      <w:tr w:rsidR="00DE4261" w:rsidRPr="004769B3" w14:paraId="7C74F2CC" w14:textId="77777777" w:rsidTr="00363FA1">
        <w:trPr>
          <w:jc w:val="center"/>
        </w:trPr>
        <w:tc>
          <w:tcPr>
            <w:tcW w:w="993" w:type="dxa"/>
            <w:vAlign w:val="center"/>
          </w:tcPr>
          <w:p w14:paraId="1CCD92AF"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DOX</w:t>
            </w:r>
          </w:p>
        </w:tc>
        <w:tc>
          <w:tcPr>
            <w:tcW w:w="4110" w:type="dxa"/>
            <w:vAlign w:val="center"/>
          </w:tcPr>
          <w:p w14:paraId="1580F58E"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Shanxi Pude Pharmaceutical Co., Ltd., Datong, Shanxi, China</w:t>
            </w:r>
          </w:p>
        </w:tc>
        <w:tc>
          <w:tcPr>
            <w:tcW w:w="2127" w:type="dxa"/>
            <w:vAlign w:val="center"/>
          </w:tcPr>
          <w:p w14:paraId="0F5901FC"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NMPA approval No. H14023879</w:t>
            </w:r>
          </w:p>
        </w:tc>
        <w:tc>
          <w:tcPr>
            <w:tcW w:w="2130" w:type="dxa"/>
            <w:vAlign w:val="center"/>
          </w:tcPr>
          <w:p w14:paraId="64ADD944"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1 μM</w:t>
            </w:r>
          </w:p>
        </w:tc>
      </w:tr>
      <w:tr w:rsidR="00DE4261" w:rsidRPr="004769B3" w14:paraId="572877D8" w14:textId="77777777" w:rsidTr="00363FA1">
        <w:trPr>
          <w:jc w:val="center"/>
        </w:trPr>
        <w:tc>
          <w:tcPr>
            <w:tcW w:w="993" w:type="dxa"/>
            <w:vAlign w:val="center"/>
          </w:tcPr>
          <w:p w14:paraId="2D9367EF"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PTX</w:t>
            </w:r>
          </w:p>
        </w:tc>
        <w:tc>
          <w:tcPr>
            <w:tcW w:w="4110" w:type="dxa"/>
            <w:vAlign w:val="center"/>
          </w:tcPr>
          <w:p w14:paraId="0B06FDFD"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Pfizer Australia Pty Ltd., Sydney, NSW, Australia; manufactured by Hospira Australia Pty Ltd., Mulgrave, VIC, Australia</w:t>
            </w:r>
          </w:p>
        </w:tc>
        <w:tc>
          <w:tcPr>
            <w:tcW w:w="2127" w:type="dxa"/>
            <w:vAlign w:val="center"/>
          </w:tcPr>
          <w:p w14:paraId="264A954C"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NMPA approval Nos. HJ20150350/HJ20150351</w:t>
            </w:r>
          </w:p>
        </w:tc>
        <w:tc>
          <w:tcPr>
            <w:tcW w:w="2130" w:type="dxa"/>
            <w:vAlign w:val="center"/>
          </w:tcPr>
          <w:p w14:paraId="164E5BE7"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1 μM</w:t>
            </w:r>
          </w:p>
        </w:tc>
      </w:tr>
      <w:tr w:rsidR="00DE4261" w:rsidRPr="004769B3" w14:paraId="63352C39" w14:textId="77777777" w:rsidTr="00363FA1">
        <w:trPr>
          <w:jc w:val="center"/>
        </w:trPr>
        <w:tc>
          <w:tcPr>
            <w:tcW w:w="993" w:type="dxa"/>
            <w:vAlign w:val="center"/>
          </w:tcPr>
          <w:p w14:paraId="468A8BE2"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DTX</w:t>
            </w:r>
          </w:p>
        </w:tc>
        <w:tc>
          <w:tcPr>
            <w:tcW w:w="4110" w:type="dxa"/>
            <w:vAlign w:val="center"/>
          </w:tcPr>
          <w:p w14:paraId="4C2544F4"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Jiangsu Hengrui Pharmaceuticals Co., Ltd., Lianyungang, Jiangsu, China</w:t>
            </w:r>
          </w:p>
        </w:tc>
        <w:tc>
          <w:tcPr>
            <w:tcW w:w="2127" w:type="dxa"/>
            <w:vAlign w:val="center"/>
          </w:tcPr>
          <w:p w14:paraId="4CD3150A"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NMPA approval No. H20020543</w:t>
            </w:r>
          </w:p>
        </w:tc>
        <w:tc>
          <w:tcPr>
            <w:tcW w:w="2130" w:type="dxa"/>
            <w:vAlign w:val="center"/>
          </w:tcPr>
          <w:p w14:paraId="58DAF6A6"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1 μM</w:t>
            </w:r>
          </w:p>
        </w:tc>
      </w:tr>
      <w:tr w:rsidR="00DE4261" w:rsidRPr="004769B3" w14:paraId="4C72862F" w14:textId="77777777" w:rsidTr="00363FA1">
        <w:trPr>
          <w:jc w:val="center"/>
        </w:trPr>
        <w:tc>
          <w:tcPr>
            <w:tcW w:w="993" w:type="dxa"/>
            <w:vAlign w:val="center"/>
          </w:tcPr>
          <w:p w14:paraId="09EE7275"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Nab-PTX</w:t>
            </w:r>
          </w:p>
        </w:tc>
        <w:tc>
          <w:tcPr>
            <w:tcW w:w="4110" w:type="dxa"/>
            <w:vAlign w:val="center"/>
          </w:tcPr>
          <w:p w14:paraId="1BA9ADA0"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CSPC Ouyi Pharmaceutical Co., Ltd., Shijiazhuang, Hebei, China</w:t>
            </w:r>
          </w:p>
        </w:tc>
        <w:tc>
          <w:tcPr>
            <w:tcW w:w="2127" w:type="dxa"/>
            <w:vAlign w:val="center"/>
          </w:tcPr>
          <w:p w14:paraId="577692AA"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NMPA approval No. H20183044</w:t>
            </w:r>
          </w:p>
        </w:tc>
        <w:tc>
          <w:tcPr>
            <w:tcW w:w="2130" w:type="dxa"/>
            <w:vAlign w:val="center"/>
          </w:tcPr>
          <w:p w14:paraId="7AE55ECB"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1 μM</w:t>
            </w:r>
          </w:p>
        </w:tc>
      </w:tr>
      <w:tr w:rsidR="00DE4261" w:rsidRPr="004769B3" w14:paraId="53530D44" w14:textId="77777777" w:rsidTr="00363FA1">
        <w:trPr>
          <w:jc w:val="center"/>
        </w:trPr>
        <w:tc>
          <w:tcPr>
            <w:tcW w:w="993" w:type="dxa"/>
            <w:tcBorders>
              <w:bottom w:val="single" w:sz="8" w:space="0" w:color="auto"/>
            </w:tcBorders>
            <w:vAlign w:val="center"/>
          </w:tcPr>
          <w:p w14:paraId="60929D67"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L-PTX</w:t>
            </w:r>
          </w:p>
        </w:tc>
        <w:tc>
          <w:tcPr>
            <w:tcW w:w="4110" w:type="dxa"/>
            <w:tcBorders>
              <w:bottom w:val="single" w:sz="8" w:space="0" w:color="auto"/>
            </w:tcBorders>
            <w:vAlign w:val="center"/>
          </w:tcPr>
          <w:p w14:paraId="73AD5A92"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Nanjing Luye Pharmaceutical Co., Ltd., Nanjing, Jiangsu, China</w:t>
            </w:r>
          </w:p>
        </w:tc>
        <w:tc>
          <w:tcPr>
            <w:tcW w:w="2127" w:type="dxa"/>
            <w:tcBorders>
              <w:bottom w:val="single" w:sz="8" w:space="0" w:color="auto"/>
            </w:tcBorders>
            <w:vAlign w:val="center"/>
          </w:tcPr>
          <w:p w14:paraId="5C78914B"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NMPA approval No. H20030357</w:t>
            </w:r>
          </w:p>
        </w:tc>
        <w:tc>
          <w:tcPr>
            <w:tcW w:w="2130" w:type="dxa"/>
            <w:tcBorders>
              <w:bottom w:val="single" w:sz="8" w:space="0" w:color="auto"/>
            </w:tcBorders>
            <w:vAlign w:val="center"/>
          </w:tcPr>
          <w:p w14:paraId="186AC6A3" w14:textId="77777777" w:rsidR="00DE4261" w:rsidRPr="004769B3" w:rsidRDefault="00DE4261" w:rsidP="00363FA1">
            <w:pPr>
              <w:autoSpaceDE w:val="0"/>
              <w:autoSpaceDN w:val="0"/>
              <w:spacing w:line="240" w:lineRule="auto"/>
              <w:jc w:val="left"/>
              <w:rPr>
                <w:color w:val="000000" w:themeColor="text1"/>
                <w:sz w:val="20"/>
              </w:rPr>
            </w:pPr>
            <w:r w:rsidRPr="004769B3">
              <w:rPr>
                <w:color w:val="000000" w:themeColor="text1"/>
                <w:sz w:val="20"/>
              </w:rPr>
              <w:t>1 μM</w:t>
            </w:r>
          </w:p>
        </w:tc>
      </w:tr>
    </w:tbl>
    <w:p w14:paraId="3430D06E" w14:textId="77777777" w:rsidR="00DE4261" w:rsidRPr="004769B3" w:rsidRDefault="00DE4261" w:rsidP="00DE4261">
      <w:pPr>
        <w:pStyle w:val="TSP43tablefooter"/>
        <w:rPr>
          <w:rFonts w:eastAsia="宋体"/>
        </w:rPr>
      </w:pPr>
      <w:r w:rsidRPr="004769B3">
        <w:t xml:space="preserve">Note: </w:t>
      </w:r>
      <w:r w:rsidRPr="004769B3">
        <w:rPr>
          <w:rFonts w:eastAsia="宋体"/>
        </w:rPr>
        <w:t>Abbreviations: DOX, doxorubicin; DTX, docetaxel; L-DOX, liposomal doxorubicin; L-PTX, liposomal paclitaxel; Nab-PTX, nanoparticle albumin-bound paclitaxel; NMPA, national medical products administration; PTX, paclitaxel.</w:t>
      </w:r>
    </w:p>
    <w:p w14:paraId="4FB8E6EC" w14:textId="1423AAFC" w:rsidR="00DE4261" w:rsidRPr="004769B3" w:rsidRDefault="00DE4261" w:rsidP="00DE4261">
      <w:pPr>
        <w:pStyle w:val="TSP41tablecaption"/>
        <w:jc w:val="center"/>
        <w:rPr>
          <w:rFonts w:eastAsia="宋体"/>
        </w:rPr>
      </w:pPr>
      <w:r w:rsidRPr="004769B3">
        <w:rPr>
          <w:b/>
        </w:rPr>
        <w:t xml:space="preserve">Table </w:t>
      </w:r>
      <w:r>
        <w:rPr>
          <w:rFonts w:eastAsiaTheme="minorEastAsia" w:hint="eastAsia"/>
          <w:b/>
          <w:lang w:eastAsia="zh-CN"/>
        </w:rPr>
        <w:t>S</w:t>
      </w:r>
      <w:r w:rsidRPr="004769B3">
        <w:rPr>
          <w:b/>
        </w:rPr>
        <w:t>6:</w:t>
      </w:r>
      <w:r w:rsidRPr="004769B3">
        <w:t xml:space="preserve"> </w:t>
      </w:r>
      <w:r w:rsidRPr="004769B3">
        <w:rPr>
          <w:rFonts w:eastAsia="宋体"/>
        </w:rPr>
        <w:t>Flow cytometry antibodies and reagents</w:t>
      </w:r>
      <w:r w:rsidRPr="004769B3">
        <w:t>.</w:t>
      </w:r>
    </w:p>
    <w:tbl>
      <w:tblPr>
        <w:tblW w:w="9360" w:type="dxa"/>
        <w:jc w:val="center"/>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1853"/>
        <w:gridCol w:w="3676"/>
        <w:gridCol w:w="1417"/>
        <w:gridCol w:w="1134"/>
        <w:gridCol w:w="1280"/>
      </w:tblGrid>
      <w:tr w:rsidR="00DE4261" w:rsidRPr="004769B3" w14:paraId="25504B95" w14:textId="77777777" w:rsidTr="00363FA1">
        <w:trPr>
          <w:jc w:val="center"/>
        </w:trPr>
        <w:tc>
          <w:tcPr>
            <w:tcW w:w="1853" w:type="dxa"/>
            <w:tcBorders>
              <w:top w:val="single" w:sz="8" w:space="0" w:color="auto"/>
              <w:bottom w:val="single" w:sz="4" w:space="0" w:color="auto"/>
            </w:tcBorders>
            <w:vAlign w:val="center"/>
          </w:tcPr>
          <w:p w14:paraId="037FD935"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Antibodies</w:t>
            </w:r>
          </w:p>
        </w:tc>
        <w:tc>
          <w:tcPr>
            <w:tcW w:w="3676" w:type="dxa"/>
            <w:tcBorders>
              <w:top w:val="single" w:sz="8" w:space="0" w:color="auto"/>
              <w:bottom w:val="single" w:sz="4" w:space="0" w:color="auto"/>
            </w:tcBorders>
            <w:vAlign w:val="center"/>
          </w:tcPr>
          <w:p w14:paraId="5ABC8831"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Source (City, Country)</w:t>
            </w:r>
          </w:p>
        </w:tc>
        <w:tc>
          <w:tcPr>
            <w:tcW w:w="1417" w:type="dxa"/>
            <w:tcBorders>
              <w:top w:val="single" w:sz="8" w:space="0" w:color="auto"/>
              <w:bottom w:val="single" w:sz="4" w:space="0" w:color="auto"/>
            </w:tcBorders>
            <w:vAlign w:val="center"/>
          </w:tcPr>
          <w:p w14:paraId="0DC193A6"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Cat No.</w:t>
            </w:r>
          </w:p>
        </w:tc>
        <w:tc>
          <w:tcPr>
            <w:tcW w:w="1134" w:type="dxa"/>
            <w:tcBorders>
              <w:top w:val="single" w:sz="8" w:space="0" w:color="auto"/>
              <w:bottom w:val="single" w:sz="4" w:space="0" w:color="auto"/>
            </w:tcBorders>
            <w:vAlign w:val="center"/>
          </w:tcPr>
          <w:p w14:paraId="564A0498"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Clone</w:t>
            </w:r>
          </w:p>
        </w:tc>
        <w:tc>
          <w:tcPr>
            <w:tcW w:w="1280" w:type="dxa"/>
            <w:tcBorders>
              <w:top w:val="single" w:sz="8" w:space="0" w:color="auto"/>
              <w:bottom w:val="single" w:sz="4" w:space="0" w:color="auto"/>
            </w:tcBorders>
            <w:vAlign w:val="center"/>
          </w:tcPr>
          <w:p w14:paraId="709F2B62"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Dilution/Concentration</w:t>
            </w:r>
          </w:p>
        </w:tc>
      </w:tr>
      <w:tr w:rsidR="00DE4261" w:rsidRPr="004769B3" w14:paraId="7D3BD3B8" w14:textId="77777777" w:rsidTr="00363FA1">
        <w:trPr>
          <w:jc w:val="center"/>
        </w:trPr>
        <w:tc>
          <w:tcPr>
            <w:tcW w:w="1853" w:type="dxa"/>
            <w:tcBorders>
              <w:top w:val="single" w:sz="4" w:space="0" w:color="auto"/>
            </w:tcBorders>
            <w:vAlign w:val="center"/>
          </w:tcPr>
          <w:p w14:paraId="14706C1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PD-L1</w:t>
            </w:r>
          </w:p>
        </w:tc>
        <w:tc>
          <w:tcPr>
            <w:tcW w:w="3676" w:type="dxa"/>
            <w:tcBorders>
              <w:top w:val="single" w:sz="4" w:space="0" w:color="auto"/>
            </w:tcBorders>
            <w:vAlign w:val="center"/>
          </w:tcPr>
          <w:p w14:paraId="37EEB95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Elabscience, Wuhan, Hubei, China</w:t>
            </w:r>
          </w:p>
        </w:tc>
        <w:tc>
          <w:tcPr>
            <w:tcW w:w="1417" w:type="dxa"/>
            <w:tcBorders>
              <w:top w:val="single" w:sz="4" w:space="0" w:color="auto"/>
            </w:tcBorders>
            <w:vAlign w:val="center"/>
          </w:tcPr>
          <w:p w14:paraId="5C483CE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E-AB-F1132C</w:t>
            </w:r>
          </w:p>
        </w:tc>
        <w:tc>
          <w:tcPr>
            <w:tcW w:w="1134" w:type="dxa"/>
            <w:tcBorders>
              <w:top w:val="single" w:sz="4" w:space="0" w:color="auto"/>
            </w:tcBorders>
            <w:vAlign w:val="center"/>
          </w:tcPr>
          <w:p w14:paraId="5A555A0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10F.9G2</w:t>
            </w:r>
          </w:p>
        </w:tc>
        <w:tc>
          <w:tcPr>
            <w:tcW w:w="1280" w:type="dxa"/>
            <w:tcBorders>
              <w:top w:val="single" w:sz="4" w:space="0" w:color="auto"/>
            </w:tcBorders>
            <w:vAlign w:val="center"/>
          </w:tcPr>
          <w:p w14:paraId="176AF4B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r w:rsidR="00DE4261" w:rsidRPr="004769B3" w14:paraId="08FBD2F6" w14:textId="77777777" w:rsidTr="00363FA1">
        <w:trPr>
          <w:jc w:val="center"/>
        </w:trPr>
        <w:tc>
          <w:tcPr>
            <w:tcW w:w="1853" w:type="dxa"/>
            <w:vAlign w:val="center"/>
          </w:tcPr>
          <w:p w14:paraId="7B362A9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CD16/32</w:t>
            </w:r>
          </w:p>
        </w:tc>
        <w:tc>
          <w:tcPr>
            <w:tcW w:w="3676" w:type="dxa"/>
            <w:vAlign w:val="center"/>
          </w:tcPr>
          <w:p w14:paraId="680D8ABF"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BioLegend, San Diego, CA, USA</w:t>
            </w:r>
          </w:p>
        </w:tc>
        <w:tc>
          <w:tcPr>
            <w:tcW w:w="1417" w:type="dxa"/>
            <w:vAlign w:val="center"/>
          </w:tcPr>
          <w:p w14:paraId="6A90A6C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101301</w:t>
            </w:r>
          </w:p>
        </w:tc>
        <w:tc>
          <w:tcPr>
            <w:tcW w:w="1134" w:type="dxa"/>
            <w:vAlign w:val="center"/>
          </w:tcPr>
          <w:p w14:paraId="4A5A7DD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93</w:t>
            </w:r>
          </w:p>
        </w:tc>
        <w:tc>
          <w:tcPr>
            <w:tcW w:w="1280" w:type="dxa"/>
            <w:vAlign w:val="center"/>
          </w:tcPr>
          <w:p w14:paraId="0C99F29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w:t>
            </w:r>
          </w:p>
        </w:tc>
      </w:tr>
      <w:tr w:rsidR="00DE4261" w:rsidRPr="004769B3" w14:paraId="28437861" w14:textId="77777777" w:rsidTr="00363FA1">
        <w:trPr>
          <w:jc w:val="center"/>
        </w:trPr>
        <w:tc>
          <w:tcPr>
            <w:tcW w:w="1853" w:type="dxa"/>
            <w:vAlign w:val="center"/>
          </w:tcPr>
          <w:p w14:paraId="3FD8EDE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CD3</w:t>
            </w:r>
          </w:p>
        </w:tc>
        <w:tc>
          <w:tcPr>
            <w:tcW w:w="3676" w:type="dxa"/>
            <w:vAlign w:val="center"/>
          </w:tcPr>
          <w:p w14:paraId="002A814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Elabscience, Wuhan, Hubei, China</w:t>
            </w:r>
          </w:p>
        </w:tc>
        <w:tc>
          <w:tcPr>
            <w:tcW w:w="1417" w:type="dxa"/>
            <w:vAlign w:val="center"/>
          </w:tcPr>
          <w:p w14:paraId="79AEE8B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E-AB-F1013D</w:t>
            </w:r>
          </w:p>
        </w:tc>
        <w:tc>
          <w:tcPr>
            <w:tcW w:w="1134" w:type="dxa"/>
            <w:vAlign w:val="center"/>
          </w:tcPr>
          <w:p w14:paraId="4621D553" w14:textId="77777777" w:rsidR="00DE4261" w:rsidRPr="004769B3" w:rsidRDefault="00DE4261" w:rsidP="00363FA1">
            <w:pPr>
              <w:autoSpaceDE w:val="0"/>
              <w:autoSpaceDN w:val="0"/>
              <w:spacing w:line="240" w:lineRule="auto"/>
              <w:jc w:val="center"/>
              <w:rPr>
                <w:color w:val="000000" w:themeColor="text1"/>
                <w:sz w:val="20"/>
              </w:rPr>
            </w:pPr>
            <w:r w:rsidRPr="004769B3">
              <w:rPr>
                <w:sz w:val="20"/>
              </w:rPr>
              <w:t>17A2</w:t>
            </w:r>
          </w:p>
        </w:tc>
        <w:tc>
          <w:tcPr>
            <w:tcW w:w="1280" w:type="dxa"/>
            <w:vAlign w:val="center"/>
          </w:tcPr>
          <w:p w14:paraId="1B019F28" w14:textId="77777777" w:rsidR="00DE4261" w:rsidRPr="004769B3" w:rsidRDefault="00DE4261" w:rsidP="00363FA1">
            <w:pPr>
              <w:autoSpaceDE w:val="0"/>
              <w:autoSpaceDN w:val="0"/>
              <w:spacing w:line="240" w:lineRule="auto"/>
              <w:jc w:val="center"/>
              <w:rPr>
                <w:sz w:val="20"/>
              </w:rPr>
            </w:pPr>
            <w:r w:rsidRPr="004769B3">
              <w:rPr>
                <w:sz w:val="20"/>
              </w:rPr>
              <w:t>1:20</w:t>
            </w:r>
          </w:p>
        </w:tc>
      </w:tr>
      <w:tr w:rsidR="00DE4261" w:rsidRPr="004769B3" w14:paraId="5C742627" w14:textId="77777777" w:rsidTr="00363FA1">
        <w:trPr>
          <w:jc w:val="center"/>
        </w:trPr>
        <w:tc>
          <w:tcPr>
            <w:tcW w:w="1853" w:type="dxa"/>
            <w:vAlign w:val="center"/>
          </w:tcPr>
          <w:p w14:paraId="3F6DF99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lastRenderedPageBreak/>
              <w:t>CD8a</w:t>
            </w:r>
          </w:p>
        </w:tc>
        <w:tc>
          <w:tcPr>
            <w:tcW w:w="3676" w:type="dxa"/>
            <w:vAlign w:val="center"/>
          </w:tcPr>
          <w:p w14:paraId="790C828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BD Biosciences, Franklin Lakes, NJ, USA</w:t>
            </w:r>
          </w:p>
        </w:tc>
        <w:tc>
          <w:tcPr>
            <w:tcW w:w="1417" w:type="dxa"/>
            <w:vAlign w:val="center"/>
          </w:tcPr>
          <w:p w14:paraId="6FF82DC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562283</w:t>
            </w:r>
          </w:p>
        </w:tc>
        <w:tc>
          <w:tcPr>
            <w:tcW w:w="1134" w:type="dxa"/>
            <w:vAlign w:val="center"/>
          </w:tcPr>
          <w:p w14:paraId="1F007F0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53-6.7</w:t>
            </w:r>
          </w:p>
        </w:tc>
        <w:tc>
          <w:tcPr>
            <w:tcW w:w="1280" w:type="dxa"/>
            <w:vAlign w:val="center"/>
          </w:tcPr>
          <w:p w14:paraId="7115629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w:t>
            </w:r>
          </w:p>
        </w:tc>
      </w:tr>
      <w:tr w:rsidR="00DE4261" w:rsidRPr="004769B3" w14:paraId="28EF3219" w14:textId="77777777" w:rsidTr="00363FA1">
        <w:trPr>
          <w:jc w:val="center"/>
        </w:trPr>
        <w:tc>
          <w:tcPr>
            <w:tcW w:w="1853" w:type="dxa"/>
            <w:vAlign w:val="center"/>
          </w:tcPr>
          <w:p w14:paraId="6EE8843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CD25</w:t>
            </w:r>
          </w:p>
        </w:tc>
        <w:tc>
          <w:tcPr>
            <w:tcW w:w="3676" w:type="dxa"/>
            <w:vAlign w:val="center"/>
          </w:tcPr>
          <w:p w14:paraId="6924972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Proteintech Group, Wuhan, Hubei, China</w:t>
            </w:r>
          </w:p>
        </w:tc>
        <w:tc>
          <w:tcPr>
            <w:tcW w:w="1417" w:type="dxa"/>
            <w:vAlign w:val="center"/>
          </w:tcPr>
          <w:p w14:paraId="3BC7B27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FITC-65137</w:t>
            </w:r>
          </w:p>
        </w:tc>
        <w:tc>
          <w:tcPr>
            <w:tcW w:w="1134" w:type="dxa"/>
            <w:vAlign w:val="center"/>
          </w:tcPr>
          <w:p w14:paraId="771696B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PC61.5</w:t>
            </w:r>
          </w:p>
        </w:tc>
        <w:tc>
          <w:tcPr>
            <w:tcW w:w="1280" w:type="dxa"/>
            <w:vAlign w:val="center"/>
          </w:tcPr>
          <w:p w14:paraId="38A18EC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w:t>
            </w:r>
          </w:p>
        </w:tc>
      </w:tr>
      <w:tr w:rsidR="00DE4261" w:rsidRPr="004769B3" w14:paraId="12D0369C" w14:textId="77777777" w:rsidTr="00363FA1">
        <w:trPr>
          <w:jc w:val="center"/>
        </w:trPr>
        <w:tc>
          <w:tcPr>
            <w:tcW w:w="1853" w:type="dxa"/>
            <w:vAlign w:val="center"/>
          </w:tcPr>
          <w:p w14:paraId="7B61BFB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CD69</w:t>
            </w:r>
          </w:p>
        </w:tc>
        <w:tc>
          <w:tcPr>
            <w:tcW w:w="3676" w:type="dxa"/>
            <w:vAlign w:val="center"/>
          </w:tcPr>
          <w:p w14:paraId="70040EF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Proteintech Group, Wuhan, Hubei, China</w:t>
            </w:r>
          </w:p>
        </w:tc>
        <w:tc>
          <w:tcPr>
            <w:tcW w:w="1417" w:type="dxa"/>
            <w:vAlign w:val="center"/>
          </w:tcPr>
          <w:p w14:paraId="66BF0AF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PE-65105</w:t>
            </w:r>
          </w:p>
        </w:tc>
        <w:tc>
          <w:tcPr>
            <w:tcW w:w="1134" w:type="dxa"/>
            <w:vAlign w:val="center"/>
          </w:tcPr>
          <w:p w14:paraId="4A13D17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H1.2F3</w:t>
            </w:r>
          </w:p>
        </w:tc>
        <w:tc>
          <w:tcPr>
            <w:tcW w:w="1280" w:type="dxa"/>
            <w:vAlign w:val="center"/>
          </w:tcPr>
          <w:p w14:paraId="7556824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w:t>
            </w:r>
          </w:p>
        </w:tc>
      </w:tr>
      <w:tr w:rsidR="00DE4261" w:rsidRPr="004769B3" w14:paraId="756A0FBC" w14:textId="77777777" w:rsidTr="00363FA1">
        <w:trPr>
          <w:jc w:val="center"/>
        </w:trPr>
        <w:tc>
          <w:tcPr>
            <w:tcW w:w="1853" w:type="dxa"/>
            <w:vAlign w:val="center"/>
          </w:tcPr>
          <w:p w14:paraId="58CBB24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IFN-γ</w:t>
            </w:r>
          </w:p>
        </w:tc>
        <w:tc>
          <w:tcPr>
            <w:tcW w:w="3676" w:type="dxa"/>
            <w:vAlign w:val="center"/>
          </w:tcPr>
          <w:p w14:paraId="1983ED3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Elabscience, Wuhan, Hubei, China</w:t>
            </w:r>
          </w:p>
        </w:tc>
        <w:tc>
          <w:tcPr>
            <w:tcW w:w="1417" w:type="dxa"/>
            <w:vAlign w:val="center"/>
          </w:tcPr>
          <w:p w14:paraId="75304E7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E-AB-F1101C</w:t>
            </w:r>
          </w:p>
        </w:tc>
        <w:tc>
          <w:tcPr>
            <w:tcW w:w="1134" w:type="dxa"/>
            <w:vAlign w:val="center"/>
          </w:tcPr>
          <w:p w14:paraId="594006BF"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XMG1.2</w:t>
            </w:r>
          </w:p>
        </w:tc>
        <w:tc>
          <w:tcPr>
            <w:tcW w:w="1280" w:type="dxa"/>
            <w:vAlign w:val="center"/>
          </w:tcPr>
          <w:p w14:paraId="084FB89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r w:rsidR="00DE4261" w:rsidRPr="004769B3" w14:paraId="78FEA209" w14:textId="77777777" w:rsidTr="00363FA1">
        <w:trPr>
          <w:jc w:val="center"/>
        </w:trPr>
        <w:tc>
          <w:tcPr>
            <w:tcW w:w="1853" w:type="dxa"/>
            <w:vAlign w:val="center"/>
          </w:tcPr>
          <w:p w14:paraId="00EAA20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GZMB</w:t>
            </w:r>
          </w:p>
        </w:tc>
        <w:tc>
          <w:tcPr>
            <w:tcW w:w="3676" w:type="dxa"/>
            <w:vAlign w:val="center"/>
          </w:tcPr>
          <w:p w14:paraId="44577EDA"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BioLegend, San Diego, CA, USA</w:t>
            </w:r>
          </w:p>
        </w:tc>
        <w:tc>
          <w:tcPr>
            <w:tcW w:w="1417" w:type="dxa"/>
            <w:vAlign w:val="center"/>
          </w:tcPr>
          <w:p w14:paraId="6BAA388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372212</w:t>
            </w:r>
          </w:p>
        </w:tc>
        <w:tc>
          <w:tcPr>
            <w:tcW w:w="1134" w:type="dxa"/>
            <w:vAlign w:val="center"/>
          </w:tcPr>
          <w:p w14:paraId="7C47755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QA16A02</w:t>
            </w:r>
          </w:p>
        </w:tc>
        <w:tc>
          <w:tcPr>
            <w:tcW w:w="1280" w:type="dxa"/>
            <w:vAlign w:val="center"/>
          </w:tcPr>
          <w:p w14:paraId="5C6DBD2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r w:rsidR="00DE4261" w:rsidRPr="004769B3" w14:paraId="394BA063" w14:textId="77777777" w:rsidTr="00363FA1">
        <w:trPr>
          <w:jc w:val="center"/>
        </w:trPr>
        <w:tc>
          <w:tcPr>
            <w:tcW w:w="1853" w:type="dxa"/>
            <w:vAlign w:val="center"/>
          </w:tcPr>
          <w:p w14:paraId="5B9B32C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CFSE</w:t>
            </w:r>
          </w:p>
        </w:tc>
        <w:tc>
          <w:tcPr>
            <w:tcW w:w="3676" w:type="dxa"/>
            <w:vAlign w:val="center"/>
          </w:tcPr>
          <w:p w14:paraId="6BF89BF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Elabscience, Wuhan, Hubei, China</w:t>
            </w:r>
          </w:p>
        </w:tc>
        <w:tc>
          <w:tcPr>
            <w:tcW w:w="1417" w:type="dxa"/>
            <w:vAlign w:val="center"/>
          </w:tcPr>
          <w:p w14:paraId="3B83529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E-CK-A345</w:t>
            </w:r>
          </w:p>
        </w:tc>
        <w:tc>
          <w:tcPr>
            <w:tcW w:w="1134" w:type="dxa"/>
            <w:vAlign w:val="center"/>
          </w:tcPr>
          <w:p w14:paraId="3804C71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w:t>
            </w:r>
          </w:p>
        </w:tc>
        <w:tc>
          <w:tcPr>
            <w:tcW w:w="1280" w:type="dxa"/>
            <w:vAlign w:val="center"/>
          </w:tcPr>
          <w:p w14:paraId="2A55D14F"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5 μM</w:t>
            </w:r>
          </w:p>
        </w:tc>
      </w:tr>
      <w:tr w:rsidR="00DE4261" w:rsidRPr="004769B3" w14:paraId="49FC1097" w14:textId="77777777" w:rsidTr="00363FA1">
        <w:trPr>
          <w:jc w:val="center"/>
        </w:trPr>
        <w:tc>
          <w:tcPr>
            <w:tcW w:w="1853" w:type="dxa"/>
            <w:vAlign w:val="center"/>
          </w:tcPr>
          <w:p w14:paraId="2554C3E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PD-1</w:t>
            </w:r>
          </w:p>
        </w:tc>
        <w:tc>
          <w:tcPr>
            <w:tcW w:w="3676" w:type="dxa"/>
            <w:vAlign w:val="center"/>
          </w:tcPr>
          <w:p w14:paraId="3FEBD81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Proteintech Group, Wuhan, Hubei, China</w:t>
            </w:r>
          </w:p>
        </w:tc>
        <w:tc>
          <w:tcPr>
            <w:tcW w:w="1417" w:type="dxa"/>
            <w:vAlign w:val="center"/>
          </w:tcPr>
          <w:p w14:paraId="55CD070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FITC-65142</w:t>
            </w:r>
          </w:p>
        </w:tc>
        <w:tc>
          <w:tcPr>
            <w:tcW w:w="1134" w:type="dxa"/>
            <w:vAlign w:val="center"/>
          </w:tcPr>
          <w:p w14:paraId="35926A6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RMP1-30</w:t>
            </w:r>
          </w:p>
        </w:tc>
        <w:tc>
          <w:tcPr>
            <w:tcW w:w="1280" w:type="dxa"/>
            <w:vAlign w:val="center"/>
          </w:tcPr>
          <w:p w14:paraId="4D08143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w:t>
            </w:r>
          </w:p>
        </w:tc>
      </w:tr>
      <w:tr w:rsidR="00DE4261" w:rsidRPr="004769B3" w14:paraId="46CB04AE" w14:textId="77777777" w:rsidTr="00363FA1">
        <w:trPr>
          <w:jc w:val="center"/>
        </w:trPr>
        <w:tc>
          <w:tcPr>
            <w:tcW w:w="1853" w:type="dxa"/>
            <w:vAlign w:val="center"/>
          </w:tcPr>
          <w:p w14:paraId="66155AC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TIM3</w:t>
            </w:r>
          </w:p>
        </w:tc>
        <w:tc>
          <w:tcPr>
            <w:tcW w:w="3676" w:type="dxa"/>
            <w:vAlign w:val="center"/>
          </w:tcPr>
          <w:p w14:paraId="5C49648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Elabscience, Wuhan, Hubei, China</w:t>
            </w:r>
          </w:p>
        </w:tc>
        <w:tc>
          <w:tcPr>
            <w:tcW w:w="1417" w:type="dxa"/>
            <w:vAlign w:val="center"/>
          </w:tcPr>
          <w:p w14:paraId="06A28B2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E-AB-F1192UE</w:t>
            </w:r>
          </w:p>
        </w:tc>
        <w:tc>
          <w:tcPr>
            <w:tcW w:w="1134" w:type="dxa"/>
            <w:vAlign w:val="center"/>
          </w:tcPr>
          <w:p w14:paraId="24C01CAC" w14:textId="77777777" w:rsidR="00DE4261" w:rsidRPr="004769B3" w:rsidRDefault="00DE4261" w:rsidP="00363FA1">
            <w:pPr>
              <w:autoSpaceDE w:val="0"/>
              <w:autoSpaceDN w:val="0"/>
              <w:spacing w:line="240" w:lineRule="auto"/>
              <w:jc w:val="center"/>
              <w:rPr>
                <w:color w:val="000000" w:themeColor="text1"/>
                <w:sz w:val="20"/>
              </w:rPr>
            </w:pPr>
            <w:r w:rsidRPr="004769B3">
              <w:rPr>
                <w:sz w:val="20"/>
              </w:rPr>
              <w:t>RMT3-23</w:t>
            </w:r>
          </w:p>
        </w:tc>
        <w:tc>
          <w:tcPr>
            <w:tcW w:w="1280" w:type="dxa"/>
            <w:vAlign w:val="center"/>
          </w:tcPr>
          <w:p w14:paraId="7918C859" w14:textId="77777777" w:rsidR="00DE4261" w:rsidRPr="004769B3" w:rsidRDefault="00DE4261" w:rsidP="00363FA1">
            <w:pPr>
              <w:autoSpaceDE w:val="0"/>
              <w:autoSpaceDN w:val="0"/>
              <w:spacing w:line="240" w:lineRule="auto"/>
              <w:jc w:val="center"/>
              <w:rPr>
                <w:sz w:val="20"/>
              </w:rPr>
            </w:pPr>
            <w:r w:rsidRPr="004769B3">
              <w:rPr>
                <w:sz w:val="20"/>
              </w:rPr>
              <w:t>1:100</w:t>
            </w:r>
          </w:p>
        </w:tc>
      </w:tr>
      <w:tr w:rsidR="00DE4261" w:rsidRPr="004769B3" w14:paraId="22AE1A34" w14:textId="77777777" w:rsidTr="00363FA1">
        <w:trPr>
          <w:jc w:val="center"/>
        </w:trPr>
        <w:tc>
          <w:tcPr>
            <w:tcW w:w="1853" w:type="dxa"/>
            <w:vAlign w:val="center"/>
          </w:tcPr>
          <w:p w14:paraId="757F54E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Fixable Viability Dye</w:t>
            </w:r>
          </w:p>
        </w:tc>
        <w:tc>
          <w:tcPr>
            <w:tcW w:w="3676" w:type="dxa"/>
            <w:vAlign w:val="center"/>
          </w:tcPr>
          <w:p w14:paraId="30E9565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BioLegend, San Diego, CA, USA</w:t>
            </w:r>
          </w:p>
        </w:tc>
        <w:tc>
          <w:tcPr>
            <w:tcW w:w="1417" w:type="dxa"/>
            <w:vAlign w:val="center"/>
          </w:tcPr>
          <w:p w14:paraId="02A256C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423101</w:t>
            </w:r>
          </w:p>
        </w:tc>
        <w:tc>
          <w:tcPr>
            <w:tcW w:w="1134" w:type="dxa"/>
            <w:vAlign w:val="center"/>
          </w:tcPr>
          <w:p w14:paraId="28E8880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w:t>
            </w:r>
          </w:p>
        </w:tc>
        <w:tc>
          <w:tcPr>
            <w:tcW w:w="1280" w:type="dxa"/>
            <w:vAlign w:val="center"/>
          </w:tcPr>
          <w:p w14:paraId="7BB67B8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1:500</w:t>
            </w:r>
          </w:p>
        </w:tc>
      </w:tr>
      <w:tr w:rsidR="00DE4261" w:rsidRPr="004769B3" w14:paraId="4023BE28" w14:textId="77777777" w:rsidTr="00363FA1">
        <w:trPr>
          <w:jc w:val="center"/>
        </w:trPr>
        <w:tc>
          <w:tcPr>
            <w:tcW w:w="1853" w:type="dxa"/>
            <w:vAlign w:val="center"/>
          </w:tcPr>
          <w:p w14:paraId="0C2FF1D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CD11b</w:t>
            </w:r>
          </w:p>
        </w:tc>
        <w:tc>
          <w:tcPr>
            <w:tcW w:w="3676" w:type="dxa"/>
            <w:vAlign w:val="center"/>
          </w:tcPr>
          <w:p w14:paraId="265E953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BD Biosciences, Franklin Lakes, NJ, USA</w:t>
            </w:r>
          </w:p>
        </w:tc>
        <w:tc>
          <w:tcPr>
            <w:tcW w:w="1417" w:type="dxa"/>
            <w:vAlign w:val="center"/>
          </w:tcPr>
          <w:p w14:paraId="158FF27F"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560456</w:t>
            </w:r>
          </w:p>
        </w:tc>
        <w:tc>
          <w:tcPr>
            <w:tcW w:w="1134" w:type="dxa"/>
            <w:vAlign w:val="center"/>
          </w:tcPr>
          <w:p w14:paraId="4E56A17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M1/70</w:t>
            </w:r>
          </w:p>
        </w:tc>
        <w:tc>
          <w:tcPr>
            <w:tcW w:w="1280" w:type="dxa"/>
            <w:vAlign w:val="center"/>
          </w:tcPr>
          <w:p w14:paraId="6C7E30D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1:50</w:t>
            </w:r>
          </w:p>
        </w:tc>
      </w:tr>
      <w:tr w:rsidR="00DE4261" w:rsidRPr="004769B3" w14:paraId="39B18B2C" w14:textId="77777777" w:rsidTr="00363FA1">
        <w:trPr>
          <w:jc w:val="center"/>
        </w:trPr>
        <w:tc>
          <w:tcPr>
            <w:tcW w:w="1853" w:type="dxa"/>
            <w:vAlign w:val="center"/>
          </w:tcPr>
          <w:p w14:paraId="3642E4AA"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F4/80</w:t>
            </w:r>
          </w:p>
        </w:tc>
        <w:tc>
          <w:tcPr>
            <w:tcW w:w="3676" w:type="dxa"/>
            <w:vAlign w:val="center"/>
          </w:tcPr>
          <w:p w14:paraId="3F4B295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Elabscience, Wuhan, Hubei, China</w:t>
            </w:r>
          </w:p>
        </w:tc>
        <w:tc>
          <w:tcPr>
            <w:tcW w:w="1417" w:type="dxa"/>
            <w:vAlign w:val="center"/>
          </w:tcPr>
          <w:p w14:paraId="417D074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E-AB-F0995D</w:t>
            </w:r>
          </w:p>
        </w:tc>
        <w:tc>
          <w:tcPr>
            <w:tcW w:w="1134" w:type="dxa"/>
            <w:vAlign w:val="center"/>
          </w:tcPr>
          <w:p w14:paraId="748D1C7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CI:A3-1</w:t>
            </w:r>
          </w:p>
        </w:tc>
        <w:tc>
          <w:tcPr>
            <w:tcW w:w="1280" w:type="dxa"/>
            <w:vAlign w:val="center"/>
          </w:tcPr>
          <w:p w14:paraId="648ABE4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r w:rsidR="00DE4261" w:rsidRPr="004769B3" w14:paraId="0EE2D318" w14:textId="77777777" w:rsidTr="00363FA1">
        <w:trPr>
          <w:jc w:val="center"/>
        </w:trPr>
        <w:tc>
          <w:tcPr>
            <w:tcW w:w="1853" w:type="dxa"/>
            <w:vAlign w:val="center"/>
          </w:tcPr>
          <w:p w14:paraId="6B34DC5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CD86</w:t>
            </w:r>
          </w:p>
        </w:tc>
        <w:tc>
          <w:tcPr>
            <w:tcW w:w="3676" w:type="dxa"/>
            <w:vAlign w:val="center"/>
          </w:tcPr>
          <w:p w14:paraId="65F6E3A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eBioscience, Thermo Fisher Scientific, Waltham, MA, USA</w:t>
            </w:r>
          </w:p>
        </w:tc>
        <w:tc>
          <w:tcPr>
            <w:tcW w:w="1417" w:type="dxa"/>
            <w:vAlign w:val="center"/>
          </w:tcPr>
          <w:p w14:paraId="4B877D7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15-0862-82</w:t>
            </w:r>
          </w:p>
        </w:tc>
        <w:tc>
          <w:tcPr>
            <w:tcW w:w="1134" w:type="dxa"/>
            <w:vAlign w:val="center"/>
          </w:tcPr>
          <w:p w14:paraId="27E5203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GL1</w:t>
            </w:r>
          </w:p>
        </w:tc>
        <w:tc>
          <w:tcPr>
            <w:tcW w:w="1280" w:type="dxa"/>
            <w:vAlign w:val="center"/>
          </w:tcPr>
          <w:p w14:paraId="1C128E1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w:t>
            </w:r>
          </w:p>
        </w:tc>
      </w:tr>
      <w:tr w:rsidR="00DE4261" w:rsidRPr="004769B3" w14:paraId="2B8459C0" w14:textId="77777777" w:rsidTr="00363FA1">
        <w:trPr>
          <w:jc w:val="center"/>
        </w:trPr>
        <w:tc>
          <w:tcPr>
            <w:tcW w:w="1853" w:type="dxa"/>
            <w:vAlign w:val="center"/>
          </w:tcPr>
          <w:p w14:paraId="2EC8EA0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CD206</w:t>
            </w:r>
          </w:p>
        </w:tc>
        <w:tc>
          <w:tcPr>
            <w:tcW w:w="3676" w:type="dxa"/>
            <w:vAlign w:val="center"/>
          </w:tcPr>
          <w:p w14:paraId="6CC7E69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BioLegend, San Diego, CA, USA</w:t>
            </w:r>
          </w:p>
        </w:tc>
        <w:tc>
          <w:tcPr>
            <w:tcW w:w="1417" w:type="dxa"/>
            <w:vAlign w:val="center"/>
          </w:tcPr>
          <w:p w14:paraId="4BE6F27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141707</w:t>
            </w:r>
          </w:p>
        </w:tc>
        <w:tc>
          <w:tcPr>
            <w:tcW w:w="1134" w:type="dxa"/>
            <w:vAlign w:val="center"/>
          </w:tcPr>
          <w:p w14:paraId="75F0D2E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C068C2</w:t>
            </w:r>
          </w:p>
        </w:tc>
        <w:tc>
          <w:tcPr>
            <w:tcW w:w="1280" w:type="dxa"/>
            <w:vAlign w:val="center"/>
          </w:tcPr>
          <w:p w14:paraId="32D8355F"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w:t>
            </w:r>
          </w:p>
        </w:tc>
      </w:tr>
      <w:tr w:rsidR="00DE4261" w:rsidRPr="004769B3" w14:paraId="6F12B4FA" w14:textId="77777777" w:rsidTr="00363FA1">
        <w:trPr>
          <w:jc w:val="center"/>
        </w:trPr>
        <w:tc>
          <w:tcPr>
            <w:tcW w:w="1853" w:type="dxa"/>
            <w:vAlign w:val="center"/>
          </w:tcPr>
          <w:p w14:paraId="0F73E53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CD45</w:t>
            </w:r>
          </w:p>
        </w:tc>
        <w:tc>
          <w:tcPr>
            <w:tcW w:w="3676" w:type="dxa"/>
            <w:vAlign w:val="center"/>
          </w:tcPr>
          <w:p w14:paraId="6C2DD10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Elabscience, Wuhan, Hubei, China</w:t>
            </w:r>
          </w:p>
        </w:tc>
        <w:tc>
          <w:tcPr>
            <w:tcW w:w="1417" w:type="dxa"/>
            <w:vAlign w:val="center"/>
          </w:tcPr>
          <w:p w14:paraId="34B946D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E-AB-F1136N</w:t>
            </w:r>
          </w:p>
        </w:tc>
        <w:tc>
          <w:tcPr>
            <w:tcW w:w="1134" w:type="dxa"/>
            <w:vAlign w:val="center"/>
          </w:tcPr>
          <w:p w14:paraId="42DFC0F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30-F11</w:t>
            </w:r>
          </w:p>
        </w:tc>
        <w:tc>
          <w:tcPr>
            <w:tcW w:w="1280" w:type="dxa"/>
            <w:vAlign w:val="center"/>
          </w:tcPr>
          <w:p w14:paraId="1CFB485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r w:rsidR="00DE4261" w:rsidRPr="004769B3" w14:paraId="74AB9422" w14:textId="77777777" w:rsidTr="00363FA1">
        <w:trPr>
          <w:jc w:val="center"/>
        </w:trPr>
        <w:tc>
          <w:tcPr>
            <w:tcW w:w="1853" w:type="dxa"/>
            <w:vAlign w:val="center"/>
          </w:tcPr>
          <w:p w14:paraId="3BB5BB5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CD326/EpCAM</w:t>
            </w:r>
          </w:p>
        </w:tc>
        <w:tc>
          <w:tcPr>
            <w:tcW w:w="3676" w:type="dxa"/>
            <w:vAlign w:val="center"/>
          </w:tcPr>
          <w:p w14:paraId="45E05D8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BioLegend, San Diego, CA, USA</w:t>
            </w:r>
          </w:p>
        </w:tc>
        <w:tc>
          <w:tcPr>
            <w:tcW w:w="1417" w:type="dxa"/>
            <w:vAlign w:val="center"/>
          </w:tcPr>
          <w:p w14:paraId="4B71FAD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118227</w:t>
            </w:r>
          </w:p>
        </w:tc>
        <w:tc>
          <w:tcPr>
            <w:tcW w:w="1134" w:type="dxa"/>
            <w:vAlign w:val="center"/>
          </w:tcPr>
          <w:p w14:paraId="6EB0ACF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G8.8</w:t>
            </w:r>
          </w:p>
        </w:tc>
        <w:tc>
          <w:tcPr>
            <w:tcW w:w="1280" w:type="dxa"/>
            <w:vAlign w:val="center"/>
          </w:tcPr>
          <w:p w14:paraId="0AE7AB8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w:t>
            </w:r>
          </w:p>
        </w:tc>
      </w:tr>
      <w:tr w:rsidR="00DE4261" w:rsidRPr="004769B3" w14:paraId="0EF36F08" w14:textId="77777777" w:rsidTr="00363FA1">
        <w:trPr>
          <w:jc w:val="center"/>
        </w:trPr>
        <w:tc>
          <w:tcPr>
            <w:tcW w:w="1853" w:type="dxa"/>
            <w:vAlign w:val="center"/>
          </w:tcPr>
          <w:p w14:paraId="755ECA7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 xml:space="preserve">Annexin V-FITC/PI </w:t>
            </w:r>
          </w:p>
        </w:tc>
        <w:tc>
          <w:tcPr>
            <w:tcW w:w="3676" w:type="dxa"/>
            <w:vAlign w:val="center"/>
          </w:tcPr>
          <w:p w14:paraId="508B449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Vazyme Biotech, Nanjing, Jiangsu, China</w:t>
            </w:r>
          </w:p>
        </w:tc>
        <w:tc>
          <w:tcPr>
            <w:tcW w:w="1417" w:type="dxa"/>
            <w:vAlign w:val="center"/>
          </w:tcPr>
          <w:p w14:paraId="09D29E8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A211-02</w:t>
            </w:r>
          </w:p>
        </w:tc>
        <w:tc>
          <w:tcPr>
            <w:tcW w:w="1134" w:type="dxa"/>
            <w:vAlign w:val="center"/>
          </w:tcPr>
          <w:p w14:paraId="7018AD2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w:t>
            </w:r>
          </w:p>
        </w:tc>
        <w:tc>
          <w:tcPr>
            <w:tcW w:w="1280" w:type="dxa"/>
            <w:vAlign w:val="center"/>
          </w:tcPr>
          <w:p w14:paraId="7DB7CAF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r w:rsidR="00DE4261" w:rsidRPr="004769B3" w14:paraId="4AAA11F6" w14:textId="77777777" w:rsidTr="00363FA1">
        <w:trPr>
          <w:jc w:val="center"/>
        </w:trPr>
        <w:tc>
          <w:tcPr>
            <w:tcW w:w="1853" w:type="dxa"/>
            <w:vAlign w:val="center"/>
          </w:tcPr>
          <w:p w14:paraId="2BF74A0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Human CD45</w:t>
            </w:r>
          </w:p>
        </w:tc>
        <w:tc>
          <w:tcPr>
            <w:tcW w:w="3676" w:type="dxa"/>
            <w:vAlign w:val="center"/>
          </w:tcPr>
          <w:p w14:paraId="48DF599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BioLegend, San Diego, CA, USA</w:t>
            </w:r>
          </w:p>
        </w:tc>
        <w:tc>
          <w:tcPr>
            <w:tcW w:w="1417" w:type="dxa"/>
            <w:vAlign w:val="center"/>
          </w:tcPr>
          <w:p w14:paraId="3B7BC88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304036</w:t>
            </w:r>
          </w:p>
        </w:tc>
        <w:tc>
          <w:tcPr>
            <w:tcW w:w="1134" w:type="dxa"/>
            <w:vAlign w:val="center"/>
          </w:tcPr>
          <w:p w14:paraId="16C9778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HI30</w:t>
            </w:r>
          </w:p>
        </w:tc>
        <w:tc>
          <w:tcPr>
            <w:tcW w:w="1280" w:type="dxa"/>
            <w:vAlign w:val="center"/>
          </w:tcPr>
          <w:p w14:paraId="49FB599F"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r w:rsidR="00DE4261" w:rsidRPr="004769B3" w14:paraId="40C2E95B" w14:textId="77777777" w:rsidTr="00363FA1">
        <w:trPr>
          <w:jc w:val="center"/>
        </w:trPr>
        <w:tc>
          <w:tcPr>
            <w:tcW w:w="1853" w:type="dxa"/>
            <w:vAlign w:val="center"/>
          </w:tcPr>
          <w:p w14:paraId="797FE51A"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Human CD64</w:t>
            </w:r>
          </w:p>
        </w:tc>
        <w:tc>
          <w:tcPr>
            <w:tcW w:w="3676" w:type="dxa"/>
            <w:vAlign w:val="center"/>
          </w:tcPr>
          <w:p w14:paraId="3A85156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BioLegend, San Diego, CA, USA</w:t>
            </w:r>
          </w:p>
        </w:tc>
        <w:tc>
          <w:tcPr>
            <w:tcW w:w="1417" w:type="dxa"/>
            <w:vAlign w:val="center"/>
          </w:tcPr>
          <w:p w14:paraId="1E91D25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305020</w:t>
            </w:r>
          </w:p>
        </w:tc>
        <w:tc>
          <w:tcPr>
            <w:tcW w:w="1134" w:type="dxa"/>
            <w:vAlign w:val="center"/>
          </w:tcPr>
          <w:p w14:paraId="5B3E9ACF"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10.1</w:t>
            </w:r>
          </w:p>
        </w:tc>
        <w:tc>
          <w:tcPr>
            <w:tcW w:w="1280" w:type="dxa"/>
            <w:vAlign w:val="center"/>
          </w:tcPr>
          <w:p w14:paraId="0BC5DD2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r w:rsidR="00DE4261" w:rsidRPr="004769B3" w14:paraId="69DE40A8" w14:textId="77777777" w:rsidTr="00363FA1">
        <w:trPr>
          <w:jc w:val="center"/>
        </w:trPr>
        <w:tc>
          <w:tcPr>
            <w:tcW w:w="1853" w:type="dxa"/>
            <w:vAlign w:val="center"/>
          </w:tcPr>
          <w:p w14:paraId="107F120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Human CD11b</w:t>
            </w:r>
          </w:p>
        </w:tc>
        <w:tc>
          <w:tcPr>
            <w:tcW w:w="3676" w:type="dxa"/>
            <w:vAlign w:val="center"/>
          </w:tcPr>
          <w:p w14:paraId="75E2E1A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BioLegend, San Diego, CA, USA</w:t>
            </w:r>
          </w:p>
        </w:tc>
        <w:tc>
          <w:tcPr>
            <w:tcW w:w="1417" w:type="dxa"/>
            <w:vAlign w:val="center"/>
          </w:tcPr>
          <w:p w14:paraId="1BF747A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301310</w:t>
            </w:r>
          </w:p>
        </w:tc>
        <w:tc>
          <w:tcPr>
            <w:tcW w:w="1134" w:type="dxa"/>
            <w:vAlign w:val="center"/>
          </w:tcPr>
          <w:p w14:paraId="78842A2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ICRF44</w:t>
            </w:r>
          </w:p>
        </w:tc>
        <w:tc>
          <w:tcPr>
            <w:tcW w:w="1280" w:type="dxa"/>
            <w:vAlign w:val="center"/>
          </w:tcPr>
          <w:p w14:paraId="01530B1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r w:rsidR="00DE4261" w:rsidRPr="004769B3" w14:paraId="3C2DB196" w14:textId="77777777" w:rsidTr="00363FA1">
        <w:trPr>
          <w:jc w:val="center"/>
        </w:trPr>
        <w:tc>
          <w:tcPr>
            <w:tcW w:w="1853" w:type="dxa"/>
            <w:vAlign w:val="center"/>
          </w:tcPr>
          <w:p w14:paraId="0E63672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Human PD-L1/CD274</w:t>
            </w:r>
          </w:p>
        </w:tc>
        <w:tc>
          <w:tcPr>
            <w:tcW w:w="3676" w:type="dxa"/>
            <w:vAlign w:val="center"/>
          </w:tcPr>
          <w:p w14:paraId="16799E6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BioLegend, San Diego, CA, USA</w:t>
            </w:r>
          </w:p>
        </w:tc>
        <w:tc>
          <w:tcPr>
            <w:tcW w:w="1417" w:type="dxa"/>
            <w:vAlign w:val="center"/>
          </w:tcPr>
          <w:p w14:paraId="52BEE80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329718</w:t>
            </w:r>
          </w:p>
        </w:tc>
        <w:tc>
          <w:tcPr>
            <w:tcW w:w="1134" w:type="dxa"/>
            <w:vAlign w:val="center"/>
          </w:tcPr>
          <w:p w14:paraId="00D926A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29E.2A3</w:t>
            </w:r>
          </w:p>
        </w:tc>
        <w:tc>
          <w:tcPr>
            <w:tcW w:w="1280" w:type="dxa"/>
            <w:vAlign w:val="center"/>
          </w:tcPr>
          <w:p w14:paraId="25AB6AD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w:t>
            </w:r>
          </w:p>
        </w:tc>
      </w:tr>
    </w:tbl>
    <w:p w14:paraId="4002AEC8" w14:textId="77777777" w:rsidR="00DE4261" w:rsidRPr="004769B3" w:rsidRDefault="00DE4261" w:rsidP="00DE4261">
      <w:pPr>
        <w:pStyle w:val="TSP43tablefooter"/>
        <w:rPr>
          <w:rFonts w:eastAsia="宋体"/>
        </w:rPr>
      </w:pPr>
      <w:r w:rsidRPr="004769B3">
        <w:rPr>
          <w:rFonts w:eastAsia="宋体"/>
        </w:rPr>
        <w:t>Note: CFSE was used at a final working concentration of 5 μM rather than at a dilution ratio. Abbreviations: CFSE, carboxyfluorescein succinimidyl ester; FITC, fluorescein isothiocyanate; PD-1, programmed cell death protein 1; PD-L1, programmed death-ligand 1; PE, phycoerythrin; PI, propidium iodide.</w:t>
      </w:r>
    </w:p>
    <w:p w14:paraId="41F80460" w14:textId="749AEC55" w:rsidR="00DE4261" w:rsidRPr="004769B3" w:rsidRDefault="00DE4261" w:rsidP="00DE4261">
      <w:pPr>
        <w:pStyle w:val="TSP41tablecaption"/>
        <w:jc w:val="center"/>
        <w:rPr>
          <w:rFonts w:eastAsia="宋体"/>
        </w:rPr>
      </w:pPr>
      <w:r w:rsidRPr="004769B3">
        <w:rPr>
          <w:b/>
        </w:rPr>
        <w:t xml:space="preserve">Table </w:t>
      </w:r>
      <w:r>
        <w:rPr>
          <w:rFonts w:eastAsiaTheme="minorEastAsia" w:hint="eastAsia"/>
          <w:b/>
          <w:lang w:eastAsia="zh-CN"/>
        </w:rPr>
        <w:t>S</w:t>
      </w:r>
      <w:r w:rsidRPr="004769B3">
        <w:rPr>
          <w:b/>
        </w:rPr>
        <w:t>7:</w:t>
      </w:r>
      <w:r w:rsidRPr="004769B3">
        <w:t xml:space="preserve"> </w:t>
      </w:r>
      <w:r w:rsidRPr="004769B3">
        <w:rPr>
          <w:rFonts w:eastAsia="宋体"/>
        </w:rPr>
        <w:t>Western blot antibodies.</w:t>
      </w:r>
    </w:p>
    <w:tbl>
      <w:tblPr>
        <w:tblW w:w="9360" w:type="dxa"/>
        <w:jc w:val="center"/>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1815"/>
        <w:gridCol w:w="4564"/>
        <w:gridCol w:w="1701"/>
        <w:gridCol w:w="1280"/>
      </w:tblGrid>
      <w:tr w:rsidR="00DE4261" w:rsidRPr="004769B3" w14:paraId="0D92B6BA" w14:textId="77777777" w:rsidTr="00363FA1">
        <w:trPr>
          <w:jc w:val="center"/>
        </w:trPr>
        <w:tc>
          <w:tcPr>
            <w:tcW w:w="1815" w:type="dxa"/>
            <w:tcBorders>
              <w:top w:val="single" w:sz="8" w:space="0" w:color="auto"/>
              <w:bottom w:val="single" w:sz="4" w:space="0" w:color="auto"/>
            </w:tcBorders>
            <w:vAlign w:val="center"/>
          </w:tcPr>
          <w:p w14:paraId="62CCA8EB"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Antibodies</w:t>
            </w:r>
          </w:p>
        </w:tc>
        <w:tc>
          <w:tcPr>
            <w:tcW w:w="4564" w:type="dxa"/>
            <w:tcBorders>
              <w:top w:val="single" w:sz="8" w:space="0" w:color="auto"/>
              <w:bottom w:val="single" w:sz="4" w:space="0" w:color="auto"/>
            </w:tcBorders>
            <w:vAlign w:val="center"/>
          </w:tcPr>
          <w:p w14:paraId="60793B9A"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Source (City, Country)</w:t>
            </w:r>
          </w:p>
        </w:tc>
        <w:tc>
          <w:tcPr>
            <w:tcW w:w="1701" w:type="dxa"/>
            <w:tcBorders>
              <w:top w:val="single" w:sz="8" w:space="0" w:color="auto"/>
              <w:bottom w:val="single" w:sz="4" w:space="0" w:color="auto"/>
            </w:tcBorders>
            <w:vAlign w:val="center"/>
          </w:tcPr>
          <w:p w14:paraId="25F062EE"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Cat No.</w:t>
            </w:r>
          </w:p>
        </w:tc>
        <w:tc>
          <w:tcPr>
            <w:tcW w:w="1280" w:type="dxa"/>
            <w:tcBorders>
              <w:top w:val="single" w:sz="8" w:space="0" w:color="auto"/>
              <w:bottom w:val="single" w:sz="4" w:space="0" w:color="auto"/>
            </w:tcBorders>
            <w:vAlign w:val="center"/>
          </w:tcPr>
          <w:p w14:paraId="12101217"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Usage</w:t>
            </w:r>
          </w:p>
        </w:tc>
      </w:tr>
      <w:tr w:rsidR="00DE4261" w:rsidRPr="004769B3" w14:paraId="43CF3497" w14:textId="77777777" w:rsidTr="00363FA1">
        <w:trPr>
          <w:jc w:val="center"/>
        </w:trPr>
        <w:tc>
          <w:tcPr>
            <w:tcW w:w="1815" w:type="dxa"/>
            <w:tcBorders>
              <w:top w:val="single" w:sz="4" w:space="0" w:color="auto"/>
            </w:tcBorders>
            <w:vAlign w:val="center"/>
          </w:tcPr>
          <w:p w14:paraId="5078C42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β-actin</w:t>
            </w:r>
          </w:p>
        </w:tc>
        <w:tc>
          <w:tcPr>
            <w:tcW w:w="4564" w:type="dxa"/>
            <w:tcBorders>
              <w:top w:val="single" w:sz="4" w:space="0" w:color="auto"/>
            </w:tcBorders>
            <w:vAlign w:val="center"/>
          </w:tcPr>
          <w:p w14:paraId="4409EA0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Proteintech Group, Wuhan, Hubei, China</w:t>
            </w:r>
          </w:p>
        </w:tc>
        <w:tc>
          <w:tcPr>
            <w:tcW w:w="1701" w:type="dxa"/>
            <w:tcBorders>
              <w:top w:val="single" w:sz="4" w:space="0" w:color="auto"/>
            </w:tcBorders>
            <w:vAlign w:val="center"/>
          </w:tcPr>
          <w:p w14:paraId="4B64E56A"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66009-1-Ig</w:t>
            </w:r>
          </w:p>
        </w:tc>
        <w:tc>
          <w:tcPr>
            <w:tcW w:w="1280" w:type="dxa"/>
            <w:tcBorders>
              <w:top w:val="single" w:sz="4" w:space="0" w:color="auto"/>
            </w:tcBorders>
            <w:vAlign w:val="center"/>
          </w:tcPr>
          <w:p w14:paraId="78C1F48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1:2000</w:t>
            </w:r>
          </w:p>
        </w:tc>
      </w:tr>
      <w:tr w:rsidR="00DE4261" w:rsidRPr="004769B3" w14:paraId="546F1749" w14:textId="77777777" w:rsidTr="00363FA1">
        <w:trPr>
          <w:jc w:val="center"/>
        </w:trPr>
        <w:tc>
          <w:tcPr>
            <w:tcW w:w="1815" w:type="dxa"/>
            <w:vAlign w:val="center"/>
          </w:tcPr>
          <w:p w14:paraId="7F21526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PD-L1</w:t>
            </w:r>
          </w:p>
        </w:tc>
        <w:tc>
          <w:tcPr>
            <w:tcW w:w="4564" w:type="dxa"/>
            <w:vAlign w:val="center"/>
          </w:tcPr>
          <w:p w14:paraId="3C63398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Proteintech Group, Wuhan, Hubei, China</w:t>
            </w:r>
          </w:p>
        </w:tc>
        <w:tc>
          <w:tcPr>
            <w:tcW w:w="1701" w:type="dxa"/>
            <w:vAlign w:val="center"/>
          </w:tcPr>
          <w:p w14:paraId="45A37AB6"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66248-1-Ig</w:t>
            </w:r>
          </w:p>
        </w:tc>
        <w:tc>
          <w:tcPr>
            <w:tcW w:w="1280" w:type="dxa"/>
            <w:vAlign w:val="center"/>
          </w:tcPr>
          <w:p w14:paraId="2BA7839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1:2000</w:t>
            </w:r>
          </w:p>
        </w:tc>
      </w:tr>
      <w:tr w:rsidR="00DE4261" w:rsidRPr="004769B3" w14:paraId="681F5D35" w14:textId="77777777" w:rsidTr="00363FA1">
        <w:trPr>
          <w:jc w:val="center"/>
        </w:trPr>
        <w:tc>
          <w:tcPr>
            <w:tcW w:w="1815" w:type="dxa"/>
            <w:vAlign w:val="center"/>
          </w:tcPr>
          <w:p w14:paraId="44DD1B8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ATM</w:t>
            </w:r>
          </w:p>
        </w:tc>
        <w:tc>
          <w:tcPr>
            <w:tcW w:w="4564" w:type="dxa"/>
            <w:vAlign w:val="center"/>
          </w:tcPr>
          <w:p w14:paraId="71767D0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Boster Biological Technology, Pleasanton, CA, USA</w:t>
            </w:r>
          </w:p>
        </w:tc>
        <w:tc>
          <w:tcPr>
            <w:tcW w:w="1701" w:type="dxa"/>
            <w:vAlign w:val="center"/>
          </w:tcPr>
          <w:p w14:paraId="69A79E6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BA0655-2</w:t>
            </w:r>
          </w:p>
        </w:tc>
        <w:tc>
          <w:tcPr>
            <w:tcW w:w="1280" w:type="dxa"/>
            <w:vAlign w:val="center"/>
          </w:tcPr>
          <w:p w14:paraId="5E75CBF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1:2000</w:t>
            </w:r>
          </w:p>
        </w:tc>
      </w:tr>
      <w:tr w:rsidR="00DE4261" w:rsidRPr="004769B3" w14:paraId="54EC10A0" w14:textId="77777777" w:rsidTr="00363FA1">
        <w:trPr>
          <w:jc w:val="center"/>
        </w:trPr>
        <w:tc>
          <w:tcPr>
            <w:tcW w:w="1815" w:type="dxa"/>
            <w:vAlign w:val="center"/>
          </w:tcPr>
          <w:p w14:paraId="1647B23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p-ATM</w:t>
            </w:r>
          </w:p>
        </w:tc>
        <w:tc>
          <w:tcPr>
            <w:tcW w:w="4564" w:type="dxa"/>
            <w:vAlign w:val="center"/>
          </w:tcPr>
          <w:p w14:paraId="578CBA6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Boster Biological Technology, Pleasanton, CA, USA</w:t>
            </w:r>
          </w:p>
        </w:tc>
        <w:tc>
          <w:tcPr>
            <w:tcW w:w="1701" w:type="dxa"/>
            <w:vAlign w:val="center"/>
          </w:tcPr>
          <w:p w14:paraId="4CD7D3C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BM4008</w:t>
            </w:r>
          </w:p>
        </w:tc>
        <w:tc>
          <w:tcPr>
            <w:tcW w:w="1280" w:type="dxa"/>
            <w:vAlign w:val="center"/>
          </w:tcPr>
          <w:p w14:paraId="0EE3D196"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1:2000</w:t>
            </w:r>
          </w:p>
        </w:tc>
      </w:tr>
      <w:tr w:rsidR="00DE4261" w:rsidRPr="004769B3" w14:paraId="13756567" w14:textId="77777777" w:rsidTr="00363FA1">
        <w:trPr>
          <w:jc w:val="center"/>
        </w:trPr>
        <w:tc>
          <w:tcPr>
            <w:tcW w:w="1815" w:type="dxa"/>
            <w:vAlign w:val="center"/>
          </w:tcPr>
          <w:p w14:paraId="7F46BF9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p53</w:t>
            </w:r>
          </w:p>
        </w:tc>
        <w:tc>
          <w:tcPr>
            <w:tcW w:w="4564" w:type="dxa"/>
            <w:vAlign w:val="center"/>
          </w:tcPr>
          <w:p w14:paraId="5831BCA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ABclonal Technology, Wuhan, Hubei, China</w:t>
            </w:r>
          </w:p>
        </w:tc>
        <w:tc>
          <w:tcPr>
            <w:tcW w:w="1701" w:type="dxa"/>
            <w:vAlign w:val="center"/>
          </w:tcPr>
          <w:p w14:paraId="0720468A"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A19585</w:t>
            </w:r>
          </w:p>
        </w:tc>
        <w:tc>
          <w:tcPr>
            <w:tcW w:w="1280" w:type="dxa"/>
            <w:vAlign w:val="center"/>
          </w:tcPr>
          <w:p w14:paraId="7C3EE21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1:30000</w:t>
            </w:r>
          </w:p>
        </w:tc>
      </w:tr>
      <w:tr w:rsidR="00DE4261" w:rsidRPr="004769B3" w14:paraId="4A592BDF" w14:textId="77777777" w:rsidTr="00363FA1">
        <w:trPr>
          <w:jc w:val="center"/>
        </w:trPr>
        <w:tc>
          <w:tcPr>
            <w:tcW w:w="1815" w:type="dxa"/>
            <w:vAlign w:val="center"/>
          </w:tcPr>
          <w:p w14:paraId="19BFE56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γ-H2AX</w:t>
            </w:r>
          </w:p>
        </w:tc>
        <w:tc>
          <w:tcPr>
            <w:tcW w:w="4564" w:type="dxa"/>
            <w:vAlign w:val="center"/>
          </w:tcPr>
          <w:p w14:paraId="71D16B9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Cell Signaling Technology, Danvers, MA, USA</w:t>
            </w:r>
          </w:p>
        </w:tc>
        <w:tc>
          <w:tcPr>
            <w:tcW w:w="1701" w:type="dxa"/>
            <w:vAlign w:val="center"/>
          </w:tcPr>
          <w:p w14:paraId="0A19C71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80312S</w:t>
            </w:r>
          </w:p>
        </w:tc>
        <w:tc>
          <w:tcPr>
            <w:tcW w:w="1280" w:type="dxa"/>
            <w:vAlign w:val="center"/>
          </w:tcPr>
          <w:p w14:paraId="19F7969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1:2000</w:t>
            </w:r>
          </w:p>
        </w:tc>
      </w:tr>
      <w:tr w:rsidR="00DE4261" w:rsidRPr="004769B3" w14:paraId="6C2D6B0A" w14:textId="77777777" w:rsidTr="00363FA1">
        <w:trPr>
          <w:jc w:val="center"/>
        </w:trPr>
        <w:tc>
          <w:tcPr>
            <w:tcW w:w="1815" w:type="dxa"/>
            <w:vAlign w:val="center"/>
          </w:tcPr>
          <w:p w14:paraId="59F4DE0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p21</w:t>
            </w:r>
          </w:p>
        </w:tc>
        <w:tc>
          <w:tcPr>
            <w:tcW w:w="4564" w:type="dxa"/>
            <w:vAlign w:val="center"/>
          </w:tcPr>
          <w:p w14:paraId="21F5BDF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Proteintech Group, Wuhan, Hubei, China</w:t>
            </w:r>
          </w:p>
        </w:tc>
        <w:tc>
          <w:tcPr>
            <w:tcW w:w="1701" w:type="dxa"/>
            <w:vAlign w:val="center"/>
          </w:tcPr>
          <w:p w14:paraId="6B85219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28248-1-AP</w:t>
            </w:r>
          </w:p>
        </w:tc>
        <w:tc>
          <w:tcPr>
            <w:tcW w:w="1280" w:type="dxa"/>
            <w:vAlign w:val="center"/>
          </w:tcPr>
          <w:p w14:paraId="6D658F0A"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1:2000</w:t>
            </w:r>
          </w:p>
        </w:tc>
      </w:tr>
      <w:tr w:rsidR="00DE4261" w:rsidRPr="004769B3" w14:paraId="679A666C" w14:textId="77777777" w:rsidTr="00363FA1">
        <w:trPr>
          <w:jc w:val="center"/>
        </w:trPr>
        <w:tc>
          <w:tcPr>
            <w:tcW w:w="1815" w:type="dxa"/>
            <w:vAlign w:val="center"/>
          </w:tcPr>
          <w:p w14:paraId="25705AF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STING</w:t>
            </w:r>
          </w:p>
        </w:tc>
        <w:tc>
          <w:tcPr>
            <w:tcW w:w="4564" w:type="dxa"/>
            <w:vAlign w:val="center"/>
          </w:tcPr>
          <w:p w14:paraId="625D9036"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HUABIO, Hangzhou, Zhejiang, China</w:t>
            </w:r>
          </w:p>
        </w:tc>
        <w:tc>
          <w:tcPr>
            <w:tcW w:w="1701" w:type="dxa"/>
            <w:vAlign w:val="center"/>
          </w:tcPr>
          <w:p w14:paraId="3A725E7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HA722832</w:t>
            </w:r>
          </w:p>
        </w:tc>
        <w:tc>
          <w:tcPr>
            <w:tcW w:w="1280" w:type="dxa"/>
            <w:vAlign w:val="center"/>
          </w:tcPr>
          <w:p w14:paraId="509E652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1:5000</w:t>
            </w:r>
          </w:p>
        </w:tc>
      </w:tr>
      <w:tr w:rsidR="00DE4261" w:rsidRPr="004769B3" w14:paraId="57B5103E" w14:textId="77777777" w:rsidTr="00363FA1">
        <w:trPr>
          <w:jc w:val="center"/>
        </w:trPr>
        <w:tc>
          <w:tcPr>
            <w:tcW w:w="1815" w:type="dxa"/>
            <w:vAlign w:val="center"/>
          </w:tcPr>
          <w:p w14:paraId="2958295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p-STING</w:t>
            </w:r>
          </w:p>
        </w:tc>
        <w:tc>
          <w:tcPr>
            <w:tcW w:w="4564" w:type="dxa"/>
            <w:vAlign w:val="center"/>
          </w:tcPr>
          <w:p w14:paraId="3637660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Cell Signaling Technology, Danvers, MA, USA</w:t>
            </w:r>
          </w:p>
        </w:tc>
        <w:tc>
          <w:tcPr>
            <w:tcW w:w="1701" w:type="dxa"/>
            <w:vAlign w:val="center"/>
          </w:tcPr>
          <w:p w14:paraId="06519F1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50907S</w:t>
            </w:r>
          </w:p>
        </w:tc>
        <w:tc>
          <w:tcPr>
            <w:tcW w:w="1280" w:type="dxa"/>
            <w:vAlign w:val="center"/>
          </w:tcPr>
          <w:p w14:paraId="0451F87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1:1000</w:t>
            </w:r>
          </w:p>
        </w:tc>
      </w:tr>
      <w:tr w:rsidR="00DE4261" w:rsidRPr="004769B3" w14:paraId="6064C4F4" w14:textId="77777777" w:rsidTr="00363FA1">
        <w:trPr>
          <w:jc w:val="center"/>
        </w:trPr>
        <w:tc>
          <w:tcPr>
            <w:tcW w:w="1815" w:type="dxa"/>
            <w:vAlign w:val="center"/>
          </w:tcPr>
          <w:p w14:paraId="583D0AC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TBK1</w:t>
            </w:r>
          </w:p>
        </w:tc>
        <w:tc>
          <w:tcPr>
            <w:tcW w:w="4564" w:type="dxa"/>
            <w:vAlign w:val="center"/>
          </w:tcPr>
          <w:p w14:paraId="38D2DECA"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ABclonal Technology, Wuhan, Hubei, China</w:t>
            </w:r>
          </w:p>
        </w:tc>
        <w:tc>
          <w:tcPr>
            <w:tcW w:w="1701" w:type="dxa"/>
            <w:vAlign w:val="center"/>
          </w:tcPr>
          <w:p w14:paraId="0CB9C03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A3458</w:t>
            </w:r>
          </w:p>
        </w:tc>
        <w:tc>
          <w:tcPr>
            <w:tcW w:w="1280" w:type="dxa"/>
            <w:vAlign w:val="center"/>
          </w:tcPr>
          <w:p w14:paraId="4D0F560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1:1000</w:t>
            </w:r>
          </w:p>
        </w:tc>
      </w:tr>
      <w:tr w:rsidR="00DE4261" w:rsidRPr="004769B3" w14:paraId="516FB03C" w14:textId="77777777" w:rsidTr="00363FA1">
        <w:trPr>
          <w:jc w:val="center"/>
        </w:trPr>
        <w:tc>
          <w:tcPr>
            <w:tcW w:w="1815" w:type="dxa"/>
            <w:vAlign w:val="center"/>
          </w:tcPr>
          <w:p w14:paraId="14E4A02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p-TBK1</w:t>
            </w:r>
          </w:p>
        </w:tc>
        <w:tc>
          <w:tcPr>
            <w:tcW w:w="4564" w:type="dxa"/>
            <w:vAlign w:val="center"/>
          </w:tcPr>
          <w:p w14:paraId="21DFE38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Abcam, Cambridge, UK</w:t>
            </w:r>
          </w:p>
        </w:tc>
        <w:tc>
          <w:tcPr>
            <w:tcW w:w="1701" w:type="dxa"/>
            <w:vAlign w:val="center"/>
          </w:tcPr>
          <w:p w14:paraId="2527E40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AB109272</w:t>
            </w:r>
          </w:p>
        </w:tc>
        <w:tc>
          <w:tcPr>
            <w:tcW w:w="1280" w:type="dxa"/>
            <w:vAlign w:val="center"/>
          </w:tcPr>
          <w:p w14:paraId="0664507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1:3000</w:t>
            </w:r>
          </w:p>
        </w:tc>
      </w:tr>
      <w:tr w:rsidR="00DE4261" w:rsidRPr="004769B3" w14:paraId="43455132" w14:textId="77777777" w:rsidTr="00363FA1">
        <w:trPr>
          <w:jc w:val="center"/>
        </w:trPr>
        <w:tc>
          <w:tcPr>
            <w:tcW w:w="1815" w:type="dxa"/>
            <w:vAlign w:val="center"/>
          </w:tcPr>
          <w:p w14:paraId="44C8C0D1"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IRF3</w:t>
            </w:r>
          </w:p>
        </w:tc>
        <w:tc>
          <w:tcPr>
            <w:tcW w:w="4564" w:type="dxa"/>
            <w:vAlign w:val="center"/>
          </w:tcPr>
          <w:p w14:paraId="6499F5A7"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HUABIO, Hangzhou, Zhejiang, China</w:t>
            </w:r>
          </w:p>
        </w:tc>
        <w:tc>
          <w:tcPr>
            <w:tcW w:w="1701" w:type="dxa"/>
            <w:vAlign w:val="center"/>
          </w:tcPr>
          <w:p w14:paraId="0171FECF"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ET1612-14</w:t>
            </w:r>
          </w:p>
        </w:tc>
        <w:tc>
          <w:tcPr>
            <w:tcW w:w="1280" w:type="dxa"/>
            <w:vAlign w:val="center"/>
          </w:tcPr>
          <w:p w14:paraId="0D48F756"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1:1000</w:t>
            </w:r>
          </w:p>
        </w:tc>
      </w:tr>
      <w:tr w:rsidR="00DE4261" w:rsidRPr="004769B3" w14:paraId="0FE73340" w14:textId="77777777" w:rsidTr="00363FA1">
        <w:trPr>
          <w:jc w:val="center"/>
        </w:trPr>
        <w:tc>
          <w:tcPr>
            <w:tcW w:w="1815" w:type="dxa"/>
            <w:vAlign w:val="center"/>
          </w:tcPr>
          <w:p w14:paraId="5548BDE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p-IRF3</w:t>
            </w:r>
          </w:p>
        </w:tc>
        <w:tc>
          <w:tcPr>
            <w:tcW w:w="4564" w:type="dxa"/>
            <w:vAlign w:val="center"/>
          </w:tcPr>
          <w:p w14:paraId="62AAE54B"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HUABIO, Hangzhou, Zhejiang, China</w:t>
            </w:r>
          </w:p>
        </w:tc>
        <w:tc>
          <w:tcPr>
            <w:tcW w:w="1701" w:type="dxa"/>
            <w:vAlign w:val="center"/>
          </w:tcPr>
          <w:p w14:paraId="512B50E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HA722772</w:t>
            </w:r>
          </w:p>
        </w:tc>
        <w:tc>
          <w:tcPr>
            <w:tcW w:w="1280" w:type="dxa"/>
            <w:vAlign w:val="center"/>
          </w:tcPr>
          <w:p w14:paraId="05CC7668"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1:1000</w:t>
            </w:r>
          </w:p>
        </w:tc>
      </w:tr>
      <w:tr w:rsidR="00DE4261" w:rsidRPr="004769B3" w14:paraId="07F59624" w14:textId="77777777" w:rsidTr="00363FA1">
        <w:trPr>
          <w:jc w:val="center"/>
        </w:trPr>
        <w:tc>
          <w:tcPr>
            <w:tcW w:w="1815" w:type="dxa"/>
            <w:vAlign w:val="center"/>
          </w:tcPr>
          <w:p w14:paraId="33A5CBF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p65</w:t>
            </w:r>
          </w:p>
        </w:tc>
        <w:tc>
          <w:tcPr>
            <w:tcW w:w="4564" w:type="dxa"/>
            <w:vAlign w:val="center"/>
          </w:tcPr>
          <w:p w14:paraId="7A8E4832"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Proteintech Group, Wuhan, Hubei, China</w:t>
            </w:r>
          </w:p>
        </w:tc>
        <w:tc>
          <w:tcPr>
            <w:tcW w:w="1701" w:type="dxa"/>
            <w:vAlign w:val="center"/>
          </w:tcPr>
          <w:p w14:paraId="3F74B05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10745-1-AP</w:t>
            </w:r>
          </w:p>
        </w:tc>
        <w:tc>
          <w:tcPr>
            <w:tcW w:w="1280" w:type="dxa"/>
            <w:vAlign w:val="center"/>
          </w:tcPr>
          <w:p w14:paraId="7A9D849E"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1:1000</w:t>
            </w:r>
          </w:p>
        </w:tc>
      </w:tr>
      <w:tr w:rsidR="00DE4261" w:rsidRPr="004769B3" w14:paraId="33CC2E69" w14:textId="77777777" w:rsidTr="00363FA1">
        <w:trPr>
          <w:jc w:val="center"/>
        </w:trPr>
        <w:tc>
          <w:tcPr>
            <w:tcW w:w="1815" w:type="dxa"/>
            <w:vAlign w:val="center"/>
          </w:tcPr>
          <w:p w14:paraId="738D968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p-p65</w:t>
            </w:r>
          </w:p>
        </w:tc>
        <w:tc>
          <w:tcPr>
            <w:tcW w:w="4564" w:type="dxa"/>
            <w:vAlign w:val="center"/>
          </w:tcPr>
          <w:p w14:paraId="19D59743"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Proteintech Group, Wuhan, Hubei, China</w:t>
            </w:r>
          </w:p>
        </w:tc>
        <w:tc>
          <w:tcPr>
            <w:tcW w:w="1701" w:type="dxa"/>
            <w:vAlign w:val="center"/>
          </w:tcPr>
          <w:p w14:paraId="32189884"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82335-1-RR</w:t>
            </w:r>
          </w:p>
        </w:tc>
        <w:tc>
          <w:tcPr>
            <w:tcW w:w="1280" w:type="dxa"/>
            <w:vAlign w:val="center"/>
          </w:tcPr>
          <w:p w14:paraId="749FDC1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1:3000</w:t>
            </w:r>
          </w:p>
        </w:tc>
      </w:tr>
    </w:tbl>
    <w:p w14:paraId="3B1D3EF2" w14:textId="77777777" w:rsidR="00DE4261" w:rsidRPr="004769B3" w:rsidRDefault="00DE4261" w:rsidP="00DE4261">
      <w:pPr>
        <w:pStyle w:val="TSP43tablefooter"/>
        <w:rPr>
          <w:rFonts w:eastAsia="宋体"/>
        </w:rPr>
      </w:pPr>
      <w:r w:rsidRPr="004769B3">
        <w:rPr>
          <w:rFonts w:eastAsia="宋体"/>
        </w:rPr>
        <w:t>Note: Prestained Protein Ladder (Thermo Fisher Scientific, 26616, Waltham, MA, USA). Abbreviations: ATM, ataxia-telangiectasia mutated; IRF3, interferon regulatory factor 3; PD-L1, programmed death-ligand 1; STING, stimulator of interferon genes; TBK1, TANK-binding kinase 1.</w:t>
      </w:r>
    </w:p>
    <w:p w14:paraId="6C04AAB8" w14:textId="77777777" w:rsidR="00DE4261" w:rsidRPr="004769B3" w:rsidRDefault="00DE4261" w:rsidP="00DE4261">
      <w:pPr>
        <w:adjustRightInd/>
        <w:snapToGrid/>
        <w:spacing w:line="240" w:lineRule="auto"/>
        <w:jc w:val="left"/>
        <w:rPr>
          <w:rFonts w:cs="Cordia New"/>
          <w:noProof w:val="0"/>
          <w:sz w:val="20"/>
          <w:szCs w:val="22"/>
          <w:lang w:eastAsia="de-DE" w:bidi="en-US"/>
        </w:rPr>
      </w:pPr>
      <w:r w:rsidRPr="004769B3">
        <w:br w:type="page"/>
      </w:r>
    </w:p>
    <w:p w14:paraId="0A1648C3" w14:textId="44CD499A" w:rsidR="00DE4261" w:rsidRPr="004769B3" w:rsidRDefault="00DE4261" w:rsidP="00DE4261">
      <w:pPr>
        <w:pStyle w:val="TSP41tablecaption"/>
        <w:jc w:val="center"/>
        <w:rPr>
          <w:rFonts w:eastAsia="宋体"/>
        </w:rPr>
      </w:pPr>
      <w:r w:rsidRPr="004769B3">
        <w:rPr>
          <w:b/>
        </w:rPr>
        <w:lastRenderedPageBreak/>
        <w:t xml:space="preserve">Table </w:t>
      </w:r>
      <w:r>
        <w:rPr>
          <w:rFonts w:eastAsiaTheme="minorEastAsia" w:hint="eastAsia"/>
          <w:b/>
          <w:lang w:eastAsia="zh-CN"/>
        </w:rPr>
        <w:t>S</w:t>
      </w:r>
      <w:r w:rsidRPr="004769B3">
        <w:rPr>
          <w:b/>
        </w:rPr>
        <w:t>8:</w:t>
      </w:r>
      <w:r w:rsidRPr="004769B3">
        <w:t xml:space="preserve"> </w:t>
      </w:r>
      <w:r w:rsidRPr="004769B3">
        <w:rPr>
          <w:rFonts w:eastAsia="宋体"/>
        </w:rPr>
        <w:t xml:space="preserve">ChIP-qPCR primers and NF-κB-binding sites in the mouse </w:t>
      </w:r>
      <w:r w:rsidRPr="004769B3">
        <w:rPr>
          <w:rFonts w:eastAsia="宋体"/>
          <w:i/>
          <w:iCs/>
        </w:rPr>
        <w:t>Cd274</w:t>
      </w:r>
      <w:r w:rsidRPr="004769B3">
        <w:rPr>
          <w:rFonts w:eastAsia="宋体"/>
        </w:rPr>
        <w:t xml:space="preserve"> promoter</w:t>
      </w:r>
      <w:r w:rsidRPr="004769B3">
        <w:t>.</w:t>
      </w:r>
    </w:p>
    <w:tbl>
      <w:tblPr>
        <w:tblW w:w="9360" w:type="dxa"/>
        <w:jc w:val="center"/>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709"/>
        <w:gridCol w:w="1276"/>
        <w:gridCol w:w="1505"/>
        <w:gridCol w:w="1027"/>
        <w:gridCol w:w="1153"/>
        <w:gridCol w:w="1782"/>
        <w:gridCol w:w="1908"/>
      </w:tblGrid>
      <w:tr w:rsidR="00DE4261" w:rsidRPr="004769B3" w14:paraId="5290D720" w14:textId="77777777" w:rsidTr="00363FA1">
        <w:trPr>
          <w:jc w:val="center"/>
        </w:trPr>
        <w:tc>
          <w:tcPr>
            <w:tcW w:w="709" w:type="dxa"/>
            <w:tcBorders>
              <w:top w:val="single" w:sz="8" w:space="0" w:color="auto"/>
              <w:bottom w:val="single" w:sz="4" w:space="0" w:color="auto"/>
            </w:tcBorders>
            <w:vAlign w:val="center"/>
          </w:tcPr>
          <w:p w14:paraId="13F21452" w14:textId="77777777" w:rsidR="00DE4261" w:rsidRPr="004769B3" w:rsidRDefault="00DE4261" w:rsidP="00363FA1">
            <w:pPr>
              <w:autoSpaceDE w:val="0"/>
              <w:autoSpaceDN w:val="0"/>
              <w:spacing w:line="240" w:lineRule="auto"/>
              <w:jc w:val="center"/>
              <w:rPr>
                <w:b/>
                <w:color w:val="000000" w:themeColor="text1"/>
                <w:sz w:val="20"/>
                <w:lang w:val="en-GB"/>
              </w:rPr>
            </w:pPr>
            <w:r w:rsidRPr="004769B3">
              <w:rPr>
                <w:b/>
                <w:bCs/>
                <w:sz w:val="20"/>
              </w:rPr>
              <w:t>Site</w:t>
            </w:r>
          </w:p>
        </w:tc>
        <w:tc>
          <w:tcPr>
            <w:tcW w:w="1276" w:type="dxa"/>
            <w:tcBorders>
              <w:top w:val="single" w:sz="8" w:space="0" w:color="auto"/>
              <w:bottom w:val="single" w:sz="4" w:space="0" w:color="auto"/>
            </w:tcBorders>
            <w:vAlign w:val="center"/>
          </w:tcPr>
          <w:p w14:paraId="49023919" w14:textId="77777777" w:rsidR="00DE4261" w:rsidRPr="004769B3" w:rsidRDefault="00DE4261" w:rsidP="00363FA1">
            <w:pPr>
              <w:autoSpaceDE w:val="0"/>
              <w:autoSpaceDN w:val="0"/>
              <w:spacing w:line="240" w:lineRule="auto"/>
              <w:jc w:val="center"/>
              <w:rPr>
                <w:b/>
                <w:color w:val="000000" w:themeColor="text1"/>
                <w:sz w:val="20"/>
                <w:lang w:val="en-GB"/>
              </w:rPr>
            </w:pPr>
            <w:r w:rsidRPr="004769B3">
              <w:rPr>
                <w:b/>
                <w:bCs/>
                <w:sz w:val="20"/>
              </w:rPr>
              <w:t>Motif Position Relative to TSS</w:t>
            </w:r>
          </w:p>
        </w:tc>
        <w:tc>
          <w:tcPr>
            <w:tcW w:w="1505" w:type="dxa"/>
            <w:tcBorders>
              <w:top w:val="single" w:sz="8" w:space="0" w:color="auto"/>
              <w:bottom w:val="single" w:sz="4" w:space="0" w:color="auto"/>
            </w:tcBorders>
            <w:vAlign w:val="center"/>
          </w:tcPr>
          <w:p w14:paraId="75554D78" w14:textId="77777777" w:rsidR="00DE4261" w:rsidRPr="004769B3" w:rsidRDefault="00DE4261" w:rsidP="00363FA1">
            <w:pPr>
              <w:autoSpaceDE w:val="0"/>
              <w:autoSpaceDN w:val="0"/>
              <w:spacing w:line="240" w:lineRule="auto"/>
              <w:jc w:val="center"/>
              <w:rPr>
                <w:b/>
                <w:color w:val="000000" w:themeColor="text1"/>
                <w:sz w:val="20"/>
                <w:lang w:val="en-GB"/>
              </w:rPr>
            </w:pPr>
            <w:r w:rsidRPr="004769B3">
              <w:rPr>
                <w:b/>
                <w:bCs/>
                <w:sz w:val="20"/>
              </w:rPr>
              <w:t>Genomic Coordinates</w:t>
            </w:r>
          </w:p>
        </w:tc>
        <w:tc>
          <w:tcPr>
            <w:tcW w:w="1027" w:type="dxa"/>
            <w:tcBorders>
              <w:top w:val="single" w:sz="8" w:space="0" w:color="auto"/>
              <w:bottom w:val="single" w:sz="4" w:space="0" w:color="auto"/>
            </w:tcBorders>
            <w:vAlign w:val="center"/>
          </w:tcPr>
          <w:p w14:paraId="6489E92E" w14:textId="77777777" w:rsidR="00DE4261" w:rsidRPr="004769B3" w:rsidRDefault="00DE4261" w:rsidP="00363FA1">
            <w:pPr>
              <w:autoSpaceDE w:val="0"/>
              <w:autoSpaceDN w:val="0"/>
              <w:spacing w:line="240" w:lineRule="auto"/>
              <w:jc w:val="center"/>
              <w:rPr>
                <w:b/>
                <w:color w:val="000000" w:themeColor="text1"/>
                <w:sz w:val="20"/>
                <w:lang w:val="en-GB"/>
              </w:rPr>
            </w:pPr>
            <w:r w:rsidRPr="004769B3">
              <w:rPr>
                <w:b/>
                <w:bCs/>
                <w:sz w:val="20"/>
              </w:rPr>
              <w:t>WT Motif</w:t>
            </w:r>
          </w:p>
        </w:tc>
        <w:tc>
          <w:tcPr>
            <w:tcW w:w="1153" w:type="dxa"/>
            <w:tcBorders>
              <w:top w:val="single" w:sz="8" w:space="0" w:color="auto"/>
              <w:bottom w:val="single" w:sz="4" w:space="0" w:color="auto"/>
            </w:tcBorders>
            <w:vAlign w:val="center"/>
          </w:tcPr>
          <w:p w14:paraId="19C37BD4" w14:textId="77777777" w:rsidR="00DE4261" w:rsidRPr="004769B3" w:rsidRDefault="00DE4261" w:rsidP="00363FA1">
            <w:pPr>
              <w:autoSpaceDE w:val="0"/>
              <w:autoSpaceDN w:val="0"/>
              <w:spacing w:line="240" w:lineRule="auto"/>
              <w:jc w:val="center"/>
              <w:rPr>
                <w:b/>
                <w:color w:val="000000" w:themeColor="text1"/>
                <w:sz w:val="20"/>
                <w:lang w:val="en-GB"/>
              </w:rPr>
            </w:pPr>
            <w:r w:rsidRPr="004769B3">
              <w:rPr>
                <w:b/>
                <w:bCs/>
                <w:sz w:val="20"/>
              </w:rPr>
              <w:t>Amplicon Region Relative to TSS</w:t>
            </w:r>
          </w:p>
        </w:tc>
        <w:tc>
          <w:tcPr>
            <w:tcW w:w="1782" w:type="dxa"/>
            <w:tcBorders>
              <w:top w:val="single" w:sz="8" w:space="0" w:color="auto"/>
              <w:bottom w:val="single" w:sz="4" w:space="0" w:color="auto"/>
            </w:tcBorders>
            <w:vAlign w:val="center"/>
          </w:tcPr>
          <w:p w14:paraId="7B723FFD" w14:textId="77777777" w:rsidR="00DE4261" w:rsidRPr="004769B3" w:rsidRDefault="00DE4261" w:rsidP="00363FA1">
            <w:pPr>
              <w:autoSpaceDE w:val="0"/>
              <w:autoSpaceDN w:val="0"/>
              <w:spacing w:line="240" w:lineRule="auto"/>
              <w:jc w:val="center"/>
              <w:rPr>
                <w:b/>
                <w:color w:val="000000" w:themeColor="text1"/>
                <w:sz w:val="20"/>
                <w:lang w:val="en-GB"/>
              </w:rPr>
            </w:pPr>
            <w:r w:rsidRPr="004769B3">
              <w:rPr>
                <w:b/>
                <w:bCs/>
                <w:sz w:val="20"/>
              </w:rPr>
              <w:t>Forward Primer (5</w:t>
            </w:r>
            <w:r w:rsidRPr="004769B3">
              <w:rPr>
                <w:rFonts w:ascii="Times New Roman" w:hAnsi="Times New Roman"/>
                <w:b/>
                <w:bCs/>
                <w:sz w:val="20"/>
              </w:rPr>
              <w:t>′</w:t>
            </w:r>
            <w:r w:rsidRPr="004769B3">
              <w:rPr>
                <w:rFonts w:cs="Minion Pro"/>
                <w:b/>
                <w:bCs/>
                <w:sz w:val="20"/>
              </w:rPr>
              <w:t>–</w:t>
            </w:r>
            <w:r w:rsidRPr="004769B3">
              <w:rPr>
                <w:b/>
                <w:bCs/>
                <w:sz w:val="20"/>
              </w:rPr>
              <w:t>3</w:t>
            </w:r>
            <w:r w:rsidRPr="004769B3">
              <w:rPr>
                <w:rFonts w:ascii="Times New Roman" w:hAnsi="Times New Roman"/>
                <w:b/>
                <w:bCs/>
                <w:sz w:val="20"/>
              </w:rPr>
              <w:t>′</w:t>
            </w:r>
            <w:r w:rsidRPr="004769B3">
              <w:rPr>
                <w:b/>
                <w:bCs/>
                <w:sz w:val="20"/>
              </w:rPr>
              <w:t>)</w:t>
            </w:r>
          </w:p>
        </w:tc>
        <w:tc>
          <w:tcPr>
            <w:tcW w:w="1908" w:type="dxa"/>
            <w:tcBorders>
              <w:top w:val="single" w:sz="8" w:space="0" w:color="auto"/>
              <w:bottom w:val="single" w:sz="4" w:space="0" w:color="auto"/>
            </w:tcBorders>
            <w:vAlign w:val="center"/>
          </w:tcPr>
          <w:p w14:paraId="690DD427" w14:textId="77777777" w:rsidR="00DE4261" w:rsidRPr="004769B3" w:rsidRDefault="00DE4261" w:rsidP="00363FA1">
            <w:pPr>
              <w:autoSpaceDE w:val="0"/>
              <w:autoSpaceDN w:val="0"/>
              <w:spacing w:line="240" w:lineRule="auto"/>
              <w:jc w:val="center"/>
              <w:rPr>
                <w:b/>
                <w:color w:val="000000" w:themeColor="text1"/>
                <w:sz w:val="20"/>
                <w:lang w:val="en-GB"/>
              </w:rPr>
            </w:pPr>
            <w:r w:rsidRPr="004769B3">
              <w:rPr>
                <w:b/>
                <w:bCs/>
                <w:sz w:val="20"/>
              </w:rPr>
              <w:t>Reverse Primer (5</w:t>
            </w:r>
            <w:r w:rsidRPr="004769B3">
              <w:rPr>
                <w:rFonts w:ascii="Times New Roman" w:hAnsi="Times New Roman"/>
                <w:b/>
                <w:bCs/>
                <w:sz w:val="20"/>
              </w:rPr>
              <w:t>′</w:t>
            </w:r>
            <w:r w:rsidRPr="004769B3">
              <w:rPr>
                <w:rFonts w:cs="Minion Pro"/>
                <w:b/>
                <w:bCs/>
                <w:sz w:val="20"/>
              </w:rPr>
              <w:t>–</w:t>
            </w:r>
            <w:r w:rsidRPr="004769B3">
              <w:rPr>
                <w:b/>
                <w:bCs/>
                <w:sz w:val="20"/>
              </w:rPr>
              <w:t>3</w:t>
            </w:r>
            <w:r w:rsidRPr="004769B3">
              <w:rPr>
                <w:rFonts w:ascii="Times New Roman" w:hAnsi="Times New Roman"/>
                <w:b/>
                <w:bCs/>
                <w:sz w:val="20"/>
              </w:rPr>
              <w:t>′</w:t>
            </w:r>
            <w:r w:rsidRPr="004769B3">
              <w:rPr>
                <w:b/>
                <w:bCs/>
                <w:sz w:val="20"/>
              </w:rPr>
              <w:t>)</w:t>
            </w:r>
          </w:p>
        </w:tc>
      </w:tr>
      <w:tr w:rsidR="00DE4261" w:rsidRPr="004769B3" w14:paraId="09B5AE7A" w14:textId="77777777" w:rsidTr="00363FA1">
        <w:trPr>
          <w:jc w:val="center"/>
        </w:trPr>
        <w:tc>
          <w:tcPr>
            <w:tcW w:w="709" w:type="dxa"/>
            <w:tcBorders>
              <w:top w:val="single" w:sz="4" w:space="0" w:color="auto"/>
            </w:tcBorders>
            <w:vAlign w:val="center"/>
          </w:tcPr>
          <w:p w14:paraId="1999C33D"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p1</w:t>
            </w:r>
          </w:p>
        </w:tc>
        <w:tc>
          <w:tcPr>
            <w:tcW w:w="1276" w:type="dxa"/>
            <w:tcBorders>
              <w:top w:val="single" w:sz="4" w:space="0" w:color="auto"/>
            </w:tcBorders>
            <w:vAlign w:val="center"/>
          </w:tcPr>
          <w:p w14:paraId="3AE3C21E"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−1980 to −1971 bp</w:t>
            </w:r>
          </w:p>
        </w:tc>
        <w:tc>
          <w:tcPr>
            <w:tcW w:w="1505" w:type="dxa"/>
            <w:tcBorders>
              <w:top w:val="single" w:sz="4" w:space="0" w:color="auto"/>
            </w:tcBorders>
            <w:vAlign w:val="center"/>
          </w:tcPr>
          <w:p w14:paraId="4E9AD343"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NC_000085.7:29337448–29337457</w:t>
            </w:r>
          </w:p>
        </w:tc>
        <w:tc>
          <w:tcPr>
            <w:tcW w:w="1027" w:type="dxa"/>
            <w:tcBorders>
              <w:top w:val="single" w:sz="4" w:space="0" w:color="auto"/>
            </w:tcBorders>
            <w:vAlign w:val="center"/>
          </w:tcPr>
          <w:p w14:paraId="24A78D6E"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AGGAAATCCC</w:t>
            </w:r>
          </w:p>
        </w:tc>
        <w:tc>
          <w:tcPr>
            <w:tcW w:w="1153" w:type="dxa"/>
            <w:tcBorders>
              <w:top w:val="single" w:sz="4" w:space="0" w:color="auto"/>
            </w:tcBorders>
            <w:vAlign w:val="center"/>
          </w:tcPr>
          <w:p w14:paraId="4AE97181"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1984 to −1860 bp</w:t>
            </w:r>
          </w:p>
        </w:tc>
        <w:tc>
          <w:tcPr>
            <w:tcW w:w="1782" w:type="dxa"/>
            <w:tcBorders>
              <w:top w:val="single" w:sz="4" w:space="0" w:color="auto"/>
            </w:tcBorders>
            <w:vAlign w:val="center"/>
          </w:tcPr>
          <w:p w14:paraId="78B432B5"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GTAGAGACAGGGTCTCAC</w:t>
            </w:r>
          </w:p>
        </w:tc>
        <w:tc>
          <w:tcPr>
            <w:tcW w:w="1908" w:type="dxa"/>
            <w:tcBorders>
              <w:top w:val="single" w:sz="4" w:space="0" w:color="auto"/>
            </w:tcBorders>
            <w:vAlign w:val="center"/>
          </w:tcPr>
          <w:p w14:paraId="340A4995"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CCTGGCCAATTTTTAAATTT</w:t>
            </w:r>
          </w:p>
        </w:tc>
      </w:tr>
      <w:tr w:rsidR="00DE4261" w:rsidRPr="004769B3" w14:paraId="62C69665" w14:textId="77777777" w:rsidTr="00363FA1">
        <w:trPr>
          <w:jc w:val="center"/>
        </w:trPr>
        <w:tc>
          <w:tcPr>
            <w:tcW w:w="709" w:type="dxa"/>
            <w:vAlign w:val="center"/>
          </w:tcPr>
          <w:p w14:paraId="19F32D87"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p2</w:t>
            </w:r>
          </w:p>
        </w:tc>
        <w:tc>
          <w:tcPr>
            <w:tcW w:w="1276" w:type="dxa"/>
            <w:vAlign w:val="center"/>
          </w:tcPr>
          <w:p w14:paraId="21265828"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−1164 to −1155 bp</w:t>
            </w:r>
          </w:p>
        </w:tc>
        <w:tc>
          <w:tcPr>
            <w:tcW w:w="1505" w:type="dxa"/>
            <w:vAlign w:val="center"/>
          </w:tcPr>
          <w:p w14:paraId="5710AE47"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NC_000085.7:29338264–29338273</w:t>
            </w:r>
          </w:p>
        </w:tc>
        <w:tc>
          <w:tcPr>
            <w:tcW w:w="1027" w:type="dxa"/>
            <w:vAlign w:val="center"/>
          </w:tcPr>
          <w:p w14:paraId="35FAB907"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GGGAAATCTC</w:t>
            </w:r>
          </w:p>
        </w:tc>
        <w:tc>
          <w:tcPr>
            <w:tcW w:w="1153" w:type="dxa"/>
            <w:vAlign w:val="center"/>
          </w:tcPr>
          <w:p w14:paraId="6E991636"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−1174 to −1045 bp</w:t>
            </w:r>
          </w:p>
        </w:tc>
        <w:tc>
          <w:tcPr>
            <w:tcW w:w="1782" w:type="dxa"/>
            <w:vAlign w:val="center"/>
          </w:tcPr>
          <w:p w14:paraId="01F5F933"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TCTTTTCCCATATTTTCCAGG</w:t>
            </w:r>
          </w:p>
        </w:tc>
        <w:tc>
          <w:tcPr>
            <w:tcW w:w="1908" w:type="dxa"/>
            <w:vAlign w:val="center"/>
          </w:tcPr>
          <w:p w14:paraId="5465DC70"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GACACAGTTGAGACCATGTCTC</w:t>
            </w:r>
          </w:p>
        </w:tc>
      </w:tr>
      <w:tr w:rsidR="00DE4261" w:rsidRPr="004769B3" w14:paraId="45683266" w14:textId="77777777" w:rsidTr="00363FA1">
        <w:trPr>
          <w:jc w:val="center"/>
        </w:trPr>
        <w:tc>
          <w:tcPr>
            <w:tcW w:w="709" w:type="dxa"/>
            <w:vAlign w:val="center"/>
          </w:tcPr>
          <w:p w14:paraId="77848C23"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p3</w:t>
            </w:r>
          </w:p>
        </w:tc>
        <w:tc>
          <w:tcPr>
            <w:tcW w:w="1276" w:type="dxa"/>
            <w:vAlign w:val="center"/>
          </w:tcPr>
          <w:p w14:paraId="330106B0"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−475 to −466 bp</w:t>
            </w:r>
          </w:p>
        </w:tc>
        <w:tc>
          <w:tcPr>
            <w:tcW w:w="1505" w:type="dxa"/>
            <w:vAlign w:val="center"/>
          </w:tcPr>
          <w:p w14:paraId="496A5E09"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NC_000085.7:29338953–29338962</w:t>
            </w:r>
          </w:p>
        </w:tc>
        <w:tc>
          <w:tcPr>
            <w:tcW w:w="1027" w:type="dxa"/>
            <w:vAlign w:val="center"/>
          </w:tcPr>
          <w:p w14:paraId="10A65FC8"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GGTATTTCCC</w:t>
            </w:r>
          </w:p>
        </w:tc>
        <w:tc>
          <w:tcPr>
            <w:tcW w:w="1153" w:type="dxa"/>
            <w:vAlign w:val="center"/>
          </w:tcPr>
          <w:p w14:paraId="59B52D55"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−485 to −355 bp</w:t>
            </w:r>
          </w:p>
        </w:tc>
        <w:tc>
          <w:tcPr>
            <w:tcW w:w="1782" w:type="dxa"/>
            <w:vAlign w:val="center"/>
          </w:tcPr>
          <w:p w14:paraId="16990021"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TAGCCCTGGCTGTCCTGGAAC</w:t>
            </w:r>
          </w:p>
        </w:tc>
        <w:tc>
          <w:tcPr>
            <w:tcW w:w="1908" w:type="dxa"/>
            <w:vAlign w:val="center"/>
          </w:tcPr>
          <w:p w14:paraId="06A6BB32" w14:textId="77777777" w:rsidR="00DE4261" w:rsidRPr="004769B3" w:rsidRDefault="00DE4261" w:rsidP="00363FA1">
            <w:pPr>
              <w:autoSpaceDE w:val="0"/>
              <w:autoSpaceDN w:val="0"/>
              <w:spacing w:line="240" w:lineRule="auto"/>
              <w:jc w:val="center"/>
              <w:rPr>
                <w:color w:val="000000" w:themeColor="text1"/>
                <w:sz w:val="20"/>
                <w:lang w:val="en-GB"/>
              </w:rPr>
            </w:pPr>
            <w:r w:rsidRPr="004769B3">
              <w:rPr>
                <w:sz w:val="20"/>
              </w:rPr>
              <w:t>GCCACACACCCAGCCAATTTT</w:t>
            </w:r>
          </w:p>
        </w:tc>
      </w:tr>
    </w:tbl>
    <w:p w14:paraId="49624699" w14:textId="77777777" w:rsidR="00DE4261" w:rsidRPr="004769B3" w:rsidRDefault="00DE4261" w:rsidP="00DE4261">
      <w:pPr>
        <w:pStyle w:val="TSP43tablefooter"/>
        <w:rPr>
          <w:rFonts w:eastAsia="宋体"/>
        </w:rPr>
      </w:pPr>
      <w:r w:rsidRPr="004769B3">
        <w:t xml:space="preserve">Note: </w:t>
      </w:r>
      <w:r w:rsidRPr="004769B3">
        <w:rPr>
          <w:rFonts w:eastAsia="宋体"/>
        </w:rPr>
        <w:t>Abbreviations: ChIP-qPCR, chromatin immunoprecipitation–quantitative PCR; NF-κB, nuclear factor kappa B; TSS, transcription start site; WT, wild-type.</w:t>
      </w:r>
    </w:p>
    <w:p w14:paraId="5A3B49BA" w14:textId="5A0E7CF2" w:rsidR="00DE4261" w:rsidRPr="004769B3" w:rsidRDefault="00DE4261" w:rsidP="00DE4261">
      <w:pPr>
        <w:pStyle w:val="TSP41tablecaption"/>
        <w:jc w:val="center"/>
        <w:rPr>
          <w:rFonts w:eastAsia="宋体"/>
        </w:rPr>
      </w:pPr>
      <w:r w:rsidRPr="004769B3">
        <w:rPr>
          <w:b/>
        </w:rPr>
        <w:t xml:space="preserve">Table </w:t>
      </w:r>
      <w:r>
        <w:rPr>
          <w:rFonts w:eastAsiaTheme="minorEastAsia" w:hint="eastAsia"/>
          <w:b/>
          <w:lang w:eastAsia="zh-CN"/>
        </w:rPr>
        <w:t>S</w:t>
      </w:r>
      <w:r w:rsidRPr="004769B3">
        <w:rPr>
          <w:b/>
        </w:rPr>
        <w:t>9:</w:t>
      </w:r>
      <w:r w:rsidRPr="004769B3">
        <w:t xml:space="preserve"> </w:t>
      </w:r>
      <w:r w:rsidRPr="004769B3">
        <w:rPr>
          <w:rFonts w:eastAsia="宋体"/>
        </w:rPr>
        <w:t>siRNA sequences</w:t>
      </w:r>
      <w:r w:rsidRPr="004769B3">
        <w:t>.</w:t>
      </w:r>
    </w:p>
    <w:tbl>
      <w:tblPr>
        <w:tblW w:w="9360" w:type="dxa"/>
        <w:jc w:val="center"/>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1105"/>
        <w:gridCol w:w="4107"/>
        <w:gridCol w:w="4148"/>
      </w:tblGrid>
      <w:tr w:rsidR="00DE4261" w:rsidRPr="004769B3" w14:paraId="24ED5CDF" w14:textId="77777777" w:rsidTr="00363FA1">
        <w:trPr>
          <w:jc w:val="center"/>
        </w:trPr>
        <w:tc>
          <w:tcPr>
            <w:tcW w:w="1006" w:type="dxa"/>
            <w:tcBorders>
              <w:top w:val="single" w:sz="8" w:space="0" w:color="auto"/>
              <w:bottom w:val="single" w:sz="4" w:space="0" w:color="auto"/>
            </w:tcBorders>
            <w:vAlign w:val="center"/>
          </w:tcPr>
          <w:p w14:paraId="2F883EDC" w14:textId="77777777" w:rsidR="00DE4261" w:rsidRPr="004769B3" w:rsidRDefault="00DE4261" w:rsidP="00363FA1">
            <w:pPr>
              <w:autoSpaceDE w:val="0"/>
              <w:autoSpaceDN w:val="0"/>
              <w:spacing w:line="240" w:lineRule="auto"/>
              <w:jc w:val="center"/>
              <w:rPr>
                <w:b/>
                <w:bCs/>
                <w:color w:val="000000" w:themeColor="text1"/>
                <w:sz w:val="20"/>
              </w:rPr>
            </w:pPr>
          </w:p>
        </w:tc>
        <w:tc>
          <w:tcPr>
            <w:tcW w:w="3739" w:type="dxa"/>
            <w:tcBorders>
              <w:top w:val="single" w:sz="8" w:space="0" w:color="auto"/>
              <w:bottom w:val="single" w:sz="4" w:space="0" w:color="auto"/>
            </w:tcBorders>
            <w:vAlign w:val="center"/>
          </w:tcPr>
          <w:p w14:paraId="18E0530B"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SS Sequence (5</w:t>
            </w:r>
            <w:r w:rsidRPr="004769B3">
              <w:rPr>
                <w:rFonts w:ascii="Times New Roman" w:hAnsi="Times New Roman"/>
                <w:b/>
                <w:bCs/>
                <w:color w:val="000000" w:themeColor="text1"/>
                <w:sz w:val="20"/>
              </w:rPr>
              <w:t>′</w:t>
            </w:r>
            <w:r w:rsidRPr="004769B3">
              <w:rPr>
                <w:b/>
                <w:bCs/>
                <w:color w:val="000000" w:themeColor="text1"/>
                <w:sz w:val="20"/>
              </w:rPr>
              <w:t>-3</w:t>
            </w:r>
            <w:r w:rsidRPr="004769B3">
              <w:rPr>
                <w:rFonts w:ascii="Times New Roman" w:hAnsi="Times New Roman"/>
                <w:b/>
                <w:bCs/>
                <w:color w:val="000000" w:themeColor="text1"/>
                <w:sz w:val="20"/>
              </w:rPr>
              <w:t>′</w:t>
            </w:r>
            <w:r w:rsidRPr="004769B3">
              <w:rPr>
                <w:b/>
                <w:bCs/>
                <w:color w:val="000000" w:themeColor="text1"/>
                <w:sz w:val="20"/>
              </w:rPr>
              <w:t>)</w:t>
            </w:r>
          </w:p>
        </w:tc>
        <w:tc>
          <w:tcPr>
            <w:tcW w:w="3777" w:type="dxa"/>
            <w:tcBorders>
              <w:top w:val="single" w:sz="8" w:space="0" w:color="auto"/>
              <w:bottom w:val="single" w:sz="4" w:space="0" w:color="auto"/>
            </w:tcBorders>
            <w:vAlign w:val="center"/>
          </w:tcPr>
          <w:p w14:paraId="70DE8DA8" w14:textId="77777777" w:rsidR="00DE4261" w:rsidRPr="004769B3" w:rsidRDefault="00DE4261" w:rsidP="00363FA1">
            <w:pPr>
              <w:autoSpaceDE w:val="0"/>
              <w:autoSpaceDN w:val="0"/>
              <w:spacing w:line="240" w:lineRule="auto"/>
              <w:jc w:val="center"/>
              <w:rPr>
                <w:b/>
                <w:bCs/>
                <w:color w:val="000000" w:themeColor="text1"/>
                <w:sz w:val="20"/>
              </w:rPr>
            </w:pPr>
            <w:r w:rsidRPr="004769B3">
              <w:rPr>
                <w:b/>
                <w:bCs/>
                <w:color w:val="000000" w:themeColor="text1"/>
                <w:sz w:val="20"/>
              </w:rPr>
              <w:t>AS Sequence (5</w:t>
            </w:r>
            <w:r w:rsidRPr="004769B3">
              <w:rPr>
                <w:rFonts w:ascii="Times New Roman" w:hAnsi="Times New Roman"/>
                <w:b/>
                <w:bCs/>
                <w:color w:val="000000" w:themeColor="text1"/>
                <w:sz w:val="20"/>
              </w:rPr>
              <w:t>′</w:t>
            </w:r>
            <w:r w:rsidRPr="004769B3">
              <w:rPr>
                <w:b/>
                <w:bCs/>
                <w:color w:val="000000" w:themeColor="text1"/>
                <w:sz w:val="20"/>
              </w:rPr>
              <w:t>-3</w:t>
            </w:r>
            <w:r w:rsidRPr="004769B3">
              <w:rPr>
                <w:rFonts w:ascii="Times New Roman" w:hAnsi="Times New Roman"/>
                <w:b/>
                <w:bCs/>
                <w:color w:val="000000" w:themeColor="text1"/>
                <w:sz w:val="20"/>
              </w:rPr>
              <w:t>′</w:t>
            </w:r>
            <w:r w:rsidRPr="004769B3">
              <w:rPr>
                <w:b/>
                <w:bCs/>
                <w:color w:val="000000" w:themeColor="text1"/>
                <w:sz w:val="20"/>
              </w:rPr>
              <w:t>)</w:t>
            </w:r>
          </w:p>
        </w:tc>
      </w:tr>
      <w:tr w:rsidR="00DE4261" w:rsidRPr="004769B3" w14:paraId="19D660F7" w14:textId="77777777" w:rsidTr="00363FA1">
        <w:trPr>
          <w:jc w:val="center"/>
        </w:trPr>
        <w:tc>
          <w:tcPr>
            <w:tcW w:w="1006" w:type="dxa"/>
            <w:tcBorders>
              <w:top w:val="single" w:sz="4" w:space="0" w:color="auto"/>
            </w:tcBorders>
            <w:vAlign w:val="center"/>
          </w:tcPr>
          <w:p w14:paraId="41108DC9"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siRNA1</w:t>
            </w:r>
          </w:p>
        </w:tc>
        <w:tc>
          <w:tcPr>
            <w:tcW w:w="3739" w:type="dxa"/>
            <w:tcBorders>
              <w:top w:val="single" w:sz="4" w:space="0" w:color="auto"/>
            </w:tcBorders>
            <w:vAlign w:val="center"/>
          </w:tcPr>
          <w:p w14:paraId="331C296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GGAGUACCCUGAAGCUAUAAC</w:t>
            </w:r>
          </w:p>
        </w:tc>
        <w:tc>
          <w:tcPr>
            <w:tcW w:w="3777" w:type="dxa"/>
            <w:tcBorders>
              <w:top w:val="single" w:sz="4" w:space="0" w:color="auto"/>
            </w:tcBorders>
            <w:vAlign w:val="center"/>
          </w:tcPr>
          <w:p w14:paraId="5A6CC535"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UAUAGCUUCAGGGUACUCCAU</w:t>
            </w:r>
          </w:p>
        </w:tc>
      </w:tr>
      <w:tr w:rsidR="00DE4261" w:rsidRPr="004769B3" w14:paraId="7539D546" w14:textId="77777777" w:rsidTr="00363FA1">
        <w:trPr>
          <w:jc w:val="center"/>
        </w:trPr>
        <w:tc>
          <w:tcPr>
            <w:tcW w:w="1006" w:type="dxa"/>
            <w:vAlign w:val="center"/>
          </w:tcPr>
          <w:p w14:paraId="5052ADFC"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siRNA2</w:t>
            </w:r>
          </w:p>
        </w:tc>
        <w:tc>
          <w:tcPr>
            <w:tcW w:w="3739" w:type="dxa"/>
            <w:vAlign w:val="center"/>
          </w:tcPr>
          <w:p w14:paraId="0EE9769D"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GGCGAGAGAAGCACAGAUACC</w:t>
            </w:r>
          </w:p>
        </w:tc>
        <w:tc>
          <w:tcPr>
            <w:tcW w:w="3777" w:type="dxa"/>
            <w:vAlign w:val="center"/>
          </w:tcPr>
          <w:p w14:paraId="2D782540" w14:textId="77777777" w:rsidR="00DE4261" w:rsidRPr="004769B3" w:rsidRDefault="00DE4261" w:rsidP="00363FA1">
            <w:pPr>
              <w:autoSpaceDE w:val="0"/>
              <w:autoSpaceDN w:val="0"/>
              <w:spacing w:line="240" w:lineRule="auto"/>
              <w:jc w:val="center"/>
              <w:rPr>
                <w:color w:val="000000" w:themeColor="text1"/>
                <w:sz w:val="20"/>
              </w:rPr>
            </w:pPr>
            <w:r w:rsidRPr="004769B3">
              <w:rPr>
                <w:color w:val="000000" w:themeColor="text1"/>
                <w:sz w:val="20"/>
              </w:rPr>
              <w:t>UAUCUGUGCUUCUCUCGCCAG</w:t>
            </w:r>
          </w:p>
        </w:tc>
      </w:tr>
    </w:tbl>
    <w:p w14:paraId="46B7D424" w14:textId="77777777" w:rsidR="00DE4261" w:rsidRPr="004769B3" w:rsidRDefault="00DE4261" w:rsidP="00DE4261">
      <w:pPr>
        <w:pStyle w:val="TSP43tablefooter"/>
        <w:rPr>
          <w:rFonts w:eastAsia="宋体"/>
          <w:lang w:val="en-GB"/>
        </w:rPr>
      </w:pPr>
      <w:r w:rsidRPr="004769B3">
        <w:rPr>
          <w:lang w:val="en-GB"/>
        </w:rPr>
        <w:t xml:space="preserve">Note: </w:t>
      </w:r>
      <w:r w:rsidRPr="004769B3">
        <w:rPr>
          <w:rFonts w:eastAsia="宋体"/>
          <w:lang w:val="en-GB"/>
        </w:rPr>
        <w:t>Abbreviations: AS, antisense strand; SS, sense strand.</w:t>
      </w:r>
    </w:p>
    <w:sectPr w:rsidR="00DE4261" w:rsidRPr="004769B3">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nion Pro">
    <w:altName w:val="Times New Roman"/>
    <w:panose1 w:val="02040503050201020203"/>
    <w:charset w:val="00"/>
    <w:family w:val="roman"/>
    <w:notTrueType/>
    <w:pitch w:val="variable"/>
    <w:sig w:usb0="E00002AF" w:usb1="5000E07B" w:usb2="00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B468F5"/>
    <w:multiLevelType w:val="hybridMultilevel"/>
    <w:tmpl w:val="CC4E56EA"/>
    <w:lvl w:ilvl="0" w:tplc="E264CA32">
      <w:start w:val="1"/>
      <w:numFmt w:val="bullet"/>
      <w:lvlRestart w:val="0"/>
      <w:pStyle w:val="TSP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2085B"/>
    <w:multiLevelType w:val="hybridMultilevel"/>
    <w:tmpl w:val="CB98231C"/>
    <w:lvl w:ilvl="0" w:tplc="664029F2">
      <w:start w:val="1"/>
      <w:numFmt w:val="decimal"/>
      <w:lvlRestart w:val="0"/>
      <w:pStyle w:val="TSP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D8623FC"/>
    <w:multiLevelType w:val="hybridMultilevel"/>
    <w:tmpl w:val="4606DBD6"/>
    <w:lvl w:ilvl="0" w:tplc="8FE6F4F4">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0012E46"/>
    <w:multiLevelType w:val="hybridMultilevel"/>
    <w:tmpl w:val="88C2FAD8"/>
    <w:lvl w:ilvl="0" w:tplc="5C06B1C6">
      <w:start w:val="1"/>
      <w:numFmt w:val="decimal"/>
      <w:pStyle w:val="TSP71References"/>
      <w:lvlText w:val="%1."/>
      <w:lvlJc w:val="left"/>
      <w:pPr>
        <w:ind w:left="360" w:hanging="360"/>
      </w:pPr>
      <w:rPr>
        <w:rFonts w:hint="eastAsia"/>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6311A3B"/>
    <w:multiLevelType w:val="hybridMultilevel"/>
    <w:tmpl w:val="9EF4A612"/>
    <w:lvl w:ilvl="0" w:tplc="BED0D818">
      <w:start w:val="1"/>
      <w:numFmt w:val="decimal"/>
      <w:lvlRestart w:val="0"/>
      <w:pStyle w:val="TSP37itemize"/>
      <w:lvlText w:val="%1."/>
      <w:lvlJc w:val="left"/>
      <w:pPr>
        <w:tabs>
          <w:tab w:val="num" w:pos="0"/>
        </w:tabs>
        <w:ind w:left="425" w:hanging="425"/>
      </w:pPr>
      <w:rPr>
        <w:rFonts w:hint="eastAsia"/>
        <w:b w:val="0"/>
        <w:i w:val="0"/>
        <w:caps w:val="0"/>
        <w:strike w:val="0"/>
        <w:dstrike w:val="0"/>
        <w:outline w:val="0"/>
        <w:shadow w:val="0"/>
        <w:emboss w:val="0"/>
        <w:imprint w:val="0"/>
        <w:vanish w:val="0"/>
        <w:color w:val="auto"/>
        <w:sz w:val="20"/>
        <w:u w:val="none"/>
        <w:effect w:val="none"/>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16cid:durableId="1956210533">
    <w:abstractNumId w:val="4"/>
  </w:num>
  <w:num w:numId="2" w16cid:durableId="1510633002">
    <w:abstractNumId w:val="0"/>
  </w:num>
  <w:num w:numId="3" w16cid:durableId="395858669">
    <w:abstractNumId w:val="1"/>
  </w:num>
  <w:num w:numId="4" w16cid:durableId="554780636">
    <w:abstractNumId w:val="3"/>
  </w:num>
  <w:num w:numId="5" w16cid:durableId="8205369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4261"/>
    <w:rsid w:val="000325C2"/>
    <w:rsid w:val="000C1CDB"/>
    <w:rsid w:val="00167D48"/>
    <w:rsid w:val="00315C91"/>
    <w:rsid w:val="00425DE1"/>
    <w:rsid w:val="0042613F"/>
    <w:rsid w:val="005258B8"/>
    <w:rsid w:val="005C0944"/>
    <w:rsid w:val="00714041"/>
    <w:rsid w:val="007327FE"/>
    <w:rsid w:val="007D2656"/>
    <w:rsid w:val="008A305C"/>
    <w:rsid w:val="00937749"/>
    <w:rsid w:val="00952D5C"/>
    <w:rsid w:val="00AD2BFD"/>
    <w:rsid w:val="00D14399"/>
    <w:rsid w:val="00D25790"/>
    <w:rsid w:val="00D30F0B"/>
    <w:rsid w:val="00DE4261"/>
    <w:rsid w:val="00DE58B5"/>
    <w:rsid w:val="00E43258"/>
    <w:rsid w:val="00FA2A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1740C3"/>
  <w15:chartTrackingRefBased/>
  <w15:docId w15:val="{BE2CFAAA-773E-476F-A322-CA2B6B6FFE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宋体"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iPriority="0" w:unhideWhenUsed="1" w:qFormat="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5DE1"/>
    <w:pPr>
      <w:adjustRightInd w:val="0"/>
      <w:snapToGrid w:val="0"/>
      <w:spacing w:after="0" w:line="240" w:lineRule="atLeast"/>
      <w:jc w:val="both"/>
    </w:pPr>
    <w:rPr>
      <w:rFonts w:ascii="Minion Pro" w:hAnsi="Minion Pro" w:cs="Times New Roman"/>
      <w:noProof/>
      <w:color w:val="000000"/>
      <w:kern w:val="0"/>
      <w:sz w:val="22"/>
      <w:szCs w:val="20"/>
      <w14:ligatures w14:val="none"/>
    </w:rPr>
  </w:style>
  <w:style w:type="paragraph" w:styleId="Heading1">
    <w:name w:val="heading 1"/>
    <w:aliases w:val="x"/>
    <w:basedOn w:val="Normal"/>
    <w:next w:val="Normal"/>
    <w:link w:val="Heading1Char"/>
    <w:qFormat/>
    <w:rsid w:val="007327FE"/>
    <w:pPr>
      <w:adjustRightInd/>
      <w:snapToGrid/>
      <w:spacing w:before="240" w:line="280" w:lineRule="atLeast"/>
      <w:outlineLvl w:val="0"/>
    </w:pPr>
    <w:rPr>
      <w:rFonts w:ascii="Arial" w:eastAsiaTheme="minorEastAsia" w:hAnsi="Arial"/>
      <w:b/>
      <w:noProof w:val="0"/>
      <w:sz w:val="20"/>
      <w:u w:val="single"/>
      <w14:ligatures w14:val="standardContextual"/>
    </w:rPr>
  </w:style>
  <w:style w:type="paragraph" w:styleId="Heading2">
    <w:name w:val="heading 2"/>
    <w:basedOn w:val="Normal"/>
    <w:next w:val="Normal"/>
    <w:link w:val="Heading2Char"/>
    <w:qFormat/>
    <w:rsid w:val="007327FE"/>
    <w:pPr>
      <w:adjustRightInd/>
      <w:snapToGrid/>
      <w:spacing w:before="120" w:line="280" w:lineRule="atLeast"/>
      <w:outlineLvl w:val="1"/>
    </w:pPr>
    <w:rPr>
      <w:rFonts w:ascii="Arial" w:eastAsiaTheme="minorEastAsia" w:hAnsi="Arial" w:cstheme="majorBidi"/>
      <w:b/>
      <w:noProof w:val="0"/>
      <w:sz w:val="20"/>
      <w14:ligatures w14:val="standardContextual"/>
    </w:rPr>
  </w:style>
  <w:style w:type="paragraph" w:styleId="Heading3">
    <w:name w:val="heading 3"/>
    <w:basedOn w:val="Normal"/>
    <w:next w:val="Normal"/>
    <w:link w:val="Heading3Char"/>
    <w:qFormat/>
    <w:rsid w:val="007327FE"/>
    <w:pPr>
      <w:adjustRightInd/>
      <w:snapToGrid/>
      <w:spacing w:line="280" w:lineRule="atLeast"/>
      <w:ind w:left="360"/>
      <w:outlineLvl w:val="2"/>
    </w:pPr>
    <w:rPr>
      <w:rFonts w:ascii="Palatino Linotype" w:eastAsiaTheme="minorEastAsia" w:hAnsi="Palatino Linotype"/>
      <w:b/>
      <w:noProof w:val="0"/>
      <w:sz w:val="20"/>
      <w14:ligatures w14:val="standardContextual"/>
    </w:rPr>
  </w:style>
  <w:style w:type="paragraph" w:styleId="Heading4">
    <w:name w:val="heading 4"/>
    <w:basedOn w:val="Normal"/>
    <w:next w:val="Normal"/>
    <w:link w:val="Heading4Char"/>
    <w:qFormat/>
    <w:rsid w:val="007327FE"/>
    <w:pPr>
      <w:keepNext/>
      <w:keepLines/>
      <w:adjustRightInd/>
      <w:snapToGrid/>
      <w:spacing w:before="240" w:line="480" w:lineRule="atLeast"/>
      <w:ind w:left="907" w:hanging="907"/>
      <w:outlineLvl w:val="3"/>
    </w:pPr>
    <w:rPr>
      <w:rFonts w:ascii="Arial" w:eastAsiaTheme="minorEastAsia" w:hAnsi="Arial" w:cstheme="majorBidi"/>
      <w:b/>
      <w:noProof w:val="0"/>
      <w:sz w:val="20"/>
      <w14:ligatures w14:val="standardContextual"/>
    </w:rPr>
  </w:style>
  <w:style w:type="paragraph" w:styleId="Heading5">
    <w:name w:val="heading 5"/>
    <w:basedOn w:val="Normal"/>
    <w:next w:val="Normal"/>
    <w:link w:val="Heading5Char"/>
    <w:qFormat/>
    <w:rsid w:val="007327FE"/>
    <w:pPr>
      <w:adjustRightInd/>
      <w:snapToGrid/>
      <w:spacing w:line="280" w:lineRule="atLeast"/>
      <w:ind w:left="706"/>
      <w:outlineLvl w:val="4"/>
    </w:pPr>
    <w:rPr>
      <w:rFonts w:ascii="Palatino Linotype" w:eastAsiaTheme="minorEastAsia" w:hAnsi="Palatino Linotype"/>
      <w:b/>
      <w:noProof w:val="0"/>
      <w:sz w:val="20"/>
      <w14:ligatures w14:val="standardContextual"/>
    </w:rPr>
  </w:style>
  <w:style w:type="paragraph" w:styleId="Heading6">
    <w:name w:val="heading 6"/>
    <w:basedOn w:val="Normal"/>
    <w:next w:val="Normal"/>
    <w:link w:val="Heading6Char"/>
    <w:qFormat/>
    <w:rsid w:val="007327FE"/>
    <w:pPr>
      <w:adjustRightInd/>
      <w:snapToGrid/>
      <w:spacing w:line="280" w:lineRule="atLeast"/>
      <w:ind w:left="706"/>
      <w:outlineLvl w:val="5"/>
    </w:pPr>
    <w:rPr>
      <w:rFonts w:ascii="Palatino Linotype" w:eastAsiaTheme="minorEastAsia" w:hAnsi="Palatino Linotype" w:cstheme="majorBidi"/>
      <w:noProof w:val="0"/>
      <w:sz w:val="20"/>
      <w:u w:val="single"/>
      <w14:ligatures w14:val="standardContextual"/>
    </w:rPr>
  </w:style>
  <w:style w:type="paragraph" w:styleId="Heading7">
    <w:name w:val="heading 7"/>
    <w:basedOn w:val="Normal"/>
    <w:next w:val="Normal"/>
    <w:link w:val="Heading7Char"/>
    <w:qFormat/>
    <w:rsid w:val="007327FE"/>
    <w:pPr>
      <w:adjustRightInd/>
      <w:snapToGrid/>
      <w:spacing w:line="280" w:lineRule="atLeast"/>
      <w:ind w:left="706"/>
      <w:outlineLvl w:val="6"/>
    </w:pPr>
    <w:rPr>
      <w:rFonts w:ascii="Palatino Linotype" w:eastAsiaTheme="minorEastAsia" w:hAnsi="Palatino Linotype"/>
      <w:i/>
      <w:noProof w:val="0"/>
      <w:sz w:val="20"/>
      <w14:ligatures w14:val="standardContextual"/>
    </w:rPr>
  </w:style>
  <w:style w:type="paragraph" w:styleId="Heading8">
    <w:name w:val="heading 8"/>
    <w:basedOn w:val="Normal"/>
    <w:next w:val="Normal"/>
    <w:link w:val="Heading8Char"/>
    <w:qFormat/>
    <w:rsid w:val="007327FE"/>
    <w:pPr>
      <w:adjustRightInd/>
      <w:snapToGrid/>
      <w:spacing w:line="280" w:lineRule="atLeast"/>
      <w:ind w:left="706"/>
      <w:outlineLvl w:val="7"/>
    </w:pPr>
    <w:rPr>
      <w:rFonts w:ascii="Palatino Linotype" w:eastAsiaTheme="minorEastAsia" w:hAnsi="Palatino Linotype" w:cstheme="majorBidi"/>
      <w:i/>
      <w:noProof w:val="0"/>
      <w:sz w:val="20"/>
      <w14:ligatures w14:val="standardContextual"/>
    </w:rPr>
  </w:style>
  <w:style w:type="paragraph" w:styleId="Heading9">
    <w:name w:val="heading 9"/>
    <w:basedOn w:val="Normal"/>
    <w:next w:val="Normal"/>
    <w:link w:val="Heading9Char"/>
    <w:qFormat/>
    <w:rsid w:val="007327FE"/>
    <w:pPr>
      <w:adjustRightInd/>
      <w:snapToGrid/>
      <w:spacing w:line="280" w:lineRule="atLeast"/>
      <w:ind w:left="706"/>
      <w:outlineLvl w:val="8"/>
    </w:pPr>
    <w:rPr>
      <w:rFonts w:ascii="Palatino Linotype" w:eastAsiaTheme="minorEastAsia" w:hAnsi="Palatino Linotype" w:cstheme="majorBidi"/>
      <w:i/>
      <w:noProof w:val="0"/>
      <w:sz w:val="20"/>
      <w14:ligatures w14:val="standardContextu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327FE"/>
  </w:style>
  <w:style w:type="paragraph" w:styleId="BalloonText">
    <w:name w:val="Balloon Text"/>
    <w:basedOn w:val="Normal"/>
    <w:link w:val="BalloonTextChar"/>
    <w:uiPriority w:val="99"/>
    <w:rsid w:val="007327FE"/>
    <w:rPr>
      <w:rFonts w:cs="Tahoma"/>
      <w:szCs w:val="18"/>
    </w:rPr>
  </w:style>
  <w:style w:type="character" w:customStyle="1" w:styleId="BalloonTextChar">
    <w:name w:val="Balloon Text Char"/>
    <w:link w:val="BalloonText"/>
    <w:uiPriority w:val="99"/>
    <w:rsid w:val="007327FE"/>
    <w:rPr>
      <w:rFonts w:ascii="Minion Pro" w:eastAsia="宋体" w:hAnsi="Minion Pro" w:cs="Tahoma"/>
      <w:noProof/>
      <w:color w:val="000000"/>
      <w:kern w:val="0"/>
      <w:sz w:val="22"/>
      <w:szCs w:val="18"/>
      <w14:ligatures w14:val="none"/>
    </w:rPr>
  </w:style>
  <w:style w:type="paragraph" w:styleId="Bibliography">
    <w:name w:val="Bibliography"/>
    <w:basedOn w:val="Normal"/>
    <w:next w:val="Normal"/>
    <w:uiPriority w:val="37"/>
    <w:semiHidden/>
    <w:unhideWhenUsed/>
    <w:rsid w:val="007327FE"/>
  </w:style>
  <w:style w:type="paragraph" w:styleId="BodyText">
    <w:name w:val="Body Text"/>
    <w:link w:val="BodyTextChar"/>
    <w:rsid w:val="007327FE"/>
    <w:pPr>
      <w:spacing w:after="120" w:line="340" w:lineRule="atLeast"/>
      <w:jc w:val="both"/>
    </w:pPr>
    <w:rPr>
      <w:rFonts w:ascii="Minion Pro" w:hAnsi="Minion Pro" w:cs="Times New Roman"/>
      <w:color w:val="000000"/>
      <w:kern w:val="0"/>
      <w:szCs w:val="20"/>
      <w:lang w:eastAsia="de-DE"/>
      <w14:ligatures w14:val="none"/>
    </w:rPr>
  </w:style>
  <w:style w:type="character" w:customStyle="1" w:styleId="BodyTextChar">
    <w:name w:val="Body Text Char"/>
    <w:link w:val="BodyText"/>
    <w:rsid w:val="007327FE"/>
    <w:rPr>
      <w:rFonts w:ascii="Minion Pro" w:eastAsia="宋体" w:hAnsi="Minion Pro" w:cs="Times New Roman"/>
      <w:color w:val="000000"/>
      <w:kern w:val="0"/>
      <w:szCs w:val="20"/>
      <w:lang w:eastAsia="de-DE"/>
      <w14:ligatures w14:val="none"/>
    </w:rPr>
  </w:style>
  <w:style w:type="character" w:styleId="CommentReference">
    <w:name w:val="annotation reference"/>
    <w:qFormat/>
    <w:rsid w:val="007327FE"/>
    <w:rPr>
      <w:sz w:val="21"/>
      <w:szCs w:val="21"/>
    </w:rPr>
  </w:style>
  <w:style w:type="paragraph" w:styleId="CommentText">
    <w:name w:val="annotation text"/>
    <w:basedOn w:val="Normal"/>
    <w:link w:val="CommentTextChar"/>
    <w:qFormat/>
    <w:rsid w:val="007327FE"/>
  </w:style>
  <w:style w:type="character" w:customStyle="1" w:styleId="CommentTextChar">
    <w:name w:val="Comment Text Char"/>
    <w:link w:val="CommentText"/>
    <w:qFormat/>
    <w:rsid w:val="007327FE"/>
    <w:rPr>
      <w:rFonts w:ascii="Minion Pro" w:eastAsia="宋体" w:hAnsi="Minion Pro" w:cs="Times New Roman"/>
      <w:noProof/>
      <w:color w:val="000000"/>
      <w:kern w:val="0"/>
      <w:sz w:val="22"/>
      <w:szCs w:val="20"/>
      <w14:ligatures w14:val="none"/>
    </w:rPr>
  </w:style>
  <w:style w:type="paragraph" w:styleId="CommentSubject">
    <w:name w:val="annotation subject"/>
    <w:basedOn w:val="CommentText"/>
    <w:next w:val="CommentText"/>
    <w:link w:val="CommentSubjectChar"/>
    <w:qFormat/>
    <w:rsid w:val="007327FE"/>
    <w:rPr>
      <w:b/>
      <w:bCs/>
    </w:rPr>
  </w:style>
  <w:style w:type="character" w:customStyle="1" w:styleId="CommentSubjectChar">
    <w:name w:val="Comment Subject Char"/>
    <w:link w:val="CommentSubject"/>
    <w:qFormat/>
    <w:rsid w:val="007327FE"/>
    <w:rPr>
      <w:rFonts w:ascii="Minion Pro" w:eastAsia="宋体" w:hAnsi="Minion Pro" w:cs="Times New Roman"/>
      <w:b/>
      <w:bCs/>
      <w:noProof/>
      <w:color w:val="000000"/>
      <w:kern w:val="0"/>
      <w:sz w:val="22"/>
      <w:szCs w:val="20"/>
      <w14:ligatures w14:val="none"/>
    </w:rPr>
  </w:style>
  <w:style w:type="character" w:styleId="EndnoteReference">
    <w:name w:val="endnote reference"/>
    <w:rsid w:val="007327FE"/>
    <w:rPr>
      <w:vertAlign w:val="superscript"/>
    </w:rPr>
  </w:style>
  <w:style w:type="paragraph" w:styleId="EndnoteText">
    <w:name w:val="endnote text"/>
    <w:basedOn w:val="Normal"/>
    <w:link w:val="EndnoteTextChar"/>
    <w:semiHidden/>
    <w:unhideWhenUsed/>
    <w:rsid w:val="007327FE"/>
    <w:pPr>
      <w:spacing w:line="240" w:lineRule="auto"/>
    </w:pPr>
  </w:style>
  <w:style w:type="character" w:customStyle="1" w:styleId="EndnoteTextChar">
    <w:name w:val="Endnote Text Char"/>
    <w:link w:val="EndnoteText"/>
    <w:semiHidden/>
    <w:rsid w:val="007327FE"/>
    <w:rPr>
      <w:rFonts w:ascii="Minion Pro" w:eastAsia="宋体" w:hAnsi="Minion Pro" w:cs="Times New Roman"/>
      <w:noProof/>
      <w:color w:val="000000"/>
      <w:kern w:val="0"/>
      <w:sz w:val="22"/>
      <w:szCs w:val="20"/>
      <w14:ligatures w14:val="none"/>
    </w:rPr>
  </w:style>
  <w:style w:type="character" w:styleId="FollowedHyperlink">
    <w:name w:val="FollowedHyperlink"/>
    <w:rsid w:val="007327FE"/>
    <w:rPr>
      <w:color w:val="954F72"/>
      <w:u w:val="single"/>
    </w:rPr>
  </w:style>
  <w:style w:type="paragraph" w:styleId="Footer">
    <w:name w:val="footer"/>
    <w:basedOn w:val="Normal"/>
    <w:link w:val="FooterChar"/>
    <w:qFormat/>
    <w:rsid w:val="007327FE"/>
    <w:pPr>
      <w:tabs>
        <w:tab w:val="center" w:pos="4153"/>
        <w:tab w:val="right" w:pos="8306"/>
      </w:tabs>
      <w:jc w:val="left"/>
    </w:pPr>
    <w:rPr>
      <w:szCs w:val="18"/>
    </w:rPr>
  </w:style>
  <w:style w:type="character" w:customStyle="1" w:styleId="FooterChar">
    <w:name w:val="Footer Char"/>
    <w:link w:val="Footer"/>
    <w:qFormat/>
    <w:rsid w:val="007327FE"/>
    <w:rPr>
      <w:rFonts w:ascii="Minion Pro" w:eastAsia="宋体" w:hAnsi="Minion Pro" w:cs="Times New Roman"/>
      <w:noProof/>
      <w:color w:val="000000"/>
      <w:kern w:val="0"/>
      <w:sz w:val="22"/>
      <w:szCs w:val="18"/>
      <w14:ligatures w14:val="none"/>
    </w:rPr>
  </w:style>
  <w:style w:type="paragraph" w:styleId="FootnoteText">
    <w:name w:val="footnote text"/>
    <w:basedOn w:val="Normal"/>
    <w:link w:val="FootnoteTextChar"/>
    <w:semiHidden/>
    <w:unhideWhenUsed/>
    <w:rsid w:val="007327FE"/>
    <w:pPr>
      <w:spacing w:line="240" w:lineRule="auto"/>
    </w:pPr>
  </w:style>
  <w:style w:type="character" w:customStyle="1" w:styleId="FootnoteTextChar">
    <w:name w:val="Footnote Text Char"/>
    <w:link w:val="FootnoteText"/>
    <w:semiHidden/>
    <w:rsid w:val="007327FE"/>
    <w:rPr>
      <w:rFonts w:ascii="Minion Pro" w:eastAsia="宋体" w:hAnsi="Minion Pro" w:cs="Times New Roman"/>
      <w:noProof/>
      <w:color w:val="000000"/>
      <w:kern w:val="0"/>
      <w:sz w:val="22"/>
      <w:szCs w:val="20"/>
      <w14:ligatures w14:val="none"/>
    </w:rPr>
  </w:style>
  <w:style w:type="paragraph" w:styleId="Header">
    <w:name w:val="header"/>
    <w:basedOn w:val="Normal"/>
    <w:link w:val="HeaderChar"/>
    <w:qFormat/>
    <w:rsid w:val="007327FE"/>
    <w:pPr>
      <w:pBdr>
        <w:bottom w:val="single" w:sz="6" w:space="1" w:color="auto"/>
      </w:pBdr>
      <w:tabs>
        <w:tab w:val="center" w:pos="4153"/>
        <w:tab w:val="right" w:pos="8306"/>
      </w:tabs>
      <w:jc w:val="center"/>
    </w:pPr>
    <w:rPr>
      <w:szCs w:val="18"/>
    </w:rPr>
  </w:style>
  <w:style w:type="character" w:customStyle="1" w:styleId="HeaderChar">
    <w:name w:val="Header Char"/>
    <w:link w:val="Header"/>
    <w:qFormat/>
    <w:rsid w:val="007327FE"/>
    <w:rPr>
      <w:rFonts w:ascii="Minion Pro" w:eastAsia="宋体" w:hAnsi="Minion Pro" w:cs="Times New Roman"/>
      <w:noProof/>
      <w:color w:val="000000"/>
      <w:kern w:val="0"/>
      <w:sz w:val="22"/>
      <w:szCs w:val="18"/>
      <w14:ligatures w14:val="none"/>
    </w:rPr>
  </w:style>
  <w:style w:type="character" w:customStyle="1" w:styleId="Heading1Char">
    <w:name w:val="Heading 1 Char"/>
    <w:aliases w:val="x Char"/>
    <w:basedOn w:val="DefaultParagraphFont"/>
    <w:link w:val="Heading1"/>
    <w:qFormat/>
    <w:rsid w:val="007327FE"/>
    <w:rPr>
      <w:rFonts w:ascii="Arial" w:hAnsi="Arial" w:cs="Times New Roman"/>
      <w:b/>
      <w:color w:val="000000"/>
      <w:kern w:val="0"/>
      <w:sz w:val="20"/>
      <w:szCs w:val="20"/>
      <w:u w:val="single"/>
    </w:rPr>
  </w:style>
  <w:style w:type="character" w:customStyle="1" w:styleId="Heading2Char">
    <w:name w:val="Heading 2 Char"/>
    <w:basedOn w:val="DefaultParagraphFont"/>
    <w:link w:val="Heading2"/>
    <w:uiPriority w:val="9"/>
    <w:rsid w:val="007327FE"/>
    <w:rPr>
      <w:rFonts w:ascii="Arial" w:hAnsi="Arial" w:cstheme="majorBidi"/>
      <w:b/>
      <w:color w:val="000000"/>
      <w:kern w:val="0"/>
      <w:sz w:val="20"/>
      <w:szCs w:val="20"/>
    </w:rPr>
  </w:style>
  <w:style w:type="character" w:customStyle="1" w:styleId="Heading3Char">
    <w:name w:val="Heading 3 Char"/>
    <w:basedOn w:val="DefaultParagraphFont"/>
    <w:link w:val="Heading3"/>
    <w:rsid w:val="007327FE"/>
    <w:rPr>
      <w:rFonts w:ascii="Palatino Linotype" w:hAnsi="Palatino Linotype" w:cs="Times New Roman"/>
      <w:b/>
      <w:color w:val="000000"/>
      <w:kern w:val="0"/>
      <w:sz w:val="20"/>
      <w:szCs w:val="20"/>
    </w:rPr>
  </w:style>
  <w:style w:type="character" w:customStyle="1" w:styleId="Heading4Char">
    <w:name w:val="Heading 4 Char"/>
    <w:basedOn w:val="DefaultParagraphFont"/>
    <w:link w:val="Heading4"/>
    <w:qFormat/>
    <w:rsid w:val="007327FE"/>
    <w:rPr>
      <w:rFonts w:ascii="Arial" w:hAnsi="Arial" w:cstheme="majorBidi"/>
      <w:b/>
      <w:color w:val="000000"/>
      <w:kern w:val="0"/>
      <w:sz w:val="20"/>
      <w:szCs w:val="20"/>
    </w:rPr>
  </w:style>
  <w:style w:type="character" w:customStyle="1" w:styleId="Heading5Char">
    <w:name w:val="Heading 5 Char"/>
    <w:basedOn w:val="DefaultParagraphFont"/>
    <w:link w:val="Heading5"/>
    <w:qFormat/>
    <w:rsid w:val="007327FE"/>
    <w:rPr>
      <w:rFonts w:ascii="Palatino Linotype" w:hAnsi="Palatino Linotype" w:cs="Times New Roman"/>
      <w:b/>
      <w:color w:val="000000"/>
      <w:kern w:val="0"/>
      <w:sz w:val="20"/>
      <w:szCs w:val="20"/>
    </w:rPr>
  </w:style>
  <w:style w:type="character" w:customStyle="1" w:styleId="Heading6Char">
    <w:name w:val="Heading 6 Char"/>
    <w:basedOn w:val="DefaultParagraphFont"/>
    <w:link w:val="Heading6"/>
    <w:rsid w:val="007327FE"/>
    <w:rPr>
      <w:rFonts w:ascii="Palatino Linotype" w:hAnsi="Palatino Linotype" w:cstheme="majorBidi"/>
      <w:color w:val="000000"/>
      <w:kern w:val="0"/>
      <w:sz w:val="20"/>
      <w:szCs w:val="20"/>
      <w:u w:val="single"/>
    </w:rPr>
  </w:style>
  <w:style w:type="character" w:customStyle="1" w:styleId="Heading7Char">
    <w:name w:val="Heading 7 Char"/>
    <w:basedOn w:val="DefaultParagraphFont"/>
    <w:link w:val="Heading7"/>
    <w:rsid w:val="007327FE"/>
    <w:rPr>
      <w:rFonts w:ascii="Palatino Linotype" w:hAnsi="Palatino Linotype" w:cs="Times New Roman"/>
      <w:i/>
      <w:color w:val="000000"/>
      <w:kern w:val="0"/>
      <w:sz w:val="20"/>
      <w:szCs w:val="20"/>
    </w:rPr>
  </w:style>
  <w:style w:type="character" w:customStyle="1" w:styleId="Heading8Char">
    <w:name w:val="Heading 8 Char"/>
    <w:basedOn w:val="DefaultParagraphFont"/>
    <w:link w:val="Heading8"/>
    <w:rsid w:val="007327FE"/>
    <w:rPr>
      <w:rFonts w:ascii="Palatino Linotype" w:hAnsi="Palatino Linotype" w:cstheme="majorBidi"/>
      <w:i/>
      <w:color w:val="000000"/>
      <w:kern w:val="0"/>
      <w:sz w:val="20"/>
      <w:szCs w:val="20"/>
    </w:rPr>
  </w:style>
  <w:style w:type="character" w:customStyle="1" w:styleId="Heading9Char">
    <w:name w:val="Heading 9 Char"/>
    <w:basedOn w:val="DefaultParagraphFont"/>
    <w:link w:val="Heading9"/>
    <w:rsid w:val="007327FE"/>
    <w:rPr>
      <w:rFonts w:ascii="Palatino Linotype" w:hAnsi="Palatino Linotype" w:cstheme="majorBidi"/>
      <w:i/>
      <w:color w:val="000000"/>
      <w:kern w:val="0"/>
      <w:sz w:val="20"/>
      <w:szCs w:val="20"/>
    </w:rPr>
  </w:style>
  <w:style w:type="character" w:styleId="Hyperlink">
    <w:name w:val="Hyperlink"/>
    <w:qFormat/>
    <w:rsid w:val="007327FE"/>
    <w:rPr>
      <w:color w:val="2F5496" w:themeColor="accent1" w:themeShade="BF"/>
      <w:u w:val="single"/>
    </w:rPr>
  </w:style>
  <w:style w:type="character" w:styleId="LineNumber">
    <w:name w:val="line number"/>
    <w:qFormat/>
    <w:rsid w:val="007327FE"/>
    <w:rPr>
      <w:rFonts w:ascii="Minion Pro" w:hAnsi="Minion Pro"/>
      <w:sz w:val="16"/>
    </w:rPr>
  </w:style>
  <w:style w:type="paragraph" w:customStyle="1" w:styleId="TSP10doinum">
    <w:name w:val="TSP_1.0_doinum"/>
    <w:basedOn w:val="Normal"/>
    <w:qFormat/>
    <w:rsid w:val="007327FE"/>
    <w:pPr>
      <w:spacing w:after="240" w:line="240" w:lineRule="auto"/>
      <w:jc w:val="left"/>
    </w:pPr>
    <w:rPr>
      <w:rFonts w:eastAsiaTheme="minorEastAsia"/>
      <w:noProof w:val="0"/>
      <w:kern w:val="2"/>
      <w:sz w:val="14"/>
      <w14:ligatures w14:val="standardContextual"/>
    </w:rPr>
  </w:style>
  <w:style w:type="paragraph" w:customStyle="1" w:styleId="TSP11articletype">
    <w:name w:val="TSP_1.1_article_type"/>
    <w:next w:val="Normal"/>
    <w:qFormat/>
    <w:rsid w:val="007327FE"/>
    <w:pPr>
      <w:adjustRightInd w:val="0"/>
      <w:snapToGrid w:val="0"/>
      <w:spacing w:after="240" w:line="240" w:lineRule="atLeast"/>
    </w:pPr>
    <w:rPr>
      <w:rFonts w:ascii="Minion Pro" w:eastAsia="Times New Roman" w:hAnsi="Minion Pro" w:cs="Times New Roman"/>
      <w:b/>
      <w:caps/>
      <w:snapToGrid w:val="0"/>
      <w:color w:val="000000"/>
      <w:kern w:val="0"/>
      <w:sz w:val="18"/>
      <w:szCs w:val="22"/>
      <w:u w:val="single"/>
      <w:lang w:eastAsia="de-DE" w:bidi="en-US"/>
      <w14:ligatures w14:val="none"/>
    </w:rPr>
  </w:style>
  <w:style w:type="paragraph" w:customStyle="1" w:styleId="TSP12title">
    <w:name w:val="TSP_1.2_title"/>
    <w:next w:val="Normal"/>
    <w:qFormat/>
    <w:rsid w:val="007327FE"/>
    <w:pPr>
      <w:adjustRightInd w:val="0"/>
      <w:snapToGrid w:val="0"/>
      <w:spacing w:before="240" w:after="240" w:line="240" w:lineRule="atLeast"/>
    </w:pPr>
    <w:rPr>
      <w:rFonts w:ascii="Minion Pro" w:eastAsia="Times New Roman" w:hAnsi="Minion Pro" w:cs="Times New Roman"/>
      <w:b/>
      <w:snapToGrid w:val="0"/>
      <w:color w:val="000000"/>
      <w:kern w:val="0"/>
      <w:sz w:val="28"/>
      <w:szCs w:val="20"/>
      <w:lang w:eastAsia="de-DE" w:bidi="en-US"/>
      <w14:ligatures w14:val="none"/>
    </w:rPr>
  </w:style>
  <w:style w:type="paragraph" w:customStyle="1" w:styleId="TSP13authornames">
    <w:name w:val="TSP_1.3_authornames"/>
    <w:next w:val="Normal"/>
    <w:qFormat/>
    <w:rsid w:val="007327FE"/>
    <w:pPr>
      <w:adjustRightInd w:val="0"/>
      <w:snapToGrid w:val="0"/>
      <w:spacing w:after="240" w:line="240" w:lineRule="atLeast"/>
    </w:pPr>
    <w:rPr>
      <w:rFonts w:ascii="Minion Pro" w:eastAsia="Times New Roman" w:hAnsi="Minion Pro" w:cs="Times New Roman"/>
      <w:b/>
      <w:color w:val="000000"/>
      <w:kern w:val="0"/>
      <w:sz w:val="22"/>
      <w:szCs w:val="22"/>
      <w:lang w:eastAsia="de-DE" w:bidi="en-US"/>
      <w14:ligatures w14:val="none"/>
    </w:rPr>
  </w:style>
  <w:style w:type="paragraph" w:customStyle="1" w:styleId="TSP14history">
    <w:name w:val="TSP_1.4_history"/>
    <w:basedOn w:val="Normal"/>
    <w:next w:val="Normal"/>
    <w:autoRedefine/>
    <w:qFormat/>
    <w:rsid w:val="007327FE"/>
    <w:pPr>
      <w:spacing w:before="60" w:after="240"/>
      <w:jc w:val="left"/>
    </w:pPr>
    <w:rPr>
      <w:rFonts w:eastAsia="Times New Roman"/>
      <w:noProof w:val="0"/>
      <w:sz w:val="18"/>
      <w:lang w:eastAsia="de-DE" w:bidi="en-US"/>
    </w:rPr>
  </w:style>
  <w:style w:type="paragraph" w:customStyle="1" w:styleId="TSP15academiceditor">
    <w:name w:val="TSP_1.5_academic_editor"/>
    <w:qFormat/>
    <w:rsid w:val="007327FE"/>
    <w:pPr>
      <w:adjustRightInd w:val="0"/>
      <w:snapToGrid w:val="0"/>
      <w:spacing w:before="120" w:after="120" w:line="240" w:lineRule="atLeast"/>
    </w:pPr>
    <w:rPr>
      <w:rFonts w:ascii="Minion Pro" w:eastAsia="Times New Roman" w:hAnsi="Minion Pro" w:cs="Times New Roman"/>
      <w:color w:val="000000"/>
      <w:kern w:val="0"/>
      <w:sz w:val="18"/>
      <w:szCs w:val="22"/>
      <w:lang w:eastAsia="de-DE" w:bidi="en-US"/>
      <w14:ligatures w14:val="none"/>
    </w:rPr>
  </w:style>
  <w:style w:type="paragraph" w:customStyle="1" w:styleId="TSP16affiliation">
    <w:name w:val="TSP_1.6_affiliation"/>
    <w:qFormat/>
    <w:rsid w:val="007327FE"/>
    <w:pPr>
      <w:adjustRightInd w:val="0"/>
      <w:snapToGrid w:val="0"/>
      <w:spacing w:after="0" w:line="240" w:lineRule="atLeast"/>
    </w:pPr>
    <w:rPr>
      <w:rFonts w:ascii="Minion Pro" w:eastAsia="Times New Roman" w:hAnsi="Minion Pro" w:cs="Times New Roman"/>
      <w:color w:val="000000"/>
      <w:kern w:val="0"/>
      <w:sz w:val="18"/>
      <w:szCs w:val="18"/>
      <w:lang w:eastAsia="de-DE" w:bidi="en-US"/>
      <w14:ligatures w14:val="none"/>
    </w:rPr>
  </w:style>
  <w:style w:type="paragraph" w:customStyle="1" w:styleId="TSP17abstract">
    <w:name w:val="TSP_1.7_abstract"/>
    <w:next w:val="Normal"/>
    <w:qFormat/>
    <w:rsid w:val="007327FE"/>
    <w:pPr>
      <w:adjustRightInd w:val="0"/>
      <w:snapToGrid w:val="0"/>
      <w:spacing w:before="240" w:after="240" w:line="240" w:lineRule="atLeast"/>
      <w:jc w:val="both"/>
    </w:pPr>
    <w:rPr>
      <w:rFonts w:ascii="Minion Pro" w:eastAsia="Times New Roman" w:hAnsi="Minion Pro" w:cs="Times New Roman"/>
      <w:color w:val="000000"/>
      <w:kern w:val="0"/>
      <w:sz w:val="20"/>
      <w:szCs w:val="22"/>
      <w:lang w:eastAsia="de-DE" w:bidi="en-US"/>
      <w14:ligatures w14:val="none"/>
    </w:rPr>
  </w:style>
  <w:style w:type="paragraph" w:customStyle="1" w:styleId="TSP18keywords">
    <w:name w:val="TSP_1.8_keywords"/>
    <w:next w:val="Normal"/>
    <w:qFormat/>
    <w:rsid w:val="007327FE"/>
    <w:pPr>
      <w:adjustRightInd w:val="0"/>
      <w:snapToGrid w:val="0"/>
      <w:spacing w:before="240" w:after="0" w:line="240" w:lineRule="atLeast"/>
      <w:jc w:val="both"/>
    </w:pPr>
    <w:rPr>
      <w:rFonts w:ascii="Minion Pro" w:eastAsia="Times New Roman" w:hAnsi="Minion Pro" w:cs="Times New Roman"/>
      <w:snapToGrid w:val="0"/>
      <w:color w:val="000000"/>
      <w:kern w:val="0"/>
      <w:sz w:val="20"/>
      <w:szCs w:val="22"/>
      <w:lang w:eastAsia="de-DE" w:bidi="en-US"/>
      <w14:ligatures w14:val="none"/>
    </w:rPr>
  </w:style>
  <w:style w:type="paragraph" w:customStyle="1" w:styleId="TSP19classification">
    <w:name w:val="TSP_1.9_classification"/>
    <w:qFormat/>
    <w:rsid w:val="007327FE"/>
    <w:pPr>
      <w:spacing w:before="240" w:after="0" w:line="240" w:lineRule="atLeast"/>
      <w:jc w:val="both"/>
    </w:pPr>
    <w:rPr>
      <w:rFonts w:ascii="Minion Pro" w:eastAsia="Times New Roman" w:hAnsi="Minion Pro" w:cs="Times New Roman"/>
      <w:b/>
      <w:color w:val="000000"/>
      <w:kern w:val="0"/>
      <w:sz w:val="20"/>
      <w:szCs w:val="22"/>
      <w:lang w:eastAsia="de-DE" w:bidi="en-US"/>
      <w14:ligatures w14:val="none"/>
    </w:rPr>
  </w:style>
  <w:style w:type="paragraph" w:customStyle="1" w:styleId="TSP19line">
    <w:name w:val="TSP_1.9_line"/>
    <w:qFormat/>
    <w:rsid w:val="007327FE"/>
    <w:pPr>
      <w:pBdr>
        <w:bottom w:val="single" w:sz="6" w:space="1" w:color="auto"/>
      </w:pBdr>
      <w:adjustRightInd w:val="0"/>
      <w:snapToGrid w:val="0"/>
      <w:spacing w:after="480" w:line="240" w:lineRule="atLeast"/>
      <w:jc w:val="both"/>
    </w:pPr>
    <w:rPr>
      <w:rFonts w:ascii="Minion Pro" w:eastAsia="Times New Roman" w:hAnsi="Minion Pro" w:cs="Cordia New"/>
      <w:color w:val="000000"/>
      <w:kern w:val="0"/>
      <w:sz w:val="20"/>
      <w:lang w:eastAsia="de-DE" w:bidi="en-US"/>
      <w14:ligatures w14:val="none"/>
    </w:rPr>
  </w:style>
  <w:style w:type="paragraph" w:customStyle="1" w:styleId="TSP21heading1">
    <w:name w:val="TSP_2.1_heading1"/>
    <w:qFormat/>
    <w:rsid w:val="007327FE"/>
    <w:pPr>
      <w:adjustRightInd w:val="0"/>
      <w:snapToGrid w:val="0"/>
      <w:spacing w:before="240" w:after="60" w:line="240" w:lineRule="atLeast"/>
      <w:outlineLvl w:val="0"/>
    </w:pPr>
    <w:rPr>
      <w:rFonts w:ascii="Minion Pro" w:eastAsia="Times New Roman" w:hAnsi="Minion Pro" w:cs="Times New Roman"/>
      <w:b/>
      <w:snapToGrid w:val="0"/>
      <w:color w:val="000000"/>
      <w:kern w:val="0"/>
      <w:sz w:val="22"/>
      <w:szCs w:val="22"/>
      <w:lang w:eastAsia="de-DE" w:bidi="en-US"/>
      <w14:ligatures w14:val="none"/>
    </w:rPr>
  </w:style>
  <w:style w:type="paragraph" w:customStyle="1" w:styleId="TSP22heading2">
    <w:name w:val="TSP_2.2_heading2"/>
    <w:qFormat/>
    <w:rsid w:val="007327FE"/>
    <w:pPr>
      <w:adjustRightInd w:val="0"/>
      <w:snapToGrid w:val="0"/>
      <w:spacing w:before="60" w:after="60" w:line="240" w:lineRule="atLeast"/>
      <w:outlineLvl w:val="1"/>
    </w:pPr>
    <w:rPr>
      <w:rFonts w:ascii="Minion Pro" w:eastAsia="Times New Roman" w:hAnsi="Minion Pro" w:cs="Times New Roman"/>
      <w:b/>
      <w:i/>
      <w:noProof/>
      <w:snapToGrid w:val="0"/>
      <w:color w:val="000000"/>
      <w:kern w:val="0"/>
      <w:sz w:val="22"/>
      <w:szCs w:val="22"/>
      <w:lang w:eastAsia="de-DE" w:bidi="en-US"/>
      <w14:ligatures w14:val="none"/>
    </w:rPr>
  </w:style>
  <w:style w:type="paragraph" w:customStyle="1" w:styleId="TSP23heading3">
    <w:name w:val="TSP_2.3_heading3"/>
    <w:qFormat/>
    <w:rsid w:val="007327FE"/>
    <w:pPr>
      <w:adjustRightInd w:val="0"/>
      <w:snapToGrid w:val="0"/>
      <w:spacing w:before="60" w:after="60" w:line="240" w:lineRule="atLeast"/>
      <w:outlineLvl w:val="2"/>
    </w:pPr>
    <w:rPr>
      <w:rFonts w:ascii="Minion Pro" w:eastAsia="Times New Roman" w:hAnsi="Minion Pro" w:cs="Times New Roman"/>
      <w:i/>
      <w:snapToGrid w:val="0"/>
      <w:color w:val="000000"/>
      <w:kern w:val="0"/>
      <w:sz w:val="22"/>
      <w:szCs w:val="22"/>
      <w:lang w:eastAsia="de-DE" w:bidi="en-US"/>
      <w14:ligatures w14:val="none"/>
    </w:rPr>
  </w:style>
  <w:style w:type="paragraph" w:customStyle="1" w:styleId="TSP24heading4">
    <w:name w:val="TSP_2.4_heading4"/>
    <w:basedOn w:val="TSP23heading3"/>
    <w:qFormat/>
    <w:rsid w:val="007327FE"/>
    <w:pPr>
      <w:outlineLvl w:val="3"/>
    </w:pPr>
    <w:rPr>
      <w:i w:val="0"/>
    </w:rPr>
  </w:style>
  <w:style w:type="paragraph" w:customStyle="1" w:styleId="TSP31text">
    <w:name w:val="TSP_3.1_text"/>
    <w:qFormat/>
    <w:rsid w:val="007327FE"/>
    <w:pPr>
      <w:adjustRightInd w:val="0"/>
      <w:snapToGrid w:val="0"/>
      <w:spacing w:after="6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2textnoindent">
    <w:name w:val="TSP_3.2_text_no_indent"/>
    <w:basedOn w:val="TSP31text"/>
    <w:qFormat/>
    <w:rsid w:val="007327FE"/>
    <w:pPr>
      <w:ind w:firstLine="0"/>
    </w:pPr>
  </w:style>
  <w:style w:type="paragraph" w:customStyle="1" w:styleId="TSP33textspaceafter">
    <w:name w:val="TSP_3.3_text_space_after"/>
    <w:qFormat/>
    <w:rsid w:val="007327FE"/>
    <w:pPr>
      <w:adjustRightInd w:val="0"/>
      <w:snapToGrid w:val="0"/>
      <w:spacing w:after="24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4textspacebefore">
    <w:name w:val="TSP_3.4_text_space_before"/>
    <w:qFormat/>
    <w:rsid w:val="007327FE"/>
    <w:pPr>
      <w:adjustRightInd w:val="0"/>
      <w:snapToGrid w:val="0"/>
      <w:spacing w:before="240" w:after="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5textbeforelist">
    <w:name w:val="TSP_3.5_text_before_list"/>
    <w:qFormat/>
    <w:rsid w:val="007327FE"/>
    <w:pPr>
      <w:adjustRightInd w:val="0"/>
      <w:snapToGrid w:val="0"/>
      <w:spacing w:after="6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6textafterlist">
    <w:name w:val="TSP_3.6_text_after_list"/>
    <w:qFormat/>
    <w:rsid w:val="007327FE"/>
    <w:pPr>
      <w:adjustRightInd w:val="0"/>
      <w:snapToGrid w:val="0"/>
      <w:spacing w:before="60" w:after="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7itemize">
    <w:name w:val="TSP_3.7_itemize"/>
    <w:qFormat/>
    <w:rsid w:val="007327FE"/>
    <w:pPr>
      <w:numPr>
        <w:numId w:val="1"/>
      </w:numPr>
      <w:adjustRightInd w:val="0"/>
      <w:snapToGrid w:val="0"/>
      <w:spacing w:after="0" w:line="228" w:lineRule="auto"/>
      <w:jc w:val="both"/>
    </w:pPr>
    <w:rPr>
      <w:rFonts w:ascii="Minion Pro" w:eastAsia="Times New Roman" w:hAnsi="Minion Pro" w:cs="Times New Roman"/>
      <w:color w:val="000000"/>
      <w:kern w:val="0"/>
      <w:sz w:val="22"/>
      <w:szCs w:val="22"/>
      <w:lang w:eastAsia="de-DE" w:bidi="en-US"/>
      <w14:ligatures w14:val="none"/>
    </w:rPr>
  </w:style>
  <w:style w:type="paragraph" w:customStyle="1" w:styleId="TSP38bullet">
    <w:name w:val="TSP_3.8_bullet"/>
    <w:qFormat/>
    <w:rsid w:val="007327FE"/>
    <w:pPr>
      <w:numPr>
        <w:numId w:val="2"/>
      </w:numPr>
      <w:adjustRightInd w:val="0"/>
      <w:snapToGrid w:val="0"/>
      <w:spacing w:after="0" w:line="228" w:lineRule="auto"/>
      <w:jc w:val="both"/>
    </w:pPr>
    <w:rPr>
      <w:rFonts w:ascii="Minion Pro" w:eastAsia="Times New Roman" w:hAnsi="Minion Pro" w:cs="Times New Roman"/>
      <w:color w:val="000000"/>
      <w:kern w:val="0"/>
      <w:sz w:val="22"/>
      <w:szCs w:val="22"/>
      <w:lang w:eastAsia="de-DE" w:bidi="en-US"/>
      <w14:ligatures w14:val="none"/>
    </w:rPr>
  </w:style>
  <w:style w:type="paragraph" w:customStyle="1" w:styleId="TSP39equation">
    <w:name w:val="TSP_3.9_equation"/>
    <w:qFormat/>
    <w:rsid w:val="007327FE"/>
    <w:pPr>
      <w:adjustRightInd w:val="0"/>
      <w:snapToGrid w:val="0"/>
      <w:spacing w:before="120" w:after="120" w:line="240" w:lineRule="atLeast"/>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aequationnumber">
    <w:name w:val="TSP_3.a_equation_number"/>
    <w:qFormat/>
    <w:rsid w:val="007327FE"/>
    <w:pPr>
      <w:spacing w:before="120" w:after="120" w:line="240" w:lineRule="atLeast"/>
      <w:jc w:val="right"/>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411onetablecaption">
    <w:name w:val="TSP_4.1.1_one_table_caption"/>
    <w:qFormat/>
    <w:rsid w:val="007327FE"/>
    <w:pPr>
      <w:adjustRightInd w:val="0"/>
      <w:snapToGrid w:val="0"/>
      <w:spacing w:before="240" w:after="120" w:line="240" w:lineRule="atLeast"/>
      <w:jc w:val="center"/>
    </w:pPr>
    <w:rPr>
      <w:rFonts w:ascii="Minion Pro" w:hAnsi="Minion Pro" w:cs="Cordia New"/>
      <w:noProof/>
      <w:color w:val="000000"/>
      <w:kern w:val="0"/>
      <w:sz w:val="20"/>
      <w:szCs w:val="22"/>
      <w:lang w:bidi="en-US"/>
      <w14:ligatures w14:val="none"/>
    </w:rPr>
  </w:style>
  <w:style w:type="paragraph" w:customStyle="1" w:styleId="TSP41tablecaption">
    <w:name w:val="TSP_4.1_table_caption"/>
    <w:qFormat/>
    <w:rsid w:val="007327FE"/>
    <w:pPr>
      <w:adjustRightInd w:val="0"/>
      <w:snapToGrid w:val="0"/>
      <w:spacing w:before="240" w:after="120" w:line="240" w:lineRule="atLeast"/>
      <w:jc w:val="both"/>
    </w:pPr>
    <w:rPr>
      <w:rFonts w:ascii="Minion Pro" w:eastAsia="Times New Roman" w:hAnsi="Minion Pro" w:cs="Cordia New"/>
      <w:color w:val="000000"/>
      <w:kern w:val="0"/>
      <w:sz w:val="20"/>
      <w:szCs w:val="22"/>
      <w:lang w:eastAsia="de-DE" w:bidi="en-US"/>
      <w14:ligatures w14:val="none"/>
    </w:rPr>
  </w:style>
  <w:style w:type="paragraph" w:customStyle="1" w:styleId="TSP42tablebody">
    <w:name w:val="TSP_4.2_table_body"/>
    <w:qFormat/>
    <w:rsid w:val="007327FE"/>
    <w:pPr>
      <w:adjustRightInd w:val="0"/>
      <w:snapToGrid w:val="0"/>
      <w:spacing w:after="0" w:line="240" w:lineRule="atLeast"/>
      <w:jc w:val="center"/>
    </w:pPr>
    <w:rPr>
      <w:rFonts w:ascii="Minion Pro" w:eastAsia="Times New Roman" w:hAnsi="Minion Pro" w:cs="Times New Roman"/>
      <w:snapToGrid w:val="0"/>
      <w:color w:val="000000"/>
      <w:kern w:val="0"/>
      <w:sz w:val="20"/>
      <w:szCs w:val="20"/>
      <w:lang w:eastAsia="de-DE" w:bidi="en-US"/>
      <w14:ligatures w14:val="none"/>
    </w:rPr>
  </w:style>
  <w:style w:type="paragraph" w:customStyle="1" w:styleId="TSP43tablefooter">
    <w:name w:val="TSP_4.3_table_footer"/>
    <w:next w:val="TSP31text"/>
    <w:qFormat/>
    <w:rsid w:val="007327FE"/>
    <w:pPr>
      <w:adjustRightInd w:val="0"/>
      <w:snapToGrid w:val="0"/>
      <w:spacing w:after="240" w:line="240" w:lineRule="atLeast"/>
      <w:jc w:val="both"/>
    </w:pPr>
    <w:rPr>
      <w:rFonts w:ascii="Minion Pro" w:eastAsia="Times New Roman" w:hAnsi="Minion Pro" w:cs="Cordia New"/>
      <w:color w:val="000000"/>
      <w:kern w:val="0"/>
      <w:sz w:val="20"/>
      <w:szCs w:val="22"/>
      <w:lang w:eastAsia="de-DE" w:bidi="en-US"/>
      <w14:ligatures w14:val="none"/>
    </w:rPr>
  </w:style>
  <w:style w:type="paragraph" w:customStyle="1" w:styleId="TSP511onefigurecaption">
    <w:name w:val="TSP_5.1.1_one_figure_caption"/>
    <w:qFormat/>
    <w:rsid w:val="007327FE"/>
    <w:pPr>
      <w:adjustRightInd w:val="0"/>
      <w:snapToGrid w:val="0"/>
      <w:spacing w:before="120" w:after="240" w:line="240" w:lineRule="atLeast"/>
      <w:jc w:val="center"/>
    </w:pPr>
    <w:rPr>
      <w:rFonts w:ascii="Minion Pro" w:hAnsi="Minion Pro" w:cs="Times New Roman"/>
      <w:noProof/>
      <w:color w:val="000000"/>
      <w:kern w:val="0"/>
      <w:sz w:val="20"/>
      <w:szCs w:val="20"/>
      <w:lang w:bidi="en-US"/>
      <w14:ligatures w14:val="none"/>
    </w:rPr>
  </w:style>
  <w:style w:type="paragraph" w:customStyle="1" w:styleId="TSP51figurecaption">
    <w:name w:val="TSP_5.1_figure_caption"/>
    <w:qFormat/>
    <w:rsid w:val="007327FE"/>
    <w:pPr>
      <w:adjustRightInd w:val="0"/>
      <w:snapToGrid w:val="0"/>
      <w:spacing w:before="120" w:after="240" w:line="240" w:lineRule="atLeast"/>
      <w:jc w:val="both"/>
    </w:pPr>
    <w:rPr>
      <w:rFonts w:ascii="Minion Pro" w:eastAsia="Times New Roman" w:hAnsi="Minion Pro" w:cs="Times New Roman"/>
      <w:color w:val="000000"/>
      <w:kern w:val="0"/>
      <w:sz w:val="20"/>
      <w:szCs w:val="20"/>
      <w:lang w:eastAsia="de-DE" w:bidi="en-US"/>
      <w14:ligatures w14:val="none"/>
    </w:rPr>
  </w:style>
  <w:style w:type="paragraph" w:customStyle="1" w:styleId="TSP52figure">
    <w:name w:val="TSP_5.2_figure"/>
    <w:qFormat/>
    <w:rsid w:val="007327FE"/>
    <w:pPr>
      <w:adjustRightInd w:val="0"/>
      <w:snapToGrid w:val="0"/>
      <w:spacing w:before="240" w:after="120" w:line="240" w:lineRule="atLeast"/>
      <w:jc w:val="center"/>
    </w:pPr>
    <w:rPr>
      <w:rFonts w:ascii="Minion Pro" w:eastAsia="Times New Roman" w:hAnsi="Minion Pro" w:cs="Times New Roman"/>
      <w:snapToGrid w:val="0"/>
      <w:color w:val="000000"/>
      <w:kern w:val="0"/>
      <w:sz w:val="20"/>
      <w:szCs w:val="20"/>
      <w:lang w:eastAsia="de-DE" w:bidi="en-US"/>
      <w14:ligatures w14:val="none"/>
    </w:rPr>
  </w:style>
  <w:style w:type="paragraph" w:customStyle="1" w:styleId="TSP61Citation">
    <w:name w:val="TSP_6.1_Citation"/>
    <w:qFormat/>
    <w:rsid w:val="007327FE"/>
    <w:pPr>
      <w:adjustRightInd w:val="0"/>
      <w:snapToGrid w:val="0"/>
      <w:spacing w:after="0" w:line="240" w:lineRule="atLeast"/>
    </w:pPr>
    <w:rPr>
      <w:rFonts w:ascii="Minion Pro" w:hAnsi="Minion Pro" w:cs="Cordia New"/>
      <w:kern w:val="0"/>
      <w:sz w:val="22"/>
      <w:szCs w:val="22"/>
      <w14:ligatures w14:val="none"/>
    </w:rPr>
  </w:style>
  <w:style w:type="paragraph" w:customStyle="1" w:styleId="TSP62BackMatter">
    <w:name w:val="TSP_6.2_BackMatter"/>
    <w:qFormat/>
    <w:rsid w:val="007327FE"/>
    <w:pPr>
      <w:adjustRightInd w:val="0"/>
      <w:snapToGrid w:val="0"/>
      <w:spacing w:before="120" w:after="120" w:line="240" w:lineRule="atLeast"/>
      <w:jc w:val="both"/>
    </w:pPr>
    <w:rPr>
      <w:rFonts w:ascii="Minion Pro" w:eastAsia="Times New Roman" w:hAnsi="Minion Pro" w:cs="Times New Roman"/>
      <w:snapToGrid w:val="0"/>
      <w:color w:val="000000"/>
      <w:kern w:val="0"/>
      <w:sz w:val="20"/>
      <w:szCs w:val="20"/>
      <w:lang w:eastAsia="en-US" w:bidi="en-US"/>
      <w14:ligatures w14:val="none"/>
    </w:rPr>
  </w:style>
  <w:style w:type="paragraph" w:customStyle="1" w:styleId="TSP63Notes">
    <w:name w:val="TSP_6.3_Notes"/>
    <w:qFormat/>
    <w:rsid w:val="007327FE"/>
    <w:pPr>
      <w:adjustRightInd w:val="0"/>
      <w:snapToGrid w:val="0"/>
      <w:spacing w:before="60" w:after="60" w:line="228" w:lineRule="auto"/>
      <w:jc w:val="both"/>
    </w:pPr>
    <w:rPr>
      <w:rFonts w:ascii="Minion Pro" w:hAnsi="Minion Pro" w:cs="Times New Roman"/>
      <w:snapToGrid w:val="0"/>
      <w:color w:val="000000"/>
      <w:kern w:val="0"/>
      <w:sz w:val="18"/>
      <w:szCs w:val="20"/>
      <w:lang w:eastAsia="en-US" w:bidi="en-US"/>
      <w14:ligatures w14:val="none"/>
    </w:rPr>
  </w:style>
  <w:style w:type="paragraph" w:customStyle="1" w:styleId="TSP71FootNotes">
    <w:name w:val="TSP_7.1_FootNotes"/>
    <w:qFormat/>
    <w:rsid w:val="007327FE"/>
    <w:pPr>
      <w:numPr>
        <w:numId w:val="3"/>
      </w:numPr>
      <w:adjustRightInd w:val="0"/>
      <w:snapToGrid w:val="0"/>
      <w:spacing w:before="60" w:after="60" w:line="228" w:lineRule="auto"/>
      <w:jc w:val="both"/>
    </w:pPr>
    <w:rPr>
      <w:rFonts w:ascii="Minion Pro" w:hAnsi="Minion Pro" w:cs="Times New Roman"/>
      <w:noProof/>
      <w:color w:val="000000"/>
      <w:kern w:val="0"/>
      <w:sz w:val="18"/>
      <w:szCs w:val="20"/>
      <w14:ligatures w14:val="none"/>
    </w:rPr>
  </w:style>
  <w:style w:type="paragraph" w:customStyle="1" w:styleId="TSP71References">
    <w:name w:val="TSP_7.1_References"/>
    <w:qFormat/>
    <w:rsid w:val="007327FE"/>
    <w:pPr>
      <w:numPr>
        <w:numId w:val="4"/>
      </w:numPr>
      <w:adjustRightInd w:val="0"/>
      <w:snapToGrid w:val="0"/>
      <w:spacing w:after="0" w:line="228" w:lineRule="auto"/>
      <w:jc w:val="both"/>
    </w:pPr>
    <w:rPr>
      <w:rFonts w:ascii="Minion Pro" w:eastAsia="等线" w:hAnsi="Minion Pro" w:cs="Times New Roman"/>
      <w:color w:val="000000"/>
      <w:kern w:val="0"/>
      <w:sz w:val="20"/>
      <w:szCs w:val="20"/>
      <w:lang w:eastAsia="de-DE" w:bidi="en-US"/>
      <w14:ligatures w14:val="none"/>
    </w:rPr>
  </w:style>
  <w:style w:type="paragraph" w:customStyle="1" w:styleId="TSP72Copyright">
    <w:name w:val="TSP_7.2_Copyright"/>
    <w:qFormat/>
    <w:rsid w:val="00952D5C"/>
    <w:pPr>
      <w:adjustRightInd w:val="0"/>
      <w:snapToGrid w:val="0"/>
      <w:spacing w:after="0" w:line="228" w:lineRule="auto"/>
      <w:jc w:val="both"/>
    </w:pPr>
    <w:rPr>
      <w:rFonts w:ascii="Minion Pro" w:eastAsia="Times New Roman" w:hAnsi="Minion Pro" w:cs="Times New Roman"/>
      <w:noProof/>
      <w:snapToGrid w:val="0"/>
      <w:color w:val="000000"/>
      <w:kern w:val="0"/>
      <w:sz w:val="18"/>
      <w:szCs w:val="20"/>
      <w:lang w:val="en-GB" w:eastAsia="en-GB"/>
      <w14:ligatures w14:val="none"/>
    </w:rPr>
  </w:style>
  <w:style w:type="paragraph" w:customStyle="1" w:styleId="TSP73CopyrightImage">
    <w:name w:val="TSP_7.3_CopyrightImage"/>
    <w:qFormat/>
    <w:rsid w:val="007327FE"/>
    <w:pPr>
      <w:adjustRightInd w:val="0"/>
      <w:snapToGrid w:val="0"/>
      <w:spacing w:before="20" w:after="0" w:line="228" w:lineRule="auto"/>
    </w:pPr>
    <w:rPr>
      <w:rFonts w:ascii="Minion Pro" w:eastAsia="Times New Roman" w:hAnsi="Minion Pro" w:cs="Times New Roman"/>
      <w:color w:val="000000"/>
      <w:kern w:val="0"/>
      <w:sz w:val="18"/>
      <w:szCs w:val="20"/>
      <w:lang w:eastAsia="de-CH"/>
      <w14:ligatures w14:val="none"/>
    </w:rPr>
  </w:style>
  <w:style w:type="paragraph" w:customStyle="1" w:styleId="TSP81theorem">
    <w:name w:val="TSP_8.1_theorem"/>
    <w:qFormat/>
    <w:rsid w:val="007327FE"/>
    <w:pPr>
      <w:adjustRightInd w:val="0"/>
      <w:snapToGrid w:val="0"/>
      <w:spacing w:before="240" w:after="240" w:line="240" w:lineRule="atLeast"/>
      <w:jc w:val="both"/>
    </w:pPr>
    <w:rPr>
      <w:rFonts w:ascii="Minion Pro" w:eastAsia="Times New Roman" w:hAnsi="Minion Pro" w:cs="Times New Roman"/>
      <w:i/>
      <w:snapToGrid w:val="0"/>
      <w:color w:val="000000"/>
      <w:kern w:val="0"/>
      <w:sz w:val="22"/>
      <w:szCs w:val="22"/>
      <w:lang w:eastAsia="de-DE" w:bidi="en-US"/>
      <w14:ligatures w14:val="none"/>
    </w:rPr>
  </w:style>
  <w:style w:type="paragraph" w:customStyle="1" w:styleId="TSP82proof">
    <w:name w:val="TSP_8.2_proof"/>
    <w:qFormat/>
    <w:rsid w:val="007327FE"/>
    <w:pPr>
      <w:adjustRightInd w:val="0"/>
      <w:snapToGrid w:val="0"/>
      <w:spacing w:before="240" w:after="240" w:line="240" w:lineRule="atLeast"/>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equationFram">
    <w:name w:val="TSP_equationFram"/>
    <w:qFormat/>
    <w:rsid w:val="007327FE"/>
    <w:pPr>
      <w:adjustRightInd w:val="0"/>
      <w:snapToGrid w:val="0"/>
      <w:spacing w:before="120" w:after="120" w:line="240" w:lineRule="auto"/>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footer">
    <w:name w:val="TSP_footer"/>
    <w:qFormat/>
    <w:rsid w:val="007327FE"/>
    <w:pPr>
      <w:adjustRightInd w:val="0"/>
      <w:snapToGrid w:val="0"/>
      <w:spacing w:after="0" w:line="228" w:lineRule="auto"/>
      <w:jc w:val="both"/>
    </w:pPr>
    <w:rPr>
      <w:rFonts w:ascii="Minion Pro" w:eastAsia="Times New Roman" w:hAnsi="Minion Pro" w:cs="Times New Roman"/>
      <w:color w:val="000000"/>
      <w:kern w:val="0"/>
      <w:sz w:val="16"/>
      <w:szCs w:val="20"/>
      <w:lang w:eastAsia="de-DE"/>
      <w14:ligatures w14:val="none"/>
    </w:rPr>
  </w:style>
  <w:style w:type="paragraph" w:customStyle="1" w:styleId="TSPfooterfirstpage">
    <w:name w:val="TSP_footer_firstpage"/>
    <w:qFormat/>
    <w:rsid w:val="007327FE"/>
    <w:pPr>
      <w:tabs>
        <w:tab w:val="right" w:pos="8845"/>
      </w:tabs>
      <w:suppressAutoHyphens/>
      <w:snapToGrid w:val="0"/>
      <w:spacing w:after="0" w:line="228" w:lineRule="auto"/>
      <w:jc w:val="both"/>
    </w:pPr>
    <w:rPr>
      <w:rFonts w:ascii="Minion Pro" w:eastAsia="Times New Roman" w:hAnsi="Minion Pro" w:cs="Times New Roman"/>
      <w:color w:val="000000"/>
      <w:kern w:val="0"/>
      <w:sz w:val="16"/>
      <w:szCs w:val="20"/>
      <w:lang w:eastAsia="de-DE"/>
      <w14:ligatures w14:val="none"/>
    </w:rPr>
  </w:style>
  <w:style w:type="paragraph" w:customStyle="1" w:styleId="TSPheader">
    <w:name w:val="TSP_header"/>
    <w:qFormat/>
    <w:rsid w:val="007327FE"/>
    <w:pPr>
      <w:adjustRightInd w:val="0"/>
      <w:snapToGrid w:val="0"/>
      <w:spacing w:after="0" w:line="228" w:lineRule="auto"/>
      <w:jc w:val="both"/>
    </w:pPr>
    <w:rPr>
      <w:rFonts w:ascii="Minion Pro" w:eastAsia="Times New Roman" w:hAnsi="Minion Pro" w:cs="Times New Roman"/>
      <w:iCs/>
      <w:color w:val="000000"/>
      <w:kern w:val="0"/>
      <w:sz w:val="16"/>
      <w:szCs w:val="20"/>
      <w:lang w:eastAsia="de-DE"/>
      <w14:ligatures w14:val="none"/>
    </w:rPr>
  </w:style>
  <w:style w:type="paragraph" w:customStyle="1" w:styleId="TSPheadercitation">
    <w:name w:val="TSP_header_citation"/>
    <w:qFormat/>
    <w:rsid w:val="007327FE"/>
    <w:pPr>
      <w:spacing w:after="0" w:line="228" w:lineRule="auto"/>
    </w:pPr>
    <w:rPr>
      <w:rFonts w:ascii="Minion Pro" w:eastAsia="Times New Roman" w:hAnsi="Minion Pro" w:cs="Times New Roman"/>
      <w:snapToGrid w:val="0"/>
      <w:color w:val="000000"/>
      <w:kern w:val="0"/>
      <w:sz w:val="16"/>
      <w:szCs w:val="20"/>
      <w:lang w:eastAsia="de-DE" w:bidi="en-US"/>
      <w14:ligatures w14:val="none"/>
    </w:rPr>
  </w:style>
  <w:style w:type="paragraph" w:customStyle="1" w:styleId="TSPheaderjournallogo">
    <w:name w:val="TSP_header_journal_logo"/>
    <w:qFormat/>
    <w:rsid w:val="007327FE"/>
    <w:pPr>
      <w:adjustRightInd w:val="0"/>
      <w:snapToGrid w:val="0"/>
      <w:spacing w:after="0" w:line="240" w:lineRule="atLeast"/>
    </w:pPr>
    <w:rPr>
      <w:rFonts w:ascii="Minion Pro" w:eastAsia="Times New Roman" w:hAnsi="Minion Pro" w:cs="Times New Roman"/>
      <w:color w:val="000000"/>
      <w:kern w:val="0"/>
      <w:sz w:val="22"/>
      <w:szCs w:val="22"/>
      <w:lang w:eastAsia="de-CH"/>
      <w14:ligatures w14:val="none"/>
    </w:rPr>
  </w:style>
  <w:style w:type="paragraph" w:customStyle="1" w:styleId="TSPheadertsplogo">
    <w:name w:val="TSP_header_tsp_logo"/>
    <w:qFormat/>
    <w:rsid w:val="007327FE"/>
    <w:pPr>
      <w:adjustRightInd w:val="0"/>
      <w:snapToGrid w:val="0"/>
      <w:spacing w:after="0" w:line="240" w:lineRule="atLeast"/>
      <w:jc w:val="right"/>
    </w:pPr>
    <w:rPr>
      <w:rFonts w:ascii="Minion Pro" w:eastAsia="Times New Roman" w:hAnsi="Minion Pro" w:cs="Times New Roman"/>
      <w:color w:val="000000"/>
      <w:kern w:val="0"/>
      <w:sz w:val="22"/>
      <w:szCs w:val="22"/>
      <w:lang w:eastAsia="de-CH"/>
      <w14:ligatures w14:val="none"/>
    </w:rPr>
  </w:style>
  <w:style w:type="paragraph" w:customStyle="1" w:styleId="TSPtext">
    <w:name w:val="TSP_text"/>
    <w:qFormat/>
    <w:rsid w:val="007327FE"/>
    <w:pPr>
      <w:snapToGrid w:val="0"/>
      <w:spacing w:after="0" w:line="240" w:lineRule="atLeast"/>
      <w:ind w:firstLine="425"/>
      <w:jc w:val="both"/>
    </w:pPr>
    <w:rPr>
      <w:rFonts w:ascii="Minion Pro" w:eastAsia="Times New Roman" w:hAnsi="Minion Pro" w:cs="Times New Roman"/>
      <w:noProof/>
      <w:snapToGrid w:val="0"/>
      <w:color w:val="000000"/>
      <w:kern w:val="0"/>
      <w:sz w:val="22"/>
      <w:szCs w:val="22"/>
      <w:lang w:eastAsia="de-DE" w:bidi="en-US"/>
      <w14:ligatures w14:val="none"/>
    </w:rPr>
  </w:style>
  <w:style w:type="paragraph" w:customStyle="1" w:styleId="TSPtitle">
    <w:name w:val="TSP_title"/>
    <w:qFormat/>
    <w:rsid w:val="007327FE"/>
    <w:pPr>
      <w:adjustRightInd w:val="0"/>
      <w:snapToGrid w:val="0"/>
      <w:spacing w:before="240" w:after="240" w:line="240" w:lineRule="atLeast"/>
      <w:jc w:val="both"/>
    </w:pPr>
    <w:rPr>
      <w:rFonts w:ascii="Minion Pro" w:eastAsia="Times New Roman" w:hAnsi="Minion Pro" w:cs="Times New Roman"/>
      <w:b/>
      <w:snapToGrid w:val="0"/>
      <w:color w:val="000000"/>
      <w:kern w:val="0"/>
      <w:sz w:val="28"/>
      <w:szCs w:val="20"/>
      <w:lang w:eastAsia="de-DE" w:bidi="en-US"/>
      <w14:ligatures w14:val="none"/>
    </w:rPr>
  </w:style>
  <w:style w:type="character" w:styleId="PageNumber">
    <w:name w:val="page number"/>
    <w:rsid w:val="005258B8"/>
    <w:rPr>
      <w:rFonts w:ascii="Minion Pro" w:hAnsi="Minion Pro"/>
      <w:sz w:val="20"/>
    </w:rPr>
  </w:style>
  <w:style w:type="paragraph" w:styleId="NormalWeb">
    <w:name w:val="Normal (Web)"/>
    <w:basedOn w:val="Normal"/>
    <w:qFormat/>
    <w:rsid w:val="00167D48"/>
    <w:rPr>
      <w:szCs w:val="24"/>
    </w:rPr>
  </w:style>
  <w:style w:type="paragraph" w:customStyle="1" w:styleId="MsoFootnoteText0">
    <w:name w:val="MsoFootnoteText"/>
    <w:basedOn w:val="NormalWeb"/>
    <w:qFormat/>
    <w:rsid w:val="00714041"/>
    <w:pPr>
      <w:adjustRightInd/>
      <w:snapToGrid/>
      <w:spacing w:line="280" w:lineRule="atLeast"/>
    </w:pPr>
    <w:rPr>
      <w:rFonts w:ascii="Times New Roman" w:hAnsi="Times New Roman"/>
      <w:noProof w:val="0"/>
      <w:sz w:val="20"/>
    </w:rPr>
  </w:style>
  <w:style w:type="character" w:styleId="PlaceholderText">
    <w:name w:val="Placeholder Text"/>
    <w:uiPriority w:val="99"/>
    <w:semiHidden/>
    <w:rsid w:val="000C1CDB"/>
    <w:rPr>
      <w:color w:val="808080"/>
    </w:rPr>
  </w:style>
  <w:style w:type="table" w:styleId="TableGrid">
    <w:name w:val="Table Grid"/>
    <w:basedOn w:val="TableNormal"/>
    <w:qFormat/>
    <w:rsid w:val="000C1CDB"/>
    <w:pPr>
      <w:spacing w:after="0" w:line="260" w:lineRule="atLeast"/>
      <w:jc w:val="both"/>
    </w:pPr>
    <w:rPr>
      <w:rFonts w:ascii="Minion Pro" w:hAnsi="Minion Pro" w:cs="Times New Roman"/>
      <w:color w:val="000000"/>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A2A62"/>
    <w:pPr>
      <w:adjustRightInd/>
      <w:snapToGrid/>
      <w:spacing w:line="280" w:lineRule="atLeast"/>
      <w:ind w:firstLineChars="200" w:firstLine="420"/>
    </w:pPr>
    <w:rPr>
      <w:rFonts w:eastAsiaTheme="minorEastAsia"/>
      <w:noProof w:val="0"/>
      <w14:ligatures w14:val="standardContextual"/>
    </w:rPr>
  </w:style>
  <w:style w:type="paragraph" w:styleId="Title">
    <w:name w:val="Title"/>
    <w:basedOn w:val="Normal"/>
    <w:next w:val="Normal"/>
    <w:link w:val="TitleChar"/>
    <w:uiPriority w:val="10"/>
    <w:qFormat/>
    <w:rsid w:val="00FA2A62"/>
    <w:pPr>
      <w:spacing w:after="8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FA2A62"/>
    <w:rPr>
      <w:rFonts w:asciiTheme="majorHAnsi" w:eastAsiaTheme="majorEastAsia" w:hAnsiTheme="majorHAnsi" w:cstheme="majorBidi"/>
      <w:noProof/>
      <w:spacing w:val="-10"/>
      <w:kern w:val="28"/>
      <w:sz w:val="56"/>
      <w:szCs w:val="56"/>
      <w14:ligatures w14:val="none"/>
    </w:rPr>
  </w:style>
  <w:style w:type="paragraph" w:styleId="Subtitle">
    <w:name w:val="Subtitle"/>
    <w:basedOn w:val="Normal"/>
    <w:next w:val="Normal"/>
    <w:link w:val="SubtitleChar"/>
    <w:uiPriority w:val="11"/>
    <w:qFormat/>
    <w:rsid w:val="00FA2A62"/>
    <w:pPr>
      <w:numPr>
        <w:ilvl w:val="1"/>
      </w:numPr>
      <w:spacing w:after="160"/>
      <w:ind w:firstLine="425"/>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A2A62"/>
    <w:rPr>
      <w:rFonts w:eastAsiaTheme="majorEastAsia" w:cstheme="majorBidi"/>
      <w:noProof/>
      <w:color w:val="595959" w:themeColor="text1" w:themeTint="A6"/>
      <w:spacing w:val="15"/>
      <w:kern w:val="0"/>
      <w:sz w:val="28"/>
      <w:szCs w:val="28"/>
      <w14:ligatures w14:val="none"/>
    </w:rPr>
  </w:style>
  <w:style w:type="paragraph" w:styleId="Quote">
    <w:name w:val="Quote"/>
    <w:basedOn w:val="Normal"/>
    <w:next w:val="Normal"/>
    <w:link w:val="QuoteChar"/>
    <w:uiPriority w:val="29"/>
    <w:qFormat/>
    <w:rsid w:val="00FA2A6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A2A62"/>
    <w:rPr>
      <w:rFonts w:ascii="Minion Pro" w:hAnsi="Minion Pro" w:cs="Times New Roman"/>
      <w:i/>
      <w:iCs/>
      <w:noProof/>
      <w:color w:val="404040" w:themeColor="text1" w:themeTint="BF"/>
      <w:kern w:val="0"/>
      <w:sz w:val="22"/>
      <w:szCs w:val="20"/>
      <w14:ligatures w14:val="none"/>
    </w:rPr>
  </w:style>
  <w:style w:type="character" w:styleId="IntenseEmphasis">
    <w:name w:val="Intense Emphasis"/>
    <w:basedOn w:val="DefaultParagraphFont"/>
    <w:uiPriority w:val="21"/>
    <w:qFormat/>
    <w:rsid w:val="00FA2A62"/>
    <w:rPr>
      <w:i/>
      <w:iCs/>
      <w:color w:val="2F5496" w:themeColor="accent1" w:themeShade="BF"/>
    </w:rPr>
  </w:style>
  <w:style w:type="paragraph" w:styleId="IntenseQuote">
    <w:name w:val="Intense Quote"/>
    <w:basedOn w:val="Normal"/>
    <w:next w:val="Normal"/>
    <w:link w:val="IntenseQuoteChar"/>
    <w:uiPriority w:val="30"/>
    <w:qFormat/>
    <w:rsid w:val="00FA2A6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A2A62"/>
    <w:rPr>
      <w:rFonts w:ascii="Minion Pro" w:hAnsi="Minion Pro" w:cs="Times New Roman"/>
      <w:i/>
      <w:iCs/>
      <w:noProof/>
      <w:color w:val="2F5496" w:themeColor="accent1" w:themeShade="BF"/>
      <w:kern w:val="0"/>
      <w:sz w:val="22"/>
      <w:szCs w:val="20"/>
      <w14:ligatures w14:val="none"/>
    </w:rPr>
  </w:style>
  <w:style w:type="character" w:styleId="IntenseReference">
    <w:name w:val="Intense Reference"/>
    <w:basedOn w:val="DefaultParagraphFont"/>
    <w:uiPriority w:val="32"/>
    <w:qFormat/>
    <w:rsid w:val="00FA2A62"/>
    <w:rPr>
      <w:b/>
      <w:bCs/>
      <w:smallCaps/>
      <w:color w:val="2F5496" w:themeColor="accent1" w:themeShade="BF"/>
      <w:spacing w:val="5"/>
    </w:rPr>
  </w:style>
  <w:style w:type="character" w:styleId="UnresolvedMention">
    <w:name w:val="Unresolved Mention"/>
    <w:uiPriority w:val="99"/>
    <w:semiHidden/>
    <w:unhideWhenUsed/>
    <w:rsid w:val="00DE4261"/>
    <w:rPr>
      <w:color w:val="605E5C"/>
      <w:shd w:val="clear" w:color="auto" w:fill="E1DFDD"/>
    </w:rPr>
  </w:style>
  <w:style w:type="table" w:styleId="PlainTable4">
    <w:name w:val="Plain Table 4"/>
    <w:basedOn w:val="TableNormal"/>
    <w:uiPriority w:val="44"/>
    <w:rsid w:val="00DE4261"/>
    <w:pPr>
      <w:spacing w:after="0" w:line="240" w:lineRule="auto"/>
    </w:pPr>
    <w:rPr>
      <w:rFonts w:ascii="Calibri" w:hAnsi="Calibri" w:cs="Times New Roman"/>
      <w:kern w:val="0"/>
      <w:sz w:val="20"/>
      <w:szCs w:val="20"/>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HTMLPreformatted">
    <w:name w:val="HTML Preformatted"/>
    <w:basedOn w:val="Normal"/>
    <w:link w:val="HTMLPreformattedChar"/>
    <w:qFormat/>
    <w:rsid w:val="00DE4261"/>
    <w:pPr>
      <w:widowControl w:val="0"/>
      <w:adjustRightInd/>
      <w:snapToGrid/>
      <w:spacing w:line="240" w:lineRule="auto"/>
    </w:pPr>
    <w:rPr>
      <w:rFonts w:ascii="Courier New" w:eastAsiaTheme="minorEastAsia" w:hAnsi="Courier New" w:cs="Courier New"/>
      <w:noProof w:val="0"/>
      <w:color w:val="auto"/>
      <w:kern w:val="2"/>
      <w:sz w:val="20"/>
    </w:rPr>
  </w:style>
  <w:style w:type="character" w:customStyle="1" w:styleId="HTMLPreformattedChar">
    <w:name w:val="HTML Preformatted Char"/>
    <w:basedOn w:val="DefaultParagraphFont"/>
    <w:link w:val="HTMLPreformatted"/>
    <w:qFormat/>
    <w:rsid w:val="00DE4261"/>
    <w:rPr>
      <w:rFonts w:ascii="Courier New" w:eastAsiaTheme="minorEastAsia" w:hAnsi="Courier New" w:cs="Courier New"/>
      <w:sz w:val="20"/>
      <w:szCs w:val="20"/>
      <w14:ligatures w14:val="none"/>
    </w:rPr>
  </w:style>
  <w:style w:type="character" w:styleId="Strong">
    <w:name w:val="Strong"/>
    <w:basedOn w:val="DefaultParagraphFont"/>
    <w:uiPriority w:val="22"/>
    <w:qFormat/>
    <w:rsid w:val="00DE4261"/>
    <w:rPr>
      <w:b/>
    </w:rPr>
  </w:style>
  <w:style w:type="character" w:styleId="Emphasis">
    <w:name w:val="Emphasis"/>
    <w:basedOn w:val="DefaultParagraphFont"/>
    <w:qFormat/>
    <w:rsid w:val="00DE4261"/>
    <w:rPr>
      <w:i/>
    </w:rPr>
  </w:style>
  <w:style w:type="character" w:styleId="HTMLCode">
    <w:name w:val="HTML Code"/>
    <w:basedOn w:val="DefaultParagraphFont"/>
    <w:qFormat/>
    <w:rsid w:val="00DE4261"/>
    <w:rPr>
      <w:rFonts w:ascii="Courier New" w:hAnsi="Courier New"/>
      <w:sz w:val="20"/>
    </w:rPr>
  </w:style>
  <w:style w:type="character" w:customStyle="1" w:styleId="15">
    <w:name w:val="15"/>
    <w:basedOn w:val="DefaultParagraphFont"/>
    <w:qFormat/>
    <w:rsid w:val="00DE4261"/>
    <w:rPr>
      <w:rFonts w:ascii="Times New Roman" w:hAnsi="Times New Roman" w:cs="Times New Roman" w:hint="default"/>
      <w:b/>
    </w:rPr>
  </w:style>
  <w:style w:type="character" w:customStyle="1" w:styleId="10">
    <w:name w:val="10"/>
    <w:basedOn w:val="DefaultParagraphFont"/>
    <w:qFormat/>
    <w:rsid w:val="00DE4261"/>
    <w:rPr>
      <w:rFonts w:ascii="Times New Roman" w:hAnsi="Times New Roman" w:cs="Times New Roman" w:hint="default"/>
    </w:rPr>
  </w:style>
  <w:style w:type="paragraph" w:customStyle="1" w:styleId="EndNoteBibliographyTitle">
    <w:name w:val="EndNote Bibliography Title"/>
    <w:basedOn w:val="Normal"/>
    <w:link w:val="EndNoteBibliographyTitle0"/>
    <w:qFormat/>
    <w:rsid w:val="00DE4261"/>
    <w:pPr>
      <w:widowControl w:val="0"/>
      <w:adjustRightInd/>
      <w:snapToGrid/>
      <w:spacing w:line="240" w:lineRule="auto"/>
      <w:jc w:val="center"/>
    </w:pPr>
    <w:rPr>
      <w:rFonts w:ascii="Calibri" w:eastAsiaTheme="minorEastAsia" w:hAnsi="Calibri" w:cs="Calibri"/>
      <w:noProof w:val="0"/>
      <w:color w:val="auto"/>
      <w:kern w:val="2"/>
      <w:sz w:val="20"/>
      <w:szCs w:val="24"/>
    </w:rPr>
  </w:style>
  <w:style w:type="character" w:customStyle="1" w:styleId="EndNoteBibliographyTitle0">
    <w:name w:val="EndNote Bibliography Title 字符"/>
    <w:basedOn w:val="DefaultParagraphFont"/>
    <w:link w:val="EndNoteBibliographyTitle"/>
    <w:qFormat/>
    <w:rsid w:val="00DE4261"/>
    <w:rPr>
      <w:rFonts w:ascii="Calibri" w:eastAsiaTheme="minorEastAsia" w:hAnsi="Calibri" w:cs="Calibri"/>
      <w:sz w:val="20"/>
      <w14:ligatures w14:val="none"/>
    </w:rPr>
  </w:style>
  <w:style w:type="paragraph" w:customStyle="1" w:styleId="EndNoteBibliography">
    <w:name w:val="EndNote Bibliography"/>
    <w:basedOn w:val="Normal"/>
    <w:link w:val="EndNoteBibliography0"/>
    <w:qFormat/>
    <w:rsid w:val="00DE4261"/>
    <w:pPr>
      <w:widowControl w:val="0"/>
      <w:adjustRightInd/>
      <w:snapToGrid/>
      <w:spacing w:line="240" w:lineRule="auto"/>
    </w:pPr>
    <w:rPr>
      <w:rFonts w:ascii="Calibri" w:eastAsiaTheme="minorEastAsia" w:hAnsi="Calibri" w:cs="Calibri"/>
      <w:noProof w:val="0"/>
      <w:color w:val="auto"/>
      <w:kern w:val="2"/>
      <w:sz w:val="20"/>
      <w:szCs w:val="24"/>
    </w:rPr>
  </w:style>
  <w:style w:type="character" w:customStyle="1" w:styleId="EndNoteBibliography0">
    <w:name w:val="EndNote Bibliography 字符"/>
    <w:basedOn w:val="DefaultParagraphFont"/>
    <w:link w:val="EndNoteBibliography"/>
    <w:qFormat/>
    <w:rsid w:val="00DE4261"/>
    <w:rPr>
      <w:rFonts w:ascii="Calibri" w:eastAsiaTheme="minorEastAsia" w:hAnsi="Calibri" w:cs="Calibri"/>
      <w:sz w:val="20"/>
      <w14:ligatures w14:val="none"/>
    </w:rPr>
  </w:style>
  <w:style w:type="character" w:customStyle="1" w:styleId="1">
    <w:name w:val="未处理的提及1"/>
    <w:basedOn w:val="DefaultParagraphFont"/>
    <w:uiPriority w:val="99"/>
    <w:semiHidden/>
    <w:unhideWhenUsed/>
    <w:qFormat/>
    <w:rsid w:val="00DE4261"/>
    <w:rPr>
      <w:color w:val="605E5C"/>
      <w:shd w:val="clear" w:color="auto" w:fill="E1DFDD"/>
    </w:rPr>
  </w:style>
  <w:style w:type="character" w:customStyle="1" w:styleId="2">
    <w:name w:val="未处理的提及2"/>
    <w:basedOn w:val="DefaultParagraphFont"/>
    <w:uiPriority w:val="99"/>
    <w:semiHidden/>
    <w:unhideWhenUsed/>
    <w:qFormat/>
    <w:rsid w:val="00DE4261"/>
    <w:rPr>
      <w:color w:val="605E5C"/>
      <w:shd w:val="clear" w:color="auto" w:fill="E1DFDD"/>
    </w:rPr>
  </w:style>
  <w:style w:type="character" w:customStyle="1" w:styleId="3">
    <w:name w:val="未处理的提及3"/>
    <w:basedOn w:val="DefaultParagraphFont"/>
    <w:uiPriority w:val="99"/>
    <w:semiHidden/>
    <w:unhideWhenUsed/>
    <w:qFormat/>
    <w:rsid w:val="00DE4261"/>
    <w:rPr>
      <w:color w:val="605E5C"/>
      <w:shd w:val="clear" w:color="auto" w:fill="E1DFDD"/>
    </w:rPr>
  </w:style>
  <w:style w:type="character" w:customStyle="1" w:styleId="4">
    <w:name w:val="未处理的提及4"/>
    <w:basedOn w:val="DefaultParagraphFont"/>
    <w:uiPriority w:val="99"/>
    <w:semiHidden/>
    <w:unhideWhenUsed/>
    <w:qFormat/>
    <w:rsid w:val="00DE4261"/>
    <w:rPr>
      <w:color w:val="605E5C"/>
      <w:shd w:val="clear" w:color="auto" w:fill="E1DFDD"/>
    </w:rPr>
  </w:style>
  <w:style w:type="paragraph" w:customStyle="1" w:styleId="11">
    <w:name w:val="修订1"/>
    <w:hidden/>
    <w:uiPriority w:val="99"/>
    <w:unhideWhenUsed/>
    <w:qFormat/>
    <w:rsid w:val="00DE4261"/>
    <w:pPr>
      <w:spacing w:after="0" w:line="240" w:lineRule="auto"/>
    </w:pPr>
    <w:rPr>
      <w:rFonts w:eastAsiaTheme="minorEastAsia"/>
      <w:sz w:val="21"/>
      <w14:ligatures w14:val="none"/>
    </w:rPr>
  </w:style>
  <w:style w:type="character" w:customStyle="1" w:styleId="5">
    <w:name w:val="未处理的提及5"/>
    <w:basedOn w:val="DefaultParagraphFont"/>
    <w:uiPriority w:val="99"/>
    <w:semiHidden/>
    <w:unhideWhenUsed/>
    <w:qFormat/>
    <w:rsid w:val="00DE4261"/>
    <w:rPr>
      <w:color w:val="605E5C"/>
      <w:shd w:val="clear" w:color="auto" w:fill="E1DFDD"/>
    </w:rPr>
  </w:style>
  <w:style w:type="character" w:customStyle="1" w:styleId="cf01">
    <w:name w:val="cf01"/>
    <w:basedOn w:val="DefaultParagraphFont"/>
    <w:qFormat/>
    <w:rsid w:val="00DE4261"/>
    <w:rPr>
      <w:rFonts w:ascii="Microsoft YaHei UI" w:eastAsia="Microsoft YaHei UI" w:hAnsi="Microsoft YaHei UI" w:hint="eastAsia"/>
      <w:sz w:val="18"/>
      <w:szCs w:val="18"/>
    </w:rPr>
  </w:style>
  <w:style w:type="paragraph" w:customStyle="1" w:styleId="20">
    <w:name w:val="修订2"/>
    <w:hidden/>
    <w:uiPriority w:val="99"/>
    <w:unhideWhenUsed/>
    <w:qFormat/>
    <w:rsid w:val="00DE4261"/>
    <w:pPr>
      <w:spacing w:after="0" w:line="240" w:lineRule="auto"/>
    </w:pPr>
    <w:rPr>
      <w:rFonts w:eastAsiaTheme="minorEastAsia"/>
      <w:sz w:val="21"/>
      <w14:ligatures w14:val="none"/>
    </w:rPr>
  </w:style>
  <w:style w:type="character" w:customStyle="1" w:styleId="6">
    <w:name w:val="未处理的提及6"/>
    <w:basedOn w:val="DefaultParagraphFont"/>
    <w:uiPriority w:val="99"/>
    <w:semiHidden/>
    <w:unhideWhenUsed/>
    <w:qFormat/>
    <w:rsid w:val="00DE4261"/>
    <w:rPr>
      <w:color w:val="605E5C"/>
      <w:shd w:val="clear" w:color="auto" w:fill="E1DFDD"/>
    </w:rPr>
  </w:style>
  <w:style w:type="paragraph" w:customStyle="1" w:styleId="Revision1">
    <w:name w:val="Revision1"/>
    <w:hidden/>
    <w:uiPriority w:val="99"/>
    <w:unhideWhenUsed/>
    <w:qFormat/>
    <w:rsid w:val="00DE4261"/>
    <w:pPr>
      <w:spacing w:after="0" w:line="240" w:lineRule="auto"/>
    </w:pPr>
    <w:rPr>
      <w:rFonts w:eastAsiaTheme="minorEastAsia"/>
      <w:sz w:val="21"/>
      <w14:ligatures w14:val="none"/>
    </w:rPr>
  </w:style>
  <w:style w:type="character" w:customStyle="1" w:styleId="UnresolvedMention1">
    <w:name w:val="Unresolved Mention1"/>
    <w:basedOn w:val="DefaultParagraphFont"/>
    <w:uiPriority w:val="99"/>
    <w:semiHidden/>
    <w:unhideWhenUsed/>
    <w:qFormat/>
    <w:rsid w:val="00DE4261"/>
    <w:rPr>
      <w:color w:val="605E5C"/>
      <w:shd w:val="clear" w:color="auto" w:fill="E1DFDD"/>
    </w:rPr>
  </w:style>
  <w:style w:type="paragraph" w:styleId="Revision">
    <w:name w:val="Revision"/>
    <w:hidden/>
    <w:uiPriority w:val="99"/>
    <w:semiHidden/>
    <w:rsid w:val="00DE4261"/>
    <w:pPr>
      <w:spacing w:after="0" w:line="240" w:lineRule="auto"/>
    </w:pPr>
    <w:rPr>
      <w:rFonts w:ascii="Minion Pro" w:hAnsi="Minion Pro" w:cs="Times New Roman"/>
      <w:noProof/>
      <w:color w:val="000000"/>
      <w:kern w:val="0"/>
      <w:sz w:val="22"/>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tiff"/><Relationship Id="rId5" Type="http://schemas.openxmlformats.org/officeDocument/2006/relationships/image" Target="media/image1.tiff"/><Relationship Id="rId10" Type="http://schemas.openxmlformats.org/officeDocument/2006/relationships/image" Target="media/image6.tiff"/><Relationship Id="rId4" Type="http://schemas.openxmlformats.org/officeDocument/2006/relationships/webSettings" Target="webSettings.xml"/><Relationship Id="rId9"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14</Pages>
  <Words>3422</Words>
  <Characters>19507</Characters>
  <Application>Microsoft Office Word</Application>
  <DocSecurity>0</DocSecurity>
  <Lines>162</Lines>
  <Paragraphs>45</Paragraphs>
  <ScaleCrop>false</ScaleCrop>
  <Company/>
  <LinksUpToDate>false</LinksUpToDate>
  <CharactersWithSpaces>22884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Tech Science Press</dc:creator>
  <cp:keywords/>
  <dc:description/>
  <cp:lastModifiedBy>Tech Science Press</cp:lastModifiedBy>
  <cp:revision>2</cp:revision>
  <dcterms:created xsi:type="dcterms:W3CDTF">2026-09-04T01:00:00Z</dcterms:created>
  <dcterms:modified xsi:type="dcterms:W3CDTF">2026-09-04T01:02:00Z</dcterms:modified>
</cp:coreProperties>
</file>