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6AABBAE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46137D">
        <w:rPr>
          <w:rFonts w:ascii="Minion Pro" w:hAnsi="Minion Pro"/>
          <w:color w:val="000000" w:themeColor="text1"/>
          <w:sz w:val="14"/>
          <w:szCs w:val="14"/>
        </w:rPr>
        <w:t>chd</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4286FBFA"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CASE REPORT</w:t>
      </w:r>
    </w:p>
    <w:p w14:paraId="7CE1E279" w14:textId="74991742" w:rsidR="00DA4CD6" w:rsidRPr="00C81371" w:rsidRDefault="00DA4CD6" w:rsidP="00AB64EE">
      <w:pPr>
        <w:spacing w:before="240"/>
        <w:jc w:val="left"/>
        <w:rPr>
          <w:rFonts w:ascii="Minion Pro" w:hAnsi="Minion Pro"/>
          <w:b/>
          <w:color w:val="000000" w:themeColor="text1"/>
          <w:kern w:val="28"/>
          <w:sz w:val="28"/>
          <w:szCs w:val="28"/>
        </w:rPr>
      </w:pPr>
      <w:bookmarkStart w:id="0" w:name="_Hlk54099856"/>
      <w:r>
        <w:rPr>
          <w:rFonts w:ascii="Minion Pro" w:hAnsi="Minion Pro" w:hint="eastAsia"/>
          <w:b/>
          <w:color w:val="000000" w:themeColor="text1"/>
          <w:kern w:val="28"/>
          <w:sz w:val="28"/>
          <w:szCs w:val="28"/>
        </w:rPr>
        <w:t>Case</w:t>
      </w:r>
      <w:r>
        <w:rPr>
          <w:rFonts w:ascii="Minion Pro" w:hAnsi="Minion Pro"/>
          <w:b/>
          <w:color w:val="000000" w:themeColor="text1"/>
          <w:kern w:val="28"/>
          <w:sz w:val="28"/>
          <w:szCs w:val="28"/>
        </w:rPr>
        <w:t xml:space="preserve"> </w:t>
      </w:r>
      <w:r>
        <w:rPr>
          <w:rFonts w:ascii="Minion Pro" w:hAnsi="Minion Pro" w:hint="eastAsia"/>
          <w:b/>
          <w:color w:val="000000" w:themeColor="text1"/>
          <w:kern w:val="28"/>
          <w:sz w:val="28"/>
          <w:szCs w:val="28"/>
        </w:rPr>
        <w:t>Report</w:t>
      </w:r>
      <w:r>
        <w:rPr>
          <w:rFonts w:ascii="Minion Pro" w:hAnsi="Minion Pro"/>
          <w:b/>
          <w:color w:val="000000" w:themeColor="text1"/>
          <w:kern w:val="28"/>
          <w:sz w:val="28"/>
          <w:szCs w:val="28"/>
        </w:rPr>
        <w:t xml:space="preserve">: </w:t>
      </w:r>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6137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421EF005"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 xml:space="preserve">Please type your abstract here. Abstract of a </w:t>
                            </w:r>
                            <w:r w:rsidR="00DA4CD6">
                              <w:rPr>
                                <w:rFonts w:ascii="Minion Pro" w:hAnsi="Minion Pro"/>
                                <w:spacing w:val="-3"/>
                                <w:sz w:val="20"/>
                              </w:rPr>
                              <w:t>case report</w:t>
                            </w:r>
                            <w:r w:rsidRPr="00B82C46">
                              <w:rPr>
                                <w:rFonts w:ascii="Minion Pro" w:hAnsi="Minion Pro"/>
                                <w:spacing w:val="-3"/>
                                <w:sz w:val="20"/>
                              </w:rPr>
                              <w:t xml:space="preserve"> is </w:t>
                            </w:r>
                            <w:r w:rsidR="00DA4CD6">
                              <w:rPr>
                                <w:rFonts w:ascii="Minion Pro" w:hAnsi="Minion Pro"/>
                                <w:spacing w:val="-3"/>
                                <w:sz w:val="20"/>
                              </w:rPr>
                              <w:t>structured. I</w:t>
                            </w:r>
                            <w:r w:rsidR="00DA4CD6" w:rsidRPr="00DA4CD6">
                              <w:rPr>
                                <w:rFonts w:ascii="Minion Pro" w:hAnsi="Minion Pro"/>
                                <w:spacing w:val="-3"/>
                                <w:sz w:val="20"/>
                              </w:rPr>
                              <w:t xml:space="preserve">ntroduction – </w:t>
                            </w:r>
                            <w:r w:rsidR="00DA4CD6">
                              <w:rPr>
                                <w:rFonts w:ascii="Minion Pro" w:hAnsi="Minion Pro" w:hint="eastAsia"/>
                                <w:spacing w:val="-3"/>
                                <w:sz w:val="20"/>
                              </w:rPr>
                              <w:t>The</w:t>
                            </w:r>
                            <w:r w:rsidR="00DA4CD6">
                              <w:rPr>
                                <w:rFonts w:ascii="Minion Pro" w:hAnsi="Minion Pro"/>
                                <w:spacing w:val="-3"/>
                                <w:sz w:val="20"/>
                              </w:rPr>
                              <w:t xml:space="preserve"> </w:t>
                            </w:r>
                            <w:r w:rsidR="00DA4CD6">
                              <w:rPr>
                                <w:rFonts w:ascii="Minion Pro" w:hAnsi="Minion Pro" w:hint="eastAsia"/>
                                <w:spacing w:val="-3"/>
                                <w:sz w:val="20"/>
                              </w:rPr>
                              <w:t>uniqueness</w:t>
                            </w:r>
                            <w:r w:rsidR="00DA4CD6">
                              <w:rPr>
                                <w:rFonts w:ascii="Minion Pro" w:hAnsi="Minion Pro"/>
                                <w:spacing w:val="-3"/>
                                <w:sz w:val="20"/>
                              </w:rPr>
                              <w:t xml:space="preserve"> </w:t>
                            </w:r>
                            <w:r w:rsidR="00DA4CD6">
                              <w:rPr>
                                <w:rFonts w:ascii="Minion Pro" w:hAnsi="Minion Pro" w:hint="eastAsia"/>
                                <w:spacing w:val="-3"/>
                                <w:sz w:val="20"/>
                              </w:rPr>
                              <w:t>of</w:t>
                            </w:r>
                            <w:r w:rsidR="00DA4CD6">
                              <w:rPr>
                                <w:rFonts w:ascii="Minion Pro" w:hAnsi="Minion Pro"/>
                                <w:spacing w:val="-3"/>
                                <w:sz w:val="20"/>
                              </w:rPr>
                              <w:t xml:space="preserve"> this case, and </w:t>
                            </w:r>
                            <w:r w:rsidR="00DA4CD6" w:rsidRPr="00DA4CD6">
                              <w:rPr>
                                <w:rFonts w:ascii="Minion Pro" w:hAnsi="Minion Pro"/>
                                <w:spacing w:val="-3"/>
                                <w:sz w:val="20"/>
                              </w:rPr>
                              <w:t>how does it contribute to the body of scientific knowledge</w:t>
                            </w:r>
                            <w:r w:rsidR="00DA4CD6">
                              <w:rPr>
                                <w:rFonts w:ascii="Minion Pro" w:hAnsi="Minion Pro"/>
                                <w:spacing w:val="-3"/>
                                <w:sz w:val="20"/>
                              </w:rPr>
                              <w:t>?</w:t>
                            </w:r>
                            <w:r w:rsidR="00DA4CD6" w:rsidRPr="00DA4CD6">
                              <w:rPr>
                                <w:rFonts w:ascii="Minion Pro" w:hAnsi="Minion Pro"/>
                                <w:spacing w:val="-3"/>
                                <w:sz w:val="20"/>
                              </w:rPr>
                              <w:t xml:space="preserve"> The key issues raised by the patient and significant clinical observations. The primary diagnoses, interventions implemented, and resulting outcomes. Conclusion – What are one or more lessons that can be learned from this case report?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421EF005"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 xml:space="preserve">Please type your abstract here. Abstract of a </w:t>
                      </w:r>
                      <w:r w:rsidR="00DA4CD6">
                        <w:rPr>
                          <w:rFonts w:ascii="Minion Pro" w:hAnsi="Minion Pro"/>
                          <w:spacing w:val="-3"/>
                          <w:sz w:val="20"/>
                        </w:rPr>
                        <w:t>case report</w:t>
                      </w:r>
                      <w:r w:rsidRPr="00B82C46">
                        <w:rPr>
                          <w:rFonts w:ascii="Minion Pro" w:hAnsi="Minion Pro"/>
                          <w:spacing w:val="-3"/>
                          <w:sz w:val="20"/>
                        </w:rPr>
                        <w:t xml:space="preserve"> is </w:t>
                      </w:r>
                      <w:r w:rsidR="00DA4CD6">
                        <w:rPr>
                          <w:rFonts w:ascii="Minion Pro" w:hAnsi="Minion Pro"/>
                          <w:spacing w:val="-3"/>
                          <w:sz w:val="20"/>
                        </w:rPr>
                        <w:t>structured. I</w:t>
                      </w:r>
                      <w:r w:rsidR="00DA4CD6" w:rsidRPr="00DA4CD6">
                        <w:rPr>
                          <w:rFonts w:ascii="Minion Pro" w:hAnsi="Minion Pro"/>
                          <w:spacing w:val="-3"/>
                          <w:sz w:val="20"/>
                        </w:rPr>
                        <w:t xml:space="preserve">ntroduction – </w:t>
                      </w:r>
                      <w:r w:rsidR="00DA4CD6">
                        <w:rPr>
                          <w:rFonts w:ascii="Minion Pro" w:hAnsi="Minion Pro" w:hint="eastAsia"/>
                          <w:spacing w:val="-3"/>
                          <w:sz w:val="20"/>
                        </w:rPr>
                        <w:t>The</w:t>
                      </w:r>
                      <w:r w:rsidR="00DA4CD6">
                        <w:rPr>
                          <w:rFonts w:ascii="Minion Pro" w:hAnsi="Minion Pro"/>
                          <w:spacing w:val="-3"/>
                          <w:sz w:val="20"/>
                        </w:rPr>
                        <w:t xml:space="preserve"> </w:t>
                      </w:r>
                      <w:r w:rsidR="00DA4CD6">
                        <w:rPr>
                          <w:rFonts w:ascii="Minion Pro" w:hAnsi="Minion Pro" w:hint="eastAsia"/>
                          <w:spacing w:val="-3"/>
                          <w:sz w:val="20"/>
                        </w:rPr>
                        <w:t>uniqueness</w:t>
                      </w:r>
                      <w:r w:rsidR="00DA4CD6">
                        <w:rPr>
                          <w:rFonts w:ascii="Minion Pro" w:hAnsi="Minion Pro"/>
                          <w:spacing w:val="-3"/>
                          <w:sz w:val="20"/>
                        </w:rPr>
                        <w:t xml:space="preserve"> </w:t>
                      </w:r>
                      <w:r w:rsidR="00DA4CD6">
                        <w:rPr>
                          <w:rFonts w:ascii="Minion Pro" w:hAnsi="Minion Pro" w:hint="eastAsia"/>
                          <w:spacing w:val="-3"/>
                          <w:sz w:val="20"/>
                        </w:rPr>
                        <w:t>of</w:t>
                      </w:r>
                      <w:r w:rsidR="00DA4CD6">
                        <w:rPr>
                          <w:rFonts w:ascii="Minion Pro" w:hAnsi="Minion Pro"/>
                          <w:spacing w:val="-3"/>
                          <w:sz w:val="20"/>
                        </w:rPr>
                        <w:t xml:space="preserve"> this case, and </w:t>
                      </w:r>
                      <w:r w:rsidR="00DA4CD6" w:rsidRPr="00DA4CD6">
                        <w:rPr>
                          <w:rFonts w:ascii="Minion Pro" w:hAnsi="Minion Pro"/>
                          <w:spacing w:val="-3"/>
                          <w:sz w:val="20"/>
                        </w:rPr>
                        <w:t>how does it contribute to the body of scientific knowledge</w:t>
                      </w:r>
                      <w:r w:rsidR="00DA4CD6">
                        <w:rPr>
                          <w:rFonts w:ascii="Minion Pro" w:hAnsi="Minion Pro"/>
                          <w:spacing w:val="-3"/>
                          <w:sz w:val="20"/>
                        </w:rPr>
                        <w:t>?</w:t>
                      </w:r>
                      <w:r w:rsidR="00DA4CD6" w:rsidRPr="00DA4CD6">
                        <w:rPr>
                          <w:rFonts w:ascii="Minion Pro" w:hAnsi="Minion Pro"/>
                          <w:spacing w:val="-3"/>
                          <w:sz w:val="20"/>
                        </w:rPr>
                        <w:t xml:space="preserve"> The key issues raised by the patient and significant clinical observations. The primary diagnoses, interventions implemented, and resulting outcomes. Conclusion – What are one or more lessons that can be learned from this case report?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4BF7D973" w14:textId="77777777" w:rsidR="004D43B0" w:rsidRPr="00C81371" w:rsidRDefault="00AB64EE" w:rsidP="004D43B0">
      <w:pPr>
        <w:widowControl w:val="0"/>
        <w:snapToGrid w:val="0"/>
        <w:spacing w:before="240"/>
        <w:ind w:firstLine="420"/>
        <w:rPr>
          <w:b/>
          <w:color w:val="000000" w:themeColor="text1"/>
          <w:szCs w:val="22"/>
        </w:rPr>
      </w:pPr>
      <w:r w:rsidRPr="00C81371">
        <w:rPr>
          <w:rFonts w:hint="eastAsia"/>
          <w:color w:val="000000" w:themeColor="text1"/>
          <w:szCs w:val="22"/>
        </w:rPr>
        <w:t xml:space="preserve">Authors are encouraged to use the Microsoft Word template when preparing the final version of their manuscripts. In introduction, authors should provide a context or background for the </w:t>
      </w:r>
      <w:r w:rsidR="00DA4CD6">
        <w:rPr>
          <w:rFonts w:hint="eastAsia"/>
          <w:color w:val="000000" w:themeColor="text1"/>
          <w:szCs w:val="22"/>
        </w:rPr>
        <w:t>case</w:t>
      </w:r>
      <w:r w:rsidRPr="00C81371">
        <w:rPr>
          <w:rFonts w:hint="eastAsia"/>
          <w:color w:val="000000" w:themeColor="text1"/>
          <w:szCs w:val="22"/>
        </w:rPr>
        <w:t xml:space="preserve"> (that is, the nature of the problem and its significance). </w:t>
      </w:r>
      <w:r w:rsidR="00DA4CD6" w:rsidRPr="00DA4CD6">
        <w:rPr>
          <w:color w:val="000000" w:themeColor="text1"/>
          <w:szCs w:val="22"/>
        </w:rPr>
        <w:t>Briefly summarizes why this case is unique and may include medical literature references.</w:t>
      </w:r>
      <w:r w:rsidRPr="00C81371">
        <w:rPr>
          <w:rFonts w:hint="eastAsia"/>
          <w:color w:val="000000" w:themeColor="text1"/>
          <w:szCs w:val="22"/>
        </w:rPr>
        <w:t xml:space="preserve"> Cite only directly pertinent references, and do not include data or conclusions from the work being reported.</w:t>
      </w:r>
      <w:r w:rsidR="004D43B0">
        <w:rPr>
          <w:color w:val="000000" w:themeColor="text1"/>
          <w:szCs w:val="22"/>
        </w:rPr>
        <w:t xml:space="preserve"> </w:t>
      </w:r>
    </w:p>
    <w:p w14:paraId="0D75A33C" w14:textId="4F7D82CE" w:rsidR="00796F3F" w:rsidRPr="006C11CD" w:rsidRDefault="004D43B0" w:rsidP="006C11CD">
      <w:pPr>
        <w:widowControl w:val="0"/>
        <w:snapToGrid w:val="0"/>
        <w:ind w:firstLine="426"/>
        <w:rPr>
          <w:rFonts w:hint="eastAsia"/>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064505D5" w14:textId="44C6F719" w:rsidR="00AB64EE" w:rsidRDefault="00AB64EE" w:rsidP="00AB64EE">
      <w:pPr>
        <w:widowControl w:val="0"/>
        <w:snapToGrid w:val="0"/>
        <w:spacing w:before="240"/>
        <w:rPr>
          <w:b/>
          <w:color w:val="000000" w:themeColor="text1"/>
          <w:szCs w:val="22"/>
        </w:rPr>
      </w:pPr>
      <w:r w:rsidRPr="00C81371">
        <w:rPr>
          <w:b/>
          <w:color w:val="000000" w:themeColor="text1"/>
          <w:szCs w:val="22"/>
        </w:rPr>
        <w:lastRenderedPageBreak/>
        <w:t xml:space="preserve">2 </w:t>
      </w:r>
      <w:r w:rsidR="00DA4CD6">
        <w:rPr>
          <w:rFonts w:hint="eastAsia"/>
          <w:b/>
          <w:color w:val="000000" w:themeColor="text1"/>
          <w:szCs w:val="22"/>
        </w:rPr>
        <w:t>Case</w:t>
      </w:r>
      <w:r w:rsidR="00DA4CD6">
        <w:rPr>
          <w:b/>
          <w:color w:val="000000" w:themeColor="text1"/>
          <w:szCs w:val="22"/>
        </w:rPr>
        <w:t xml:space="preserve"> Report</w:t>
      </w:r>
    </w:p>
    <w:p w14:paraId="65A8E096" w14:textId="77777777" w:rsidR="004D43B0" w:rsidRPr="003C4DF0" w:rsidRDefault="004D43B0" w:rsidP="004D43B0">
      <w:pPr>
        <w:spacing w:after="0"/>
        <w:ind w:firstLine="420"/>
        <w:jc w:val="left"/>
        <w:rPr>
          <w:szCs w:val="22"/>
        </w:rPr>
      </w:pPr>
      <w:r w:rsidRPr="003C4DF0">
        <w:rPr>
          <w:szCs w:val="22"/>
        </w:rPr>
        <w:t xml:space="preserve">This </w:t>
      </w:r>
      <w:r w:rsidRPr="004D43B0">
        <w:rPr>
          <w:szCs w:val="22"/>
        </w:rPr>
        <w:t xml:space="preserve">section is where you provide all relevant detail about your patient’s presentation, diagnostic process, treatment protocol, and outcomes. This includes the following required information: </w:t>
      </w:r>
    </w:p>
    <w:p w14:paraId="44AFB509" w14:textId="1ECFEC5A" w:rsidR="003C4DF0" w:rsidRPr="003C4DF0" w:rsidRDefault="003C4DF0" w:rsidP="003C4DF0">
      <w:pPr>
        <w:numPr>
          <w:ilvl w:val="0"/>
          <w:numId w:val="15"/>
        </w:numPr>
        <w:shd w:val="clear" w:color="auto" w:fill="FFFFFF"/>
        <w:spacing w:before="100" w:beforeAutospacing="1" w:after="100" w:afterAutospacing="1"/>
        <w:jc w:val="left"/>
        <w:rPr>
          <w:color w:val="212121"/>
          <w:szCs w:val="22"/>
        </w:rPr>
      </w:pPr>
      <w:r w:rsidRPr="003C4DF0">
        <w:rPr>
          <w:color w:val="212121"/>
          <w:szCs w:val="22"/>
        </w:rPr>
        <w:t>Patient information</w:t>
      </w:r>
    </w:p>
    <w:p w14:paraId="23C10113" w14:textId="14B925E9" w:rsidR="003C4DF0" w:rsidRPr="003C4DF0" w:rsidRDefault="003C4DF0" w:rsidP="003C4DF0">
      <w:pPr>
        <w:numPr>
          <w:ilvl w:val="0"/>
          <w:numId w:val="15"/>
        </w:numPr>
        <w:shd w:val="clear" w:color="auto" w:fill="FFFFFF"/>
        <w:spacing w:before="100" w:beforeAutospacing="1" w:after="100" w:afterAutospacing="1"/>
        <w:jc w:val="left"/>
        <w:rPr>
          <w:color w:val="212121"/>
          <w:szCs w:val="22"/>
        </w:rPr>
      </w:pPr>
      <w:r w:rsidRPr="003C4DF0">
        <w:rPr>
          <w:color w:val="212121"/>
          <w:szCs w:val="22"/>
        </w:rPr>
        <w:t>Case history and timeline</w:t>
      </w:r>
    </w:p>
    <w:p w14:paraId="3E52F179" w14:textId="77777777" w:rsidR="003C4DF0" w:rsidRPr="003C4DF0" w:rsidRDefault="003C4DF0" w:rsidP="003C4DF0">
      <w:pPr>
        <w:numPr>
          <w:ilvl w:val="0"/>
          <w:numId w:val="15"/>
        </w:numPr>
        <w:shd w:val="clear" w:color="auto" w:fill="FFFFFF"/>
        <w:spacing w:before="100" w:beforeAutospacing="1" w:after="100" w:afterAutospacing="1"/>
        <w:jc w:val="left"/>
        <w:rPr>
          <w:color w:val="212121"/>
          <w:szCs w:val="22"/>
        </w:rPr>
      </w:pPr>
      <w:r w:rsidRPr="003C4DF0">
        <w:rPr>
          <w:color w:val="212121"/>
          <w:szCs w:val="22"/>
        </w:rPr>
        <w:t>Physical examination results</w:t>
      </w:r>
    </w:p>
    <w:p w14:paraId="0F0671F2" w14:textId="77777777" w:rsidR="003C4DF0" w:rsidRPr="003C4DF0" w:rsidRDefault="003C4DF0" w:rsidP="003C4DF0">
      <w:pPr>
        <w:numPr>
          <w:ilvl w:val="0"/>
          <w:numId w:val="15"/>
        </w:numPr>
        <w:shd w:val="clear" w:color="auto" w:fill="FFFFFF"/>
        <w:spacing w:before="100" w:beforeAutospacing="1" w:after="100" w:afterAutospacing="1"/>
        <w:jc w:val="left"/>
        <w:rPr>
          <w:color w:val="212121"/>
          <w:szCs w:val="22"/>
        </w:rPr>
      </w:pPr>
      <w:r w:rsidRPr="003C4DF0">
        <w:rPr>
          <w:color w:val="212121"/>
          <w:szCs w:val="22"/>
        </w:rPr>
        <w:t>Results of pathological tests and other investigations</w:t>
      </w:r>
    </w:p>
    <w:p w14:paraId="01E48935" w14:textId="60E9999F" w:rsidR="003C4DF0" w:rsidRPr="003C4DF0" w:rsidRDefault="003C4DF0" w:rsidP="003C4DF0">
      <w:pPr>
        <w:numPr>
          <w:ilvl w:val="0"/>
          <w:numId w:val="15"/>
        </w:numPr>
        <w:shd w:val="clear" w:color="auto" w:fill="FFFFFF"/>
        <w:spacing w:before="100" w:beforeAutospacing="1" w:after="100" w:afterAutospacing="1"/>
        <w:jc w:val="left"/>
        <w:rPr>
          <w:color w:val="212121"/>
          <w:szCs w:val="22"/>
        </w:rPr>
      </w:pPr>
      <w:r w:rsidRPr="003C4DF0">
        <w:rPr>
          <w:color w:val="212121"/>
          <w:szCs w:val="22"/>
        </w:rPr>
        <w:t>Therapeutic intervention</w:t>
      </w:r>
    </w:p>
    <w:p w14:paraId="4AE7C6BE" w14:textId="7A5F8FA5" w:rsidR="003C4DF0" w:rsidRPr="003C4DF0" w:rsidRDefault="003C4DF0" w:rsidP="003C4DF0">
      <w:pPr>
        <w:numPr>
          <w:ilvl w:val="0"/>
          <w:numId w:val="15"/>
        </w:numPr>
        <w:shd w:val="clear" w:color="auto" w:fill="FFFFFF"/>
        <w:spacing w:before="100" w:beforeAutospacing="1" w:after="100" w:afterAutospacing="1"/>
        <w:jc w:val="left"/>
        <w:rPr>
          <w:bCs/>
          <w:color w:val="000000" w:themeColor="text1"/>
          <w:szCs w:val="22"/>
        </w:rPr>
      </w:pPr>
      <w:r w:rsidRPr="003C4DF0">
        <w:rPr>
          <w:bCs/>
          <w:color w:val="000000" w:themeColor="text1"/>
          <w:szCs w:val="22"/>
        </w:rPr>
        <w:t>Follow-up and outcomes</w:t>
      </w:r>
    </w:p>
    <w:p w14:paraId="20024EAE" w14:textId="66B1B7DF" w:rsidR="004D43B0" w:rsidRDefault="004D43B0" w:rsidP="003C4DF0">
      <w:pPr>
        <w:shd w:val="clear" w:color="auto" w:fill="FFFFFF"/>
        <w:spacing w:before="100" w:beforeAutospacing="1" w:after="100" w:afterAutospacing="1"/>
        <w:jc w:val="left"/>
        <w:rPr>
          <w:b/>
          <w:color w:val="000000" w:themeColor="text1"/>
          <w:szCs w:val="22"/>
        </w:rPr>
      </w:pPr>
      <w:r>
        <w:rPr>
          <w:rFonts w:hint="eastAsia"/>
          <w:b/>
          <w:color w:val="000000" w:themeColor="text1"/>
          <w:szCs w:val="22"/>
        </w:rPr>
        <w:t>3</w:t>
      </w:r>
      <w:r>
        <w:rPr>
          <w:b/>
          <w:color w:val="000000" w:themeColor="text1"/>
          <w:szCs w:val="22"/>
        </w:rPr>
        <w:t xml:space="preserve"> Discussion</w:t>
      </w:r>
    </w:p>
    <w:p w14:paraId="2424E5F7" w14:textId="64959B23" w:rsidR="003C4DF0" w:rsidRDefault="004D43B0" w:rsidP="003C4DF0">
      <w:pPr>
        <w:widowControl w:val="0"/>
        <w:snapToGrid w:val="0"/>
        <w:spacing w:before="240"/>
        <w:ind w:firstLine="420"/>
        <w:rPr>
          <w:bCs/>
          <w:color w:val="000000" w:themeColor="text1"/>
          <w:szCs w:val="22"/>
        </w:rPr>
      </w:pPr>
      <w:r w:rsidRPr="004D43B0">
        <w:rPr>
          <w:bCs/>
          <w:color w:val="000000" w:themeColor="text1"/>
          <w:szCs w:val="22"/>
        </w:rPr>
        <w:t xml:space="preserve">In the discussion section of this case </w:t>
      </w:r>
      <w:r w:rsidR="003C4DF0">
        <w:rPr>
          <w:bCs/>
          <w:color w:val="000000" w:themeColor="text1"/>
          <w:szCs w:val="22"/>
        </w:rPr>
        <w:t>report</w:t>
      </w:r>
      <w:r w:rsidRPr="004D43B0">
        <w:rPr>
          <w:bCs/>
          <w:color w:val="000000" w:themeColor="text1"/>
          <w:szCs w:val="22"/>
        </w:rPr>
        <w:t>, it is imp</w:t>
      </w:r>
      <w:r w:rsidR="003C4DF0">
        <w:rPr>
          <w:bCs/>
          <w:color w:val="000000" w:themeColor="text1"/>
          <w:szCs w:val="22"/>
        </w:rPr>
        <w:t>ortant</w:t>
      </w:r>
      <w:r w:rsidRPr="004D43B0">
        <w:rPr>
          <w:bCs/>
          <w:color w:val="000000" w:themeColor="text1"/>
          <w:szCs w:val="22"/>
        </w:rPr>
        <w:t xml:space="preserve"> to critically </w:t>
      </w:r>
      <w:r w:rsidR="003C4DF0">
        <w:rPr>
          <w:bCs/>
          <w:color w:val="000000" w:themeColor="text1"/>
          <w:szCs w:val="22"/>
        </w:rPr>
        <w:t>convince the reader with</w:t>
      </w:r>
      <w:r w:rsidRPr="004D43B0">
        <w:rPr>
          <w:bCs/>
          <w:color w:val="000000" w:themeColor="text1"/>
          <w:szCs w:val="22"/>
        </w:rPr>
        <w:t xml:space="preserve"> the strengths and </w:t>
      </w:r>
      <w:r w:rsidR="003C4DF0">
        <w:rPr>
          <w:bCs/>
          <w:color w:val="000000" w:themeColor="text1"/>
          <w:szCs w:val="22"/>
        </w:rPr>
        <w:t>value of the cases</w:t>
      </w:r>
      <w:r w:rsidRPr="004D43B0">
        <w:rPr>
          <w:bCs/>
          <w:color w:val="000000" w:themeColor="text1"/>
          <w:szCs w:val="22"/>
        </w:rPr>
        <w:t xml:space="preserve">. </w:t>
      </w:r>
    </w:p>
    <w:p w14:paraId="53FC469D" w14:textId="0E7323B1" w:rsidR="003C4DF0" w:rsidRDefault="004D43B0" w:rsidP="003C4DF0">
      <w:pPr>
        <w:widowControl w:val="0"/>
        <w:snapToGrid w:val="0"/>
        <w:spacing w:before="240"/>
        <w:ind w:firstLine="420"/>
        <w:rPr>
          <w:bCs/>
          <w:color w:val="000000" w:themeColor="text1"/>
          <w:szCs w:val="22"/>
        </w:rPr>
      </w:pPr>
      <w:r w:rsidRPr="004D43B0">
        <w:rPr>
          <w:bCs/>
          <w:color w:val="000000" w:themeColor="text1"/>
          <w:szCs w:val="22"/>
        </w:rPr>
        <w:t>This involves a comprehensive exploration of the methodology</w:t>
      </w:r>
      <w:r w:rsidR="003C4DF0">
        <w:rPr>
          <w:bCs/>
          <w:color w:val="000000" w:themeColor="text1"/>
          <w:szCs w:val="22"/>
        </w:rPr>
        <w:t xml:space="preserve"> of the cases</w:t>
      </w:r>
      <w:r w:rsidRPr="004D43B0">
        <w:rPr>
          <w:bCs/>
          <w:color w:val="000000" w:themeColor="text1"/>
          <w:szCs w:val="22"/>
        </w:rPr>
        <w:t xml:space="preserve">, acknowledging its successes while addressing any shortcomings encountered. </w:t>
      </w:r>
      <w:r w:rsidR="003C4DF0" w:rsidRPr="003C4DF0">
        <w:rPr>
          <w:bCs/>
          <w:color w:val="000000" w:themeColor="text1"/>
          <w:szCs w:val="22"/>
        </w:rPr>
        <w:t>Subsequently, a concise overview of the current literature related to the topic ensues. Should the journal require a distinct section dedicated to a literature review, it is recommended to insert it prior to the Discussion. Within this section, existing theories and research findings concerning the primary issue in the patient's condition are delineated. The review is focused on identifying the root cause of confusion or the primary challenge within the case.</w:t>
      </w:r>
    </w:p>
    <w:p w14:paraId="722CFE90" w14:textId="6DC68067" w:rsidR="003C4DF0" w:rsidRDefault="003C4DF0" w:rsidP="003C4DF0">
      <w:pPr>
        <w:widowControl w:val="0"/>
        <w:snapToGrid w:val="0"/>
        <w:spacing w:before="240"/>
        <w:ind w:firstLine="420"/>
        <w:rPr>
          <w:bCs/>
          <w:color w:val="000000" w:themeColor="text1"/>
          <w:szCs w:val="22"/>
        </w:rPr>
      </w:pPr>
      <w:r>
        <w:rPr>
          <w:rFonts w:hint="eastAsia"/>
          <w:bCs/>
          <w:color w:val="000000" w:themeColor="text1"/>
          <w:szCs w:val="22"/>
        </w:rPr>
        <w:t>C</w:t>
      </w:r>
      <w:r w:rsidRPr="003C4DF0">
        <w:rPr>
          <w:bCs/>
          <w:color w:val="000000" w:themeColor="text1"/>
          <w:szCs w:val="22"/>
        </w:rPr>
        <w:t>ase report</w:t>
      </w:r>
      <w:r>
        <w:rPr>
          <w:bCs/>
          <w:color w:val="000000" w:themeColor="text1"/>
          <w:szCs w:val="22"/>
        </w:rPr>
        <w:t xml:space="preserve"> should connect</w:t>
      </w:r>
      <w:r w:rsidRPr="003C4DF0">
        <w:rPr>
          <w:rFonts w:hint="eastAsia"/>
          <w:bCs/>
          <w:color w:val="000000" w:themeColor="text1"/>
          <w:szCs w:val="22"/>
        </w:rPr>
        <w:t xml:space="preserve"> </w:t>
      </w:r>
      <w:r w:rsidRPr="003C4DF0">
        <w:rPr>
          <w:bCs/>
          <w:color w:val="000000" w:themeColor="text1"/>
          <w:szCs w:val="22"/>
        </w:rPr>
        <w:t>with existing literature, emphasizing its message. The author should clarify if it agrees or differs from current beliefs about the problem. Additionally, explain how this evidence can improve future clinical practices.</w:t>
      </w:r>
    </w:p>
    <w:p w14:paraId="628AF8D3" w14:textId="1327B55A" w:rsidR="004D43B0" w:rsidRDefault="004D43B0" w:rsidP="004D43B0">
      <w:pPr>
        <w:widowControl w:val="0"/>
        <w:snapToGrid w:val="0"/>
        <w:spacing w:before="240"/>
        <w:rPr>
          <w:b/>
          <w:color w:val="000000" w:themeColor="text1"/>
          <w:szCs w:val="22"/>
        </w:rPr>
      </w:pPr>
      <w:r w:rsidRPr="00152F88">
        <w:rPr>
          <w:rFonts w:hint="eastAsia"/>
          <w:b/>
          <w:color w:val="000000" w:themeColor="text1"/>
          <w:szCs w:val="22"/>
        </w:rPr>
        <w:t>4</w:t>
      </w:r>
      <w:r w:rsidRPr="00152F88">
        <w:rPr>
          <w:b/>
          <w:color w:val="000000" w:themeColor="text1"/>
          <w:szCs w:val="22"/>
        </w:rPr>
        <w:t xml:space="preserve"> </w:t>
      </w:r>
      <w:r w:rsidRPr="00152F88">
        <w:rPr>
          <w:rFonts w:hint="eastAsia"/>
          <w:b/>
          <w:color w:val="000000" w:themeColor="text1"/>
          <w:szCs w:val="22"/>
        </w:rPr>
        <w:t>Conclusions</w:t>
      </w:r>
    </w:p>
    <w:p w14:paraId="366DA3C6" w14:textId="3B16105A" w:rsidR="004D43B0" w:rsidRDefault="003C4DF0" w:rsidP="007A50B1">
      <w:pPr>
        <w:widowControl w:val="0"/>
        <w:snapToGrid w:val="0"/>
        <w:spacing w:before="240"/>
        <w:ind w:firstLineChars="200" w:firstLine="440"/>
        <w:rPr>
          <w:bCs/>
          <w:color w:val="000000" w:themeColor="text1"/>
          <w:szCs w:val="22"/>
        </w:rPr>
      </w:pPr>
      <w:r w:rsidRPr="003C4DF0">
        <w:rPr>
          <w:bCs/>
          <w:color w:val="000000" w:themeColor="text1"/>
          <w:szCs w:val="22"/>
        </w:rPr>
        <w:t xml:space="preserve">This section provides a brief overview of the key points discussed in the case report. </w:t>
      </w:r>
      <w:r>
        <w:rPr>
          <w:bCs/>
          <w:color w:val="000000" w:themeColor="text1"/>
          <w:szCs w:val="22"/>
        </w:rPr>
        <w:t>T</w:t>
      </w:r>
      <w:r w:rsidRPr="003C4DF0">
        <w:rPr>
          <w:bCs/>
          <w:color w:val="000000" w:themeColor="text1"/>
          <w:szCs w:val="22"/>
        </w:rPr>
        <w:t>he author may offer suggestions and recommendations for clinicians, teachers, or researchers. In journals where a separate conclusion section is not required, it can be incorporated as the concluding paragraph within the Discussion section.</w:t>
      </w:r>
    </w:p>
    <w:p w14:paraId="3EA8F82A" w14:textId="77777777" w:rsidR="007A50B1" w:rsidRPr="00C81371" w:rsidRDefault="007A50B1" w:rsidP="007A50B1">
      <w:pPr>
        <w:widowControl w:val="0"/>
        <w:snapToGrid w:val="0"/>
        <w:spacing w:before="240"/>
        <w:rPr>
          <w:b/>
          <w:color w:val="000000" w:themeColor="text1"/>
          <w:szCs w:val="22"/>
        </w:rPr>
      </w:pPr>
      <w:r>
        <w:rPr>
          <w:b/>
          <w:color w:val="000000" w:themeColor="text1"/>
          <w:szCs w:val="22"/>
        </w:rPr>
        <w:t>5</w:t>
      </w:r>
      <w:r w:rsidRPr="00C81371">
        <w:rPr>
          <w:b/>
          <w:color w:val="000000" w:themeColor="text1"/>
          <w:szCs w:val="22"/>
        </w:rPr>
        <w:t xml:space="preserve"> Figures and Tables</w:t>
      </w:r>
    </w:p>
    <w:p w14:paraId="73454A95" w14:textId="77777777" w:rsidR="007A50B1" w:rsidRPr="00C81371" w:rsidRDefault="007A50B1" w:rsidP="007A50B1">
      <w:pPr>
        <w:ind w:firstLineChars="200" w:firstLine="440"/>
        <w:rPr>
          <w:color w:val="000000" w:themeColor="text1"/>
        </w:rPr>
      </w:pPr>
      <w:r w:rsidRPr="00C81371">
        <w:rPr>
          <w:color w:val="000000" w:themeColor="text1"/>
        </w:rPr>
        <w:t>Figures and tables should be inserted in the text of the manuscript.</w:t>
      </w:r>
    </w:p>
    <w:p w14:paraId="444B227A" w14:textId="77777777" w:rsidR="007A50B1" w:rsidRPr="00C81371" w:rsidRDefault="007A50B1" w:rsidP="007A50B1">
      <w:pPr>
        <w:spacing w:before="240"/>
        <w:rPr>
          <w:b/>
          <w:i/>
          <w:color w:val="000000" w:themeColor="text1"/>
        </w:rPr>
      </w:pPr>
      <w:r>
        <w:rPr>
          <w:b/>
          <w:i/>
          <w:color w:val="000000" w:themeColor="text1"/>
        </w:rPr>
        <w:t>5</w:t>
      </w:r>
      <w:r w:rsidRPr="00C81371">
        <w:rPr>
          <w:b/>
          <w:i/>
          <w:color w:val="000000" w:themeColor="text1"/>
        </w:rPr>
        <w:t>.1 Figures</w:t>
      </w:r>
    </w:p>
    <w:p w14:paraId="71261F42" w14:textId="77777777" w:rsidR="007A50B1" w:rsidRDefault="007A50B1" w:rsidP="007A50B1">
      <w:pPr>
        <w:widowControl w:val="0"/>
        <w:snapToGrid w:val="0"/>
        <w:ind w:firstLine="426"/>
        <w:rPr>
          <w:color w:val="000000" w:themeColor="text1"/>
          <w:spacing w:val="-2"/>
          <w:szCs w:val="22"/>
        </w:rPr>
      </w:pPr>
      <w:r w:rsidRPr="007A50B1">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52894B84" w14:textId="18AA9CB1" w:rsidR="007A50B1" w:rsidRDefault="007A50B1" w:rsidP="007A50B1">
      <w:pPr>
        <w:widowControl w:val="0"/>
        <w:snapToGrid w:val="0"/>
        <w:rPr>
          <w:rFonts w:hint="eastAsia"/>
          <w:color w:val="000000" w:themeColor="text1"/>
          <w:spacing w:val="-2"/>
          <w:szCs w:val="22"/>
        </w:rPr>
      </w:pPr>
      <w:r w:rsidRPr="007A50B1">
        <w:rPr>
          <w:color w:val="000000" w:themeColor="text1"/>
          <w:spacing w:val="-2"/>
          <w:szCs w:val="22"/>
        </w:rPr>
        <w:t>For example: Fig. 1</w:t>
      </w:r>
      <w:r>
        <w:rPr>
          <w:rFonts w:hint="eastAsia"/>
          <w:color w:val="000000" w:themeColor="text1"/>
          <w:spacing w:val="-2"/>
          <w:szCs w:val="22"/>
        </w:rPr>
        <w:t>,</w:t>
      </w:r>
    </w:p>
    <w:p w14:paraId="11766EFA" w14:textId="5E8A0E60" w:rsidR="007A50B1" w:rsidRPr="00C81371" w:rsidRDefault="007A50B1" w:rsidP="007A50B1">
      <w:pPr>
        <w:widowControl w:val="0"/>
        <w:snapToGrid w:val="0"/>
        <w:ind w:firstLine="426"/>
        <w:jc w:val="center"/>
        <w:rPr>
          <w:color w:val="000000" w:themeColor="text1"/>
          <w:szCs w:val="22"/>
        </w:rPr>
      </w:pPr>
      <w:r>
        <w:rPr>
          <w:noProof/>
          <w:color w:val="000000" w:themeColor="text1"/>
          <w:szCs w:val="22"/>
        </w:rPr>
        <w:lastRenderedPageBreak/>
        <w:drawing>
          <wp:inline distT="0" distB="0" distL="0" distR="0" wp14:anchorId="288DABAF" wp14:editId="35A99F16">
            <wp:extent cx="4330700" cy="4445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tretch>
                      <a:fillRect/>
                    </a:stretch>
                  </pic:blipFill>
                  <pic:spPr>
                    <a:xfrm>
                      <a:off x="0" y="0"/>
                      <a:ext cx="4330700" cy="4445000"/>
                    </a:xfrm>
                    <a:prstGeom prst="rect">
                      <a:avLst/>
                    </a:prstGeom>
                  </pic:spPr>
                </pic:pic>
              </a:graphicData>
            </a:graphic>
          </wp:inline>
        </w:drawing>
      </w:r>
    </w:p>
    <w:p w14:paraId="078C1955" w14:textId="77777777" w:rsidR="007A50B1" w:rsidRPr="007A50B1" w:rsidRDefault="007A50B1" w:rsidP="007A50B1">
      <w:pPr>
        <w:pStyle w:val="a8"/>
        <w:keepNext w:val="0"/>
        <w:widowControl w:val="0"/>
        <w:snapToGrid w:val="0"/>
        <w:spacing w:beforeLines="50" w:before="156"/>
        <w:jc w:val="both"/>
        <w:rPr>
          <w:szCs w:val="22"/>
        </w:rPr>
      </w:pPr>
    </w:p>
    <w:p w14:paraId="24B4814F" w14:textId="77777777" w:rsidR="007A50B1" w:rsidRPr="007A50B1" w:rsidRDefault="007A50B1" w:rsidP="007A50B1">
      <w:pPr>
        <w:snapToGrid w:val="0"/>
        <w:spacing w:after="0"/>
        <w:rPr>
          <w:szCs w:val="22"/>
        </w:rPr>
      </w:pPr>
      <w:r w:rsidRPr="007A50B1">
        <w:rPr>
          <w:b/>
          <w:bCs/>
          <w:szCs w:val="22"/>
          <w:shd w:val="clear" w:color="auto" w:fill="FFFFFF"/>
        </w:rPr>
        <w:t>Figure 1:</w:t>
      </w:r>
      <w:r w:rsidRPr="007A50B1">
        <w:rPr>
          <w:szCs w:val="22"/>
          <w:shd w:val="clear" w:color="auto" w:fill="FFFFFF"/>
        </w:rPr>
        <w:t> The binding of peptide αI to ERα. (A) Design TAT-αI-CTM and TAT-αI peptides. (B) Production of GST and GST-TAT-αI using an E. coli expression system. Coomassie blue staining after SDS-PAGE assessed their purity. (C) Pull-down of TAT-αI and ERα. HEK 293T cells were transiently transfected with plasmids pEGFP-N2-ERα. 48 h after transfection, cell lysates were subjected to GST pull down, and the pull-down fractions were immunoblotted analyzed. (D) Pull-down of TAT-αI and ERα in ERα-positive breast cancer cell lines, MCF-7 and T47D.</w:t>
      </w:r>
    </w:p>
    <w:p w14:paraId="3BD18CB7" w14:textId="77777777" w:rsidR="007A50B1" w:rsidRPr="00C81371" w:rsidRDefault="007A50B1" w:rsidP="007A50B1">
      <w:pPr>
        <w:widowControl w:val="0"/>
        <w:snapToGrid w:val="0"/>
        <w:spacing w:before="240"/>
        <w:rPr>
          <w:b/>
          <w:i/>
          <w:color w:val="000000" w:themeColor="text1"/>
          <w:szCs w:val="22"/>
        </w:rPr>
      </w:pPr>
      <w:r>
        <w:rPr>
          <w:b/>
          <w:i/>
          <w:color w:val="000000" w:themeColor="text1"/>
          <w:szCs w:val="22"/>
        </w:rPr>
        <w:t>5</w:t>
      </w:r>
      <w:r w:rsidRPr="00C81371">
        <w:rPr>
          <w:b/>
          <w:i/>
          <w:color w:val="000000" w:themeColor="text1"/>
          <w:szCs w:val="22"/>
        </w:rPr>
        <w:t>.2 Tables</w:t>
      </w:r>
    </w:p>
    <w:p w14:paraId="11CB036E" w14:textId="644A00F9" w:rsidR="007A50B1" w:rsidRDefault="007A50B1" w:rsidP="007A50B1">
      <w:pPr>
        <w:widowControl w:val="0"/>
        <w:snapToGrid w:val="0"/>
        <w:ind w:firstLine="426"/>
        <w:rPr>
          <w:rFonts w:hint="eastAsia"/>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344F5D37" w14:textId="77777777" w:rsidR="007A50B1" w:rsidRPr="00C81371" w:rsidRDefault="007A50B1" w:rsidP="007A50B1">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7A50B1" w:rsidRPr="00C81371" w14:paraId="1F63A050" w14:textId="77777777" w:rsidTr="00C6552E">
        <w:trPr>
          <w:trHeight w:val="231"/>
          <w:jc w:val="center"/>
        </w:trPr>
        <w:tc>
          <w:tcPr>
            <w:tcW w:w="1801" w:type="dxa"/>
            <w:tcBorders>
              <w:top w:val="single" w:sz="4" w:space="0" w:color="auto"/>
              <w:bottom w:val="single" w:sz="4" w:space="0" w:color="auto"/>
            </w:tcBorders>
            <w:vAlign w:val="center"/>
          </w:tcPr>
          <w:p w14:paraId="63B7E10B"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414993"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03B0596F"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3</w:t>
            </w:r>
          </w:p>
        </w:tc>
      </w:tr>
      <w:tr w:rsidR="007A50B1" w:rsidRPr="00C81371" w14:paraId="32957367" w14:textId="77777777" w:rsidTr="00C6552E">
        <w:trPr>
          <w:trHeight w:val="137"/>
          <w:jc w:val="center"/>
        </w:trPr>
        <w:tc>
          <w:tcPr>
            <w:tcW w:w="1801" w:type="dxa"/>
            <w:tcBorders>
              <w:top w:val="single" w:sz="4" w:space="0" w:color="auto"/>
            </w:tcBorders>
            <w:vAlign w:val="center"/>
          </w:tcPr>
          <w:p w14:paraId="4C09DE40"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31A01824"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65CADD37"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13</w:t>
            </w:r>
          </w:p>
        </w:tc>
      </w:tr>
      <w:tr w:rsidR="007A50B1" w:rsidRPr="00C81371" w14:paraId="254D7BA8" w14:textId="77777777" w:rsidTr="00C6552E">
        <w:trPr>
          <w:trHeight w:val="57"/>
          <w:jc w:val="center"/>
        </w:trPr>
        <w:tc>
          <w:tcPr>
            <w:tcW w:w="1801" w:type="dxa"/>
            <w:vAlign w:val="center"/>
          </w:tcPr>
          <w:p w14:paraId="2A7909E4"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007D30A5"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5DBFE1FC" w14:textId="77777777" w:rsidR="007A50B1" w:rsidRPr="00C81371" w:rsidRDefault="007A50B1" w:rsidP="00C6552E">
            <w:pPr>
              <w:widowControl w:val="0"/>
              <w:snapToGrid w:val="0"/>
              <w:jc w:val="left"/>
              <w:rPr>
                <w:color w:val="000000" w:themeColor="text1"/>
                <w:szCs w:val="22"/>
              </w:rPr>
            </w:pPr>
            <w:r w:rsidRPr="00C81371">
              <w:rPr>
                <w:color w:val="000000" w:themeColor="text1"/>
                <w:szCs w:val="22"/>
              </w:rPr>
              <w:t>23</w:t>
            </w:r>
          </w:p>
        </w:tc>
      </w:tr>
    </w:tbl>
    <w:p w14:paraId="1CE2AA38" w14:textId="77777777" w:rsidR="007A50B1" w:rsidRPr="003C4DF0" w:rsidRDefault="007A50B1" w:rsidP="007A50B1">
      <w:pPr>
        <w:widowControl w:val="0"/>
        <w:snapToGrid w:val="0"/>
        <w:spacing w:before="240"/>
        <w:ind w:firstLineChars="200" w:firstLine="442"/>
        <w:rPr>
          <w:b/>
          <w:color w:val="000000" w:themeColor="text1"/>
          <w:szCs w:val="22"/>
        </w:rPr>
      </w:pP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lastRenderedPageBreak/>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1FB94A50"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30836621" w14:textId="4439163C" w:rsidR="002B7158" w:rsidRPr="00D81EB6" w:rsidRDefault="004D43B0" w:rsidP="00130950">
      <w:pPr>
        <w:pStyle w:val="keyword"/>
        <w:widowControl w:val="0"/>
        <w:snapToGrid w:val="0"/>
        <w:spacing w:beforeLines="100" w:before="312"/>
        <w:rPr>
          <w:color w:val="000000" w:themeColor="text1"/>
          <w:szCs w:val="22"/>
        </w:rPr>
      </w:pPr>
      <w:r w:rsidRPr="004D43B0">
        <w:rPr>
          <w:b/>
          <w:bCs/>
          <w:color w:val="000000" w:themeColor="text1"/>
          <w:szCs w:val="22"/>
        </w:rPr>
        <w:t>Informed Consent</w:t>
      </w:r>
      <w:r w:rsidR="00130950">
        <w:rPr>
          <w:b/>
          <w:bCs/>
          <w:color w:val="000000" w:themeColor="text1"/>
          <w:szCs w:val="22"/>
        </w:rPr>
        <w:t xml:space="preserve"> (</w:t>
      </w:r>
      <w:r w:rsidR="00130950" w:rsidRPr="00130950">
        <w:rPr>
          <w:b/>
          <w:bCs/>
          <w:color w:val="000000" w:themeColor="text1"/>
          <w:szCs w:val="22"/>
        </w:rPr>
        <w:t>Provide if requested.</w:t>
      </w:r>
      <w:r w:rsidR="00130950">
        <w:rPr>
          <w:b/>
          <w:bCs/>
          <w:color w:val="000000" w:themeColor="text1"/>
          <w:szCs w:val="22"/>
        </w:rPr>
        <w:t>)</w:t>
      </w:r>
      <w:r>
        <w:rPr>
          <w:rFonts w:hint="eastAsia"/>
          <w:b/>
          <w:bCs/>
          <w:color w:val="000000" w:themeColor="text1"/>
          <w:szCs w:val="22"/>
        </w:rPr>
        <w:t>:</w:t>
      </w:r>
      <w:r>
        <w:rPr>
          <w:b/>
          <w:bCs/>
          <w:color w:val="000000" w:themeColor="text1"/>
          <w:szCs w:val="22"/>
        </w:rPr>
        <w:t xml:space="preserve"> </w:t>
      </w:r>
      <w:r w:rsidR="00130950" w:rsidRPr="00130950">
        <w:rPr>
          <w:color w:val="000000" w:themeColor="text1"/>
          <w:szCs w:val="22"/>
        </w:rPr>
        <w:t xml:space="preserve">Authors </w:t>
      </w:r>
      <w:r w:rsidR="00130950">
        <w:rPr>
          <w:color w:val="000000" w:themeColor="text1"/>
          <w:szCs w:val="22"/>
        </w:rPr>
        <w:t>should</w:t>
      </w:r>
      <w:r w:rsidR="00130950" w:rsidRPr="00130950">
        <w:rPr>
          <w:color w:val="000000" w:themeColor="text1"/>
          <w:szCs w:val="22"/>
        </w:rPr>
        <w:t xml:space="preserve"> obtain written consent from the patient and provide it </w:t>
      </w:r>
      <w:r w:rsidR="00130950">
        <w:rPr>
          <w:color w:val="000000" w:themeColor="text1"/>
          <w:szCs w:val="22"/>
        </w:rPr>
        <w:t>upon</w:t>
      </w:r>
      <w:r w:rsidR="00130950" w:rsidRPr="00130950">
        <w:rPr>
          <w:color w:val="000000" w:themeColor="text1"/>
          <w:szCs w:val="22"/>
        </w:rPr>
        <w:t xml:space="preserve"> request</w:t>
      </w:r>
      <w:r w:rsidR="00130950">
        <w:rPr>
          <w:color w:val="000000" w:themeColor="text1"/>
          <w:szCs w:val="22"/>
        </w:rPr>
        <w:t xml:space="preserve"> by the editorial office</w:t>
      </w:r>
      <w:r w:rsidR="00130950" w:rsidRPr="00130950">
        <w:rPr>
          <w:color w:val="000000" w:themeColor="text1"/>
          <w:szCs w:val="22"/>
        </w:rPr>
        <w:t>.</w:t>
      </w:r>
      <w:r w:rsidR="00130950">
        <w:rPr>
          <w:color w:val="000000" w:themeColor="text1"/>
          <w:szCs w:val="22"/>
        </w:rPr>
        <w:t xml:space="preserve"> </w:t>
      </w:r>
      <w:r w:rsidR="003C4DF0" w:rsidRPr="003C4DF0">
        <w:rPr>
          <w:color w:val="000000" w:themeColor="text1"/>
          <w:szCs w:val="22"/>
        </w:rPr>
        <w:t>If the patient is a minor, it is necessary to obtain parental consent. In situations where adults are unable to provide consent for investigation or treatment, the consent of the closest family members is required.</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07A7BCC6" w14:textId="77777777" w:rsidR="007A50B1" w:rsidRDefault="007A50B1" w:rsidP="00143C17">
      <w:pPr>
        <w:pStyle w:val="keyword"/>
        <w:widowControl w:val="0"/>
        <w:snapToGrid w:val="0"/>
        <w:spacing w:before="0" w:after="240"/>
        <w:rPr>
          <w:color w:val="000000" w:themeColor="text1"/>
          <w:szCs w:val="22"/>
        </w:rPr>
      </w:pPr>
    </w:p>
    <w:p w14:paraId="60BA7F36" w14:textId="77777777" w:rsidR="007A50B1" w:rsidRPr="00D92A80" w:rsidRDefault="007A50B1" w:rsidP="00143C17">
      <w:pPr>
        <w:pStyle w:val="keyword"/>
        <w:widowControl w:val="0"/>
        <w:snapToGrid w:val="0"/>
        <w:spacing w:before="0" w:after="240"/>
        <w:rPr>
          <w:rFonts w:hint="eastAsia"/>
          <w:color w:val="000000" w:themeColor="text1"/>
          <w:szCs w:val="22"/>
        </w:rPr>
      </w:pPr>
    </w:p>
    <w:p w14:paraId="2EAC613B" w14:textId="5E3126F8"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lastRenderedPageBreak/>
        <w:t xml:space="preserve">References: </w:t>
      </w:r>
      <w:hyperlink r:id="rId10" w:history="1">
        <w:r w:rsidRPr="00966BC5">
          <w:rPr>
            <w:rStyle w:val="a7"/>
            <w:rFonts w:ascii="Times New Roman" w:hAnsi="Times New Roman" w:cs="Times New Roman"/>
            <w:b/>
            <w:bCs/>
            <w:sz w:val="22"/>
            <w:szCs w:val="22"/>
            <w:shd w:val="clear" w:color="auto" w:fill="FFFFFF"/>
          </w:rPr>
          <w:t>Vancouver Referencing Style</w:t>
        </w:r>
      </w:hyperlink>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61C166C4" w14:textId="77777777" w:rsidR="007A50B1" w:rsidRPr="00944434" w:rsidRDefault="007A50B1" w:rsidP="007A50B1">
      <w:pPr>
        <w:pStyle w:val="ab"/>
        <w:widowControl w:val="0"/>
        <w:autoSpaceDE w:val="0"/>
        <w:autoSpaceDN w:val="0"/>
        <w:adjustRightInd w:val="0"/>
        <w:snapToGrid w:val="0"/>
        <w:spacing w:beforeLines="50" w:before="156" w:after="0" w:line="239" w:lineRule="exact"/>
        <w:ind w:left="360" w:firstLineChars="0" w:firstLine="0"/>
        <w:rPr>
          <w:rFonts w:hint="eastAsia"/>
          <w:color w:val="000000" w:themeColor="text1"/>
          <w:sz w:val="20"/>
        </w:rPr>
      </w:pP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5477283C" w14:textId="3B0CB35D" w:rsidR="00DB0A7F" w:rsidRPr="00537794" w:rsidRDefault="000271A4" w:rsidP="0053779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lastRenderedPageBreak/>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634128CD" w14:textId="558E8C96" w:rsidR="007A50B1" w:rsidRPr="007A50B1" w:rsidRDefault="008A143D" w:rsidP="007A50B1">
      <w:pPr>
        <w:pStyle w:val="ab"/>
        <w:widowControl w:val="0"/>
        <w:numPr>
          <w:ilvl w:val="0"/>
          <w:numId w:val="13"/>
        </w:numPr>
        <w:autoSpaceDE w:val="0"/>
        <w:autoSpaceDN w:val="0"/>
        <w:adjustRightInd w:val="0"/>
        <w:snapToGrid w:val="0"/>
        <w:spacing w:beforeLines="50" w:before="156" w:after="0" w:line="239" w:lineRule="exact"/>
        <w:ind w:firstLineChars="0"/>
        <w:rPr>
          <w:rFonts w:hint="eastAsia"/>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0799B3F1" w14:textId="4AB3183A" w:rsidR="004D43B0" w:rsidRPr="00130950" w:rsidRDefault="00357C86" w:rsidP="00130950">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701598F4" w14:textId="77777777" w:rsidR="004D43B0" w:rsidRPr="00357C86" w:rsidRDefault="004D43B0" w:rsidP="00DB0A7F">
      <w:pPr>
        <w:snapToGrid w:val="0"/>
        <w:ind w:firstLine="426"/>
        <w:rPr>
          <w:color w:val="000000" w:themeColor="text1"/>
        </w:rPr>
      </w:pPr>
    </w:p>
    <w:sectPr w:rsidR="004D43B0" w:rsidRPr="00357C86" w:rsidSect="00325FF5">
      <w:headerReference w:type="even" r:id="rId11"/>
      <w:headerReference w:type="default" r:id="rId12"/>
      <w:headerReference w:type="first" r:id="rId13"/>
      <w:footerReference w:type="first" r:id="rId14"/>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495C" w14:textId="77777777" w:rsidR="00325FF5" w:rsidRDefault="00325FF5" w:rsidP="004B2475">
      <w:pPr>
        <w:spacing w:after="0"/>
      </w:pPr>
      <w:r>
        <w:separator/>
      </w:r>
    </w:p>
  </w:endnote>
  <w:endnote w:type="continuationSeparator" w:id="0">
    <w:p w14:paraId="6C0B29F5" w14:textId="77777777" w:rsidR="00325FF5" w:rsidRDefault="00325FF5"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D9E5" w14:textId="77777777" w:rsidR="00325FF5" w:rsidRDefault="00325FF5" w:rsidP="004B2475">
      <w:pPr>
        <w:spacing w:after="0"/>
      </w:pPr>
      <w:r>
        <w:separator/>
      </w:r>
    </w:p>
  </w:footnote>
  <w:footnote w:type="continuationSeparator" w:id="0">
    <w:p w14:paraId="54F4A1F3" w14:textId="77777777" w:rsidR="00325FF5" w:rsidRDefault="00325FF5"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408C5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46137D">
      <w:t xml:space="preserve"> </w:t>
    </w:r>
    <w:r w:rsidR="0046137D">
      <w:rPr>
        <w:sz w:val="20"/>
      </w:rPr>
      <w:t>CHD</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797594EC" w:rsidR="00D02261" w:rsidRPr="00D02261" w:rsidRDefault="0046137D" w:rsidP="00D02261">
    <w:r>
      <w:rPr>
        <w:sz w:val="20"/>
      </w:rPr>
      <w:t>CHD</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C088C3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6137D">
      <w:rPr>
        <w:noProof/>
      </w:rPr>
      <w:drawing>
        <wp:inline distT="0" distB="0" distL="0" distR="0" wp14:anchorId="2EF8F905" wp14:editId="7097E2D1">
          <wp:extent cx="1854712" cy="463893"/>
          <wp:effectExtent l="0" t="0" r="0" b="0"/>
          <wp:docPr id="1467270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70539" name="图片 1467270539"/>
                  <pic:cNvPicPr/>
                </pic:nvPicPr>
                <pic:blipFill>
                  <a:blip r:embed="rId2">
                    <a:extLst>
                      <a:ext uri="{28A0092B-C50C-407E-A947-70E740481C1C}">
                        <a14:useLocalDpi xmlns:a14="http://schemas.microsoft.com/office/drawing/2010/main" val="0"/>
                      </a:ext>
                    </a:extLst>
                  </a:blip>
                  <a:stretch>
                    <a:fillRect/>
                  </a:stretch>
                </pic:blipFill>
                <pic:spPr>
                  <a:xfrm>
                    <a:off x="0" y="0"/>
                    <a:ext cx="1905130" cy="476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E8A19D8"/>
    <w:multiLevelType w:val="multilevel"/>
    <w:tmpl w:val="384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591306297">
    <w:abstractNumId w:val="9"/>
  </w:num>
  <w:num w:numId="2" w16cid:durableId="490760328">
    <w:abstractNumId w:val="12"/>
  </w:num>
  <w:num w:numId="3" w16cid:durableId="1473786297">
    <w:abstractNumId w:val="4"/>
  </w:num>
  <w:num w:numId="4" w16cid:durableId="521238291">
    <w:abstractNumId w:val="13"/>
  </w:num>
  <w:num w:numId="5" w16cid:durableId="2106266696">
    <w:abstractNumId w:val="2"/>
  </w:num>
  <w:num w:numId="6" w16cid:durableId="2093967865">
    <w:abstractNumId w:val="6"/>
  </w:num>
  <w:num w:numId="7" w16cid:durableId="1671447489">
    <w:abstractNumId w:val="10"/>
  </w:num>
  <w:num w:numId="8" w16cid:durableId="1473601018">
    <w:abstractNumId w:val="11"/>
  </w:num>
  <w:num w:numId="9" w16cid:durableId="1102872027">
    <w:abstractNumId w:val="5"/>
  </w:num>
  <w:num w:numId="10" w16cid:durableId="1131510620">
    <w:abstractNumId w:val="1"/>
  </w:num>
  <w:num w:numId="11" w16cid:durableId="710812835">
    <w:abstractNumId w:val="14"/>
  </w:num>
  <w:num w:numId="12" w16cid:durableId="20598453">
    <w:abstractNumId w:val="3"/>
  </w:num>
  <w:num w:numId="13" w16cid:durableId="1503859736">
    <w:abstractNumId w:val="0"/>
  </w:num>
  <w:num w:numId="14" w16cid:durableId="1955138075">
    <w:abstractNumId w:val="8"/>
  </w:num>
  <w:num w:numId="15" w16cid:durableId="1939872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80C95"/>
    <w:rsid w:val="000A6F84"/>
    <w:rsid w:val="000F5A13"/>
    <w:rsid w:val="00130950"/>
    <w:rsid w:val="00136FF0"/>
    <w:rsid w:val="001431D2"/>
    <w:rsid w:val="00143C17"/>
    <w:rsid w:val="00152F88"/>
    <w:rsid w:val="00170474"/>
    <w:rsid w:val="001B199D"/>
    <w:rsid w:val="001B5429"/>
    <w:rsid w:val="001F0AB8"/>
    <w:rsid w:val="00207C6C"/>
    <w:rsid w:val="00274949"/>
    <w:rsid w:val="002B7158"/>
    <w:rsid w:val="002C683C"/>
    <w:rsid w:val="002D51C5"/>
    <w:rsid w:val="00325FF5"/>
    <w:rsid w:val="00353BA2"/>
    <w:rsid w:val="00357C86"/>
    <w:rsid w:val="00361E43"/>
    <w:rsid w:val="003A29E6"/>
    <w:rsid w:val="003C2578"/>
    <w:rsid w:val="003C4DF0"/>
    <w:rsid w:val="003D3B8F"/>
    <w:rsid w:val="003F4372"/>
    <w:rsid w:val="0046137D"/>
    <w:rsid w:val="004B2475"/>
    <w:rsid w:val="004B302E"/>
    <w:rsid w:val="004D43B0"/>
    <w:rsid w:val="00513C8D"/>
    <w:rsid w:val="0053106B"/>
    <w:rsid w:val="00537794"/>
    <w:rsid w:val="00577AE6"/>
    <w:rsid w:val="00633BE3"/>
    <w:rsid w:val="006579B0"/>
    <w:rsid w:val="00690961"/>
    <w:rsid w:val="006C11CD"/>
    <w:rsid w:val="006D3093"/>
    <w:rsid w:val="006D68CD"/>
    <w:rsid w:val="007205F4"/>
    <w:rsid w:val="0072341F"/>
    <w:rsid w:val="00796F3F"/>
    <w:rsid w:val="007A50B1"/>
    <w:rsid w:val="00871FA1"/>
    <w:rsid w:val="00884C27"/>
    <w:rsid w:val="008913D3"/>
    <w:rsid w:val="008A143D"/>
    <w:rsid w:val="008A374A"/>
    <w:rsid w:val="008A6225"/>
    <w:rsid w:val="00944434"/>
    <w:rsid w:val="00947BAD"/>
    <w:rsid w:val="00966BC5"/>
    <w:rsid w:val="00982037"/>
    <w:rsid w:val="00A23D52"/>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A4CD6"/>
    <w:rsid w:val="00DB0A7F"/>
    <w:rsid w:val="00DF2F8C"/>
    <w:rsid w:val="00E0031D"/>
    <w:rsid w:val="00E023E1"/>
    <w:rsid w:val="00E21B36"/>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styleId="ae">
    <w:name w:val="Unresolved Mention"/>
    <w:basedOn w:val="a0"/>
    <w:uiPriority w:val="99"/>
    <w:semiHidden/>
    <w:unhideWhenUsed/>
    <w:rsid w:val="00966BC5"/>
    <w:rPr>
      <w:color w:val="605E5C"/>
      <w:shd w:val="clear" w:color="auto" w:fill="E1DFDD"/>
    </w:rPr>
  </w:style>
  <w:style w:type="character" w:styleId="af">
    <w:name w:val="Strong"/>
    <w:basedOn w:val="a0"/>
    <w:uiPriority w:val="22"/>
    <w:qFormat/>
    <w:rsid w:val="0015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97">
      <w:bodyDiv w:val="1"/>
      <w:marLeft w:val="0"/>
      <w:marRight w:val="0"/>
      <w:marTop w:val="0"/>
      <w:marBottom w:val="0"/>
      <w:divBdr>
        <w:top w:val="none" w:sz="0" w:space="0" w:color="auto"/>
        <w:left w:val="none" w:sz="0" w:space="0" w:color="auto"/>
        <w:bottom w:val="none" w:sz="0" w:space="0" w:color="auto"/>
        <w:right w:val="none" w:sz="0" w:space="0" w:color="auto"/>
      </w:divBdr>
    </w:div>
    <w:div w:id="281032688">
      <w:bodyDiv w:val="1"/>
      <w:marLeft w:val="0"/>
      <w:marRight w:val="0"/>
      <w:marTop w:val="0"/>
      <w:marBottom w:val="0"/>
      <w:divBdr>
        <w:top w:val="none" w:sz="0" w:space="0" w:color="auto"/>
        <w:left w:val="none" w:sz="0" w:space="0" w:color="auto"/>
        <w:bottom w:val="none" w:sz="0" w:space="0" w:color="auto"/>
        <w:right w:val="none" w:sz="0" w:space="0" w:color="auto"/>
      </w:divBdr>
      <w:divsChild>
        <w:div w:id="2120488444">
          <w:marLeft w:val="0"/>
          <w:marRight w:val="0"/>
          <w:marTop w:val="0"/>
          <w:marBottom w:val="0"/>
          <w:divBdr>
            <w:top w:val="none" w:sz="0" w:space="0" w:color="auto"/>
            <w:left w:val="none" w:sz="0" w:space="0" w:color="auto"/>
            <w:bottom w:val="none" w:sz="0" w:space="0" w:color="auto"/>
            <w:right w:val="none" w:sz="0" w:space="0" w:color="auto"/>
          </w:divBdr>
        </w:div>
        <w:div w:id="2096779520">
          <w:marLeft w:val="0"/>
          <w:marRight w:val="0"/>
          <w:marTop w:val="0"/>
          <w:marBottom w:val="0"/>
          <w:divBdr>
            <w:top w:val="none" w:sz="0" w:space="0" w:color="auto"/>
            <w:left w:val="none" w:sz="0" w:space="0" w:color="auto"/>
            <w:bottom w:val="none" w:sz="0" w:space="0" w:color="auto"/>
            <w:right w:val="none" w:sz="0" w:space="0" w:color="auto"/>
          </w:divBdr>
        </w:div>
        <w:div w:id="106388668">
          <w:marLeft w:val="0"/>
          <w:marRight w:val="0"/>
          <w:marTop w:val="0"/>
          <w:marBottom w:val="0"/>
          <w:divBdr>
            <w:top w:val="none" w:sz="0" w:space="0" w:color="auto"/>
            <w:left w:val="none" w:sz="0" w:space="0" w:color="auto"/>
            <w:bottom w:val="none" w:sz="0" w:space="0" w:color="auto"/>
            <w:right w:val="none" w:sz="0" w:space="0" w:color="auto"/>
          </w:divBdr>
        </w:div>
        <w:div w:id="955020298">
          <w:marLeft w:val="0"/>
          <w:marRight w:val="0"/>
          <w:marTop w:val="0"/>
          <w:marBottom w:val="0"/>
          <w:divBdr>
            <w:top w:val="none" w:sz="0" w:space="0" w:color="auto"/>
            <w:left w:val="none" w:sz="0" w:space="0" w:color="auto"/>
            <w:bottom w:val="none" w:sz="0" w:space="0" w:color="auto"/>
            <w:right w:val="none" w:sz="0" w:space="0" w:color="auto"/>
          </w:divBdr>
        </w:div>
        <w:div w:id="1554466938">
          <w:marLeft w:val="0"/>
          <w:marRight w:val="0"/>
          <w:marTop w:val="0"/>
          <w:marBottom w:val="0"/>
          <w:divBdr>
            <w:top w:val="none" w:sz="0" w:space="0" w:color="auto"/>
            <w:left w:val="none" w:sz="0" w:space="0" w:color="auto"/>
            <w:bottom w:val="none" w:sz="0" w:space="0" w:color="auto"/>
            <w:right w:val="none" w:sz="0" w:space="0" w:color="auto"/>
          </w:divBdr>
        </w:div>
        <w:div w:id="2102337719">
          <w:marLeft w:val="0"/>
          <w:marRight w:val="0"/>
          <w:marTop w:val="0"/>
          <w:marBottom w:val="0"/>
          <w:divBdr>
            <w:top w:val="none" w:sz="0" w:space="0" w:color="auto"/>
            <w:left w:val="none" w:sz="0" w:space="0" w:color="auto"/>
            <w:bottom w:val="none" w:sz="0" w:space="0" w:color="auto"/>
            <w:right w:val="none" w:sz="0" w:space="0" w:color="auto"/>
          </w:divBdr>
        </w:div>
        <w:div w:id="452942761">
          <w:marLeft w:val="0"/>
          <w:marRight w:val="0"/>
          <w:marTop w:val="0"/>
          <w:marBottom w:val="0"/>
          <w:divBdr>
            <w:top w:val="none" w:sz="0" w:space="0" w:color="auto"/>
            <w:left w:val="none" w:sz="0" w:space="0" w:color="auto"/>
            <w:bottom w:val="none" w:sz="0" w:space="0" w:color="auto"/>
            <w:right w:val="none" w:sz="0" w:space="0" w:color="auto"/>
          </w:divBdr>
        </w:div>
      </w:divsChild>
    </w:div>
    <w:div w:id="359936179">
      <w:bodyDiv w:val="1"/>
      <w:marLeft w:val="0"/>
      <w:marRight w:val="0"/>
      <w:marTop w:val="0"/>
      <w:marBottom w:val="0"/>
      <w:divBdr>
        <w:top w:val="none" w:sz="0" w:space="0" w:color="auto"/>
        <w:left w:val="none" w:sz="0" w:space="0" w:color="auto"/>
        <w:bottom w:val="none" w:sz="0" w:space="0" w:color="auto"/>
        <w:right w:val="none" w:sz="0" w:space="0" w:color="auto"/>
      </w:divBdr>
    </w:div>
    <w:div w:id="1841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Vancouver.e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57</cp:revision>
  <cp:lastPrinted>2022-01-07T06:24:00Z</cp:lastPrinted>
  <dcterms:created xsi:type="dcterms:W3CDTF">2022-01-07T03:05:00Z</dcterms:created>
  <dcterms:modified xsi:type="dcterms:W3CDTF">2024-01-18T08:26:00Z</dcterms:modified>
</cp:coreProperties>
</file>