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6AABBAEE"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46137D">
        <w:rPr>
          <w:rFonts w:ascii="Minion Pro" w:hAnsi="Minion Pro"/>
          <w:color w:val="000000" w:themeColor="text1"/>
          <w:sz w:val="14"/>
          <w:szCs w:val="14"/>
        </w:rPr>
        <w:t>chd</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372BA77A" w:rsidR="004B2475" w:rsidRPr="00C81371" w:rsidRDefault="00507E99" w:rsidP="00AB64EE">
      <w:pPr>
        <w:widowControl w:val="0"/>
        <w:tabs>
          <w:tab w:val="left" w:pos="440"/>
        </w:tabs>
        <w:snapToGrid w:val="0"/>
        <w:spacing w:after="0"/>
        <w:jc w:val="left"/>
        <w:rPr>
          <w:rFonts w:ascii="Minion Pro" w:hAnsi="Minion Pro" w:cstheme="minorHAnsi"/>
          <w:color w:val="000000" w:themeColor="text1"/>
          <w:sz w:val="18"/>
          <w:szCs w:val="18"/>
        </w:rPr>
      </w:pPr>
      <w:r>
        <w:rPr>
          <w:rFonts w:ascii="Minion Pro" w:hAnsi="Minion Pro" w:cstheme="minorHAnsi"/>
          <w:b/>
          <w:bCs/>
          <w:color w:val="000000" w:themeColor="text1"/>
          <w:sz w:val="18"/>
          <w:szCs w:val="18"/>
          <w:u w:val="single"/>
        </w:rPr>
        <w:t>REVIEW</w:t>
      </w:r>
      <w:r w:rsidR="004B2475" w:rsidRPr="00C81371">
        <w:rPr>
          <w:rFonts w:ascii="Minion Pro" w:hAnsi="Minion Pro" w:cstheme="minorHAnsi" w:hint="eastAsia"/>
          <w:color w:val="000000" w:themeColor="text1"/>
          <w:sz w:val="18"/>
          <w:szCs w:val="18"/>
        </w:rPr>
        <w:t>…</w:t>
      </w:r>
    </w:p>
    <w:p w14:paraId="7CE1E279" w14:textId="20C4BB41" w:rsidR="00DA4CD6" w:rsidRPr="00C81371" w:rsidRDefault="00DA4CD6"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3310D9CB" w:rsidR="00F9757C" w:rsidRPr="00F9757C" w:rsidRDefault="00F9757C" w:rsidP="0046137D">
      <w:pPr>
        <w:widowControl w:val="0"/>
        <w:snapToGrid w:val="0"/>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(Note: The number of Correspondence Authors is limited to 2. The provided correspondence emails must be valid and should accurately reflect the names or affiliations of the correspondence authors. Please note that QQ emails are not considered acceptable.)</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515C4154" w:rsidR="00B306D6" w:rsidRPr="00B34F27" w:rsidRDefault="00507E99" w:rsidP="00B306D6">
                            <w:pPr>
                              <w:widowControl w:val="0"/>
                              <w:snapToGrid w:val="0"/>
                              <w:rPr>
                                <w:rFonts w:ascii="Minion Pro" w:hAnsi="Minion Pro"/>
                                <w:sz w:val="20"/>
                              </w:rPr>
                            </w:pPr>
                            <w:r w:rsidRPr="00507E99">
                              <w:rPr>
                                <w:rFonts w:ascii="Minion Pro" w:hAnsi="Minion Pro"/>
                                <w:spacing w:val="-3"/>
                                <w:sz w:val="20"/>
                              </w:rPr>
                              <w:t>Abstracts must not exceed 300 words and should offer a concise overview of the article. While explaining the article's potential interest, it is crucial not to overly emphasize the significance of the work. Avoid incorporating citations in the abstract. If abbreviations are necessary, ensure they are spelled out.</w:t>
                            </w:r>
                            <w:r>
                              <w:rPr>
                                <w:rFonts w:ascii="Minion Pro" w:hAnsi="Minion Pro"/>
                                <w:spacing w:val="-3"/>
                                <w:sz w:val="20"/>
                              </w:rPr>
                              <w:t xml:space="preserve"> </w:t>
                            </w:r>
                            <w:r w:rsidRPr="00507E99">
                              <w:rPr>
                                <w:rFonts w:ascii="Minion Pro" w:hAnsi="Minion Pro"/>
                                <w:spacing w:val="-3"/>
                                <w:sz w:val="20"/>
                              </w:rPr>
                              <w:t>Abstracts are structured into Background, Methods, Results, and Conclusions</w:t>
                            </w:r>
                            <w:r>
                              <w:rPr>
                                <w:rFonts w:ascii="Minion Pro" w:hAnsi="Minion Pro"/>
                                <w:spacing w:val="-3"/>
                                <w:sz w:val="20"/>
                              </w:rPr>
                              <w:t xml:space="preserve"> if necessary</w:t>
                            </w:r>
                            <w:r w:rsidRPr="00507E99">
                              <w:rPr>
                                <w:rFonts w:ascii="Minion Pro" w:hAnsi="Minion Pro"/>
                                <w:spacing w:val="-3"/>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515C4154" w:rsidR="00B306D6" w:rsidRPr="00B34F27" w:rsidRDefault="00507E99" w:rsidP="00B306D6">
                      <w:pPr>
                        <w:widowControl w:val="0"/>
                        <w:snapToGrid w:val="0"/>
                        <w:rPr>
                          <w:rFonts w:ascii="Minion Pro" w:hAnsi="Minion Pro"/>
                          <w:sz w:val="20"/>
                        </w:rPr>
                      </w:pPr>
                      <w:r w:rsidRPr="00507E99">
                        <w:rPr>
                          <w:rFonts w:ascii="Minion Pro" w:hAnsi="Minion Pro"/>
                          <w:spacing w:val="-3"/>
                          <w:sz w:val="20"/>
                        </w:rPr>
                        <w:t>Abstracts must not exceed 300 words and should offer a concise overview of the article. While explaining the article's potential interest, it is crucial not to overly emphasize the significance of the work. Avoid incorporating citations in the abstract. If abbreviations are necessary, ensure they are spelled out.</w:t>
                      </w:r>
                      <w:r>
                        <w:rPr>
                          <w:rFonts w:ascii="Minion Pro" w:hAnsi="Minion Pro"/>
                          <w:spacing w:val="-3"/>
                          <w:sz w:val="20"/>
                        </w:rPr>
                        <w:t xml:space="preserve"> </w:t>
                      </w:r>
                      <w:r w:rsidRPr="00507E99">
                        <w:rPr>
                          <w:rFonts w:ascii="Minion Pro" w:hAnsi="Minion Pro"/>
                          <w:spacing w:val="-3"/>
                          <w:sz w:val="20"/>
                        </w:rPr>
                        <w:t>Abstracts are structured into Background, Methods, Results, and Conclusions</w:t>
                      </w:r>
                      <w:r>
                        <w:rPr>
                          <w:rFonts w:ascii="Minion Pro" w:hAnsi="Minion Pro"/>
                          <w:spacing w:val="-3"/>
                          <w:sz w:val="20"/>
                        </w:rPr>
                        <w:t xml:space="preserve"> if necessary</w:t>
                      </w:r>
                      <w:r w:rsidRPr="00507E99">
                        <w:rPr>
                          <w:rFonts w:ascii="Minion Pro" w:hAnsi="Minion Pro"/>
                          <w:spacing w:val="-3"/>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3D8AB73B" w14:textId="0DA42575" w:rsidR="00926A95" w:rsidRPr="00926A95" w:rsidRDefault="00AB64EE" w:rsidP="00926A95">
      <w:pPr>
        <w:widowControl w:val="0"/>
        <w:snapToGrid w:val="0"/>
        <w:spacing w:before="240"/>
        <w:ind w:firstLine="420"/>
        <w:rPr>
          <w:color w:val="000000" w:themeColor="text1"/>
          <w:szCs w:val="22"/>
        </w:rPr>
      </w:pPr>
      <w:r w:rsidRPr="00C81371">
        <w:rPr>
          <w:rFonts w:hint="eastAsia"/>
          <w:color w:val="000000" w:themeColor="text1"/>
          <w:szCs w:val="22"/>
        </w:rPr>
        <w:t xml:space="preserve">Authors are encouraged to use the Microsoft Word template when preparing the final version of their manuscripts. In introduction, authors </w:t>
      </w:r>
      <w:r w:rsidR="00507E99" w:rsidRPr="00507E99">
        <w:rPr>
          <w:color w:val="000000" w:themeColor="text1"/>
          <w:szCs w:val="22"/>
        </w:rPr>
        <w:t>should include the rationale for the review and the background of the wider topic area.</w:t>
      </w:r>
      <w:r w:rsidRPr="00C81371">
        <w:rPr>
          <w:rFonts w:hint="eastAsia"/>
          <w:color w:val="000000" w:themeColor="text1"/>
          <w:szCs w:val="22"/>
        </w:rPr>
        <w:t xml:space="preserve"> </w:t>
      </w:r>
      <w:r w:rsidR="00DA4CD6" w:rsidRPr="00DA4CD6">
        <w:rPr>
          <w:color w:val="000000" w:themeColor="text1"/>
          <w:szCs w:val="22"/>
        </w:rPr>
        <w:t xml:space="preserve">Briefly summarizes why this </w:t>
      </w:r>
      <w:r w:rsidR="00507E99">
        <w:rPr>
          <w:color w:val="000000" w:themeColor="text1"/>
          <w:szCs w:val="22"/>
        </w:rPr>
        <w:t>review</w:t>
      </w:r>
      <w:r w:rsidR="00DA4CD6" w:rsidRPr="00DA4CD6">
        <w:rPr>
          <w:color w:val="000000" w:themeColor="text1"/>
          <w:szCs w:val="22"/>
        </w:rPr>
        <w:t xml:space="preserve"> is unique and may include medical literature references.</w:t>
      </w:r>
      <w:r w:rsidRPr="00C81371">
        <w:rPr>
          <w:rFonts w:hint="eastAsia"/>
          <w:color w:val="000000" w:themeColor="text1"/>
          <w:szCs w:val="22"/>
        </w:rPr>
        <w:t xml:space="preserve"> </w:t>
      </w:r>
    </w:p>
    <w:p w14:paraId="768A46AA" w14:textId="4194E0AE" w:rsidR="00926A95" w:rsidRDefault="00AB64EE" w:rsidP="00926A95">
      <w:pPr>
        <w:widowControl w:val="0"/>
        <w:snapToGrid w:val="0"/>
        <w:spacing w:before="240"/>
        <w:rPr>
          <w:b/>
          <w:color w:val="000000" w:themeColor="text1"/>
          <w:szCs w:val="22"/>
        </w:rPr>
      </w:pPr>
      <w:r w:rsidRPr="00C81371">
        <w:rPr>
          <w:b/>
          <w:color w:val="000000" w:themeColor="text1"/>
          <w:szCs w:val="22"/>
        </w:rPr>
        <w:t xml:space="preserve">2 </w:t>
      </w:r>
      <w:r w:rsidR="00507E99">
        <w:rPr>
          <w:b/>
          <w:color w:val="000000" w:themeColor="text1"/>
          <w:szCs w:val="22"/>
        </w:rPr>
        <w:t xml:space="preserve">Main </w:t>
      </w:r>
      <w:r w:rsidR="00F906AB">
        <w:rPr>
          <w:b/>
          <w:color w:val="000000" w:themeColor="text1"/>
          <w:szCs w:val="22"/>
        </w:rPr>
        <w:t>B</w:t>
      </w:r>
      <w:r w:rsidR="00507E99">
        <w:rPr>
          <w:b/>
          <w:color w:val="000000" w:themeColor="text1"/>
          <w:szCs w:val="22"/>
        </w:rPr>
        <w:t>ody</w:t>
      </w:r>
    </w:p>
    <w:p w14:paraId="6A857FA7" w14:textId="739D59C8" w:rsidR="00507E99" w:rsidRDefault="00507E99" w:rsidP="00926A95">
      <w:pPr>
        <w:widowControl w:val="0"/>
        <w:snapToGrid w:val="0"/>
        <w:spacing w:before="240"/>
        <w:ind w:firstLine="420"/>
        <w:rPr>
          <w:szCs w:val="22"/>
        </w:rPr>
      </w:pPr>
      <w:r w:rsidRPr="00507E99">
        <w:rPr>
          <w:szCs w:val="22"/>
        </w:rPr>
        <w:t xml:space="preserve">The main body of the article should adopt a flexible format, emphasizing conciseness for ease of reading and review. It must be tailored to the specific type of study being presented. It is essential </w:t>
      </w:r>
      <w:r w:rsidRPr="00507E99">
        <w:rPr>
          <w:szCs w:val="22"/>
        </w:rPr>
        <w:lastRenderedPageBreak/>
        <w:t>that all statements within the main body are substantiated by relevant and current references.</w:t>
      </w:r>
      <w:r w:rsidR="004D43B0" w:rsidRPr="004D43B0">
        <w:rPr>
          <w:szCs w:val="22"/>
        </w:rPr>
        <w:t xml:space="preserve"> </w:t>
      </w:r>
    </w:p>
    <w:p w14:paraId="0D28DC33" w14:textId="5CA61217" w:rsidR="00507E99" w:rsidRDefault="00507E99" w:rsidP="006B63EA">
      <w:pPr>
        <w:snapToGrid w:val="0"/>
        <w:spacing w:beforeLines="50" w:before="156"/>
        <w:ind w:firstLine="420"/>
        <w:rPr>
          <w:color w:val="212121"/>
          <w:szCs w:val="22"/>
        </w:rPr>
      </w:pPr>
      <w:r w:rsidRPr="00507E99">
        <w:rPr>
          <w:color w:val="212121"/>
          <w:szCs w:val="22"/>
        </w:rPr>
        <w:t xml:space="preserve">Please do not include unpublished research and datasets in your review; we welcome such results as Research articles, Research Notes or other article types, which are more appropriate for original research. For most Reviews, </w:t>
      </w:r>
      <w:r>
        <w:rPr>
          <w:color w:val="212121"/>
          <w:szCs w:val="22"/>
        </w:rPr>
        <w:t>d</w:t>
      </w:r>
      <w:r w:rsidRPr="00507E99">
        <w:rPr>
          <w:color w:val="212121"/>
          <w:szCs w:val="22"/>
        </w:rPr>
        <w:t xml:space="preserve">iscussion/analysis of the recent literature </w:t>
      </w:r>
      <w:r>
        <w:rPr>
          <w:color w:val="212121"/>
          <w:szCs w:val="22"/>
        </w:rPr>
        <w:t>c</w:t>
      </w:r>
      <w:r w:rsidRPr="00507E99">
        <w:rPr>
          <w:color w:val="212121"/>
          <w:szCs w:val="22"/>
        </w:rPr>
        <w:t>onclusions</w:t>
      </w:r>
      <w:r>
        <w:rPr>
          <w:rFonts w:hint="eastAsia"/>
          <w:color w:val="212121"/>
          <w:szCs w:val="22"/>
        </w:rPr>
        <w:t xml:space="preserve"> </w:t>
      </w:r>
      <w:r w:rsidRPr="00507E99">
        <w:rPr>
          <w:color w:val="212121"/>
          <w:szCs w:val="22"/>
        </w:rPr>
        <w:t>will be the most appropriate</w:t>
      </w:r>
      <w:r w:rsidR="009076DE">
        <w:rPr>
          <w:rFonts w:hint="eastAsia"/>
          <w:color w:val="212121"/>
          <w:szCs w:val="22"/>
        </w:rPr>
        <w:t>.</w:t>
      </w:r>
    </w:p>
    <w:p w14:paraId="58E67A70" w14:textId="7189F44D" w:rsidR="00926A95" w:rsidRPr="00C81371" w:rsidRDefault="00926A95" w:rsidP="00926A95">
      <w:pPr>
        <w:widowControl w:val="0"/>
        <w:snapToGrid w:val="0"/>
        <w:spacing w:before="240"/>
        <w:rPr>
          <w:b/>
          <w:color w:val="000000" w:themeColor="text1"/>
          <w:szCs w:val="22"/>
        </w:rPr>
      </w:pPr>
      <w:r>
        <w:rPr>
          <w:b/>
          <w:color w:val="000000" w:themeColor="text1"/>
          <w:szCs w:val="22"/>
        </w:rPr>
        <w:t>3</w:t>
      </w:r>
      <w:r w:rsidRPr="00C81371">
        <w:rPr>
          <w:b/>
          <w:color w:val="000000" w:themeColor="text1"/>
          <w:szCs w:val="22"/>
        </w:rPr>
        <w:t xml:space="preserve"> Figures and Tables</w:t>
      </w:r>
    </w:p>
    <w:p w14:paraId="1CF40504" w14:textId="77777777" w:rsidR="00926A95" w:rsidRPr="00C81371" w:rsidRDefault="00926A95" w:rsidP="00926A95">
      <w:pPr>
        <w:ind w:firstLineChars="200" w:firstLine="440"/>
        <w:rPr>
          <w:color w:val="000000" w:themeColor="text1"/>
        </w:rPr>
      </w:pPr>
      <w:r w:rsidRPr="00C81371">
        <w:rPr>
          <w:color w:val="000000" w:themeColor="text1"/>
        </w:rPr>
        <w:t>Figures and tables should be inserted in the text of the manuscript.</w:t>
      </w:r>
    </w:p>
    <w:p w14:paraId="58712B44" w14:textId="58B0D7E1" w:rsidR="00926A95" w:rsidRPr="00C81371" w:rsidRDefault="006B63EA" w:rsidP="00926A95">
      <w:pPr>
        <w:spacing w:before="240"/>
        <w:rPr>
          <w:b/>
          <w:i/>
          <w:color w:val="000000" w:themeColor="text1"/>
        </w:rPr>
      </w:pPr>
      <w:r>
        <w:rPr>
          <w:b/>
          <w:i/>
          <w:color w:val="000000" w:themeColor="text1"/>
        </w:rPr>
        <w:t>3</w:t>
      </w:r>
      <w:r w:rsidR="00926A95" w:rsidRPr="00C81371">
        <w:rPr>
          <w:b/>
          <w:i/>
          <w:color w:val="000000" w:themeColor="text1"/>
        </w:rPr>
        <w:t>.1 Figures</w:t>
      </w:r>
    </w:p>
    <w:p w14:paraId="20B4F445" w14:textId="77777777" w:rsidR="00926A95" w:rsidRDefault="00926A95" w:rsidP="00926A95">
      <w:pPr>
        <w:widowControl w:val="0"/>
        <w:snapToGrid w:val="0"/>
        <w:ind w:firstLine="426"/>
        <w:rPr>
          <w:color w:val="000000" w:themeColor="text1"/>
          <w:szCs w:val="22"/>
        </w:rPr>
      </w:pPr>
      <w:r w:rsidRPr="00C81371">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w:t>
      </w:r>
      <w:r w:rsidRPr="003C4DF0">
        <w:rPr>
          <w:color w:val="000000" w:themeColor="text1"/>
          <w:szCs w:val="22"/>
        </w:rPr>
        <w:t xml:space="preserve"> </w:t>
      </w:r>
      <w:r w:rsidRPr="00C81371">
        <w:rPr>
          <w:color w:val="000000" w:themeColor="text1"/>
          <w:szCs w:val="22"/>
        </w:rPr>
        <w:t>dpi</w:t>
      </w:r>
      <w:r>
        <w:rPr>
          <w:color w:val="000000" w:themeColor="text1"/>
          <w:szCs w:val="22"/>
        </w:rPr>
        <w:t xml:space="preserve">. </w:t>
      </w:r>
    </w:p>
    <w:p w14:paraId="308CF829" w14:textId="7271CF9D" w:rsidR="00926A95" w:rsidRDefault="00926A95" w:rsidP="00926A95">
      <w:pPr>
        <w:widowControl w:val="0"/>
        <w:snapToGrid w:val="0"/>
        <w:ind w:firstLine="426"/>
        <w:rPr>
          <w:color w:val="000000" w:themeColor="text1"/>
          <w:szCs w:val="22"/>
        </w:rPr>
      </w:pPr>
      <w:r>
        <w:rPr>
          <w:color w:val="000000" w:themeColor="text1"/>
          <w:szCs w:val="22"/>
        </w:rPr>
        <w:t>For example: Fig. 1</w:t>
      </w:r>
      <w:r>
        <w:rPr>
          <w:rFonts w:hint="eastAsia"/>
          <w:color w:val="000000" w:themeColor="text1"/>
          <w:szCs w:val="22"/>
        </w:rPr>
        <w:t>,</w:t>
      </w:r>
      <w:r w:rsidRPr="00C81371">
        <w:rPr>
          <w:color w:val="000000" w:themeColor="text1"/>
          <w:szCs w:val="22"/>
        </w:rPr>
        <w:t xml:space="preserve"> </w:t>
      </w:r>
    </w:p>
    <w:p w14:paraId="0895AE1E" w14:textId="590BB0DD" w:rsidR="00926A95" w:rsidRPr="00C81371" w:rsidRDefault="00926A95" w:rsidP="00926A95">
      <w:pPr>
        <w:widowControl w:val="0"/>
        <w:snapToGrid w:val="0"/>
        <w:spacing w:beforeLines="50" w:before="156"/>
        <w:ind w:firstLine="426"/>
        <w:jc w:val="center"/>
        <w:rPr>
          <w:color w:val="000000" w:themeColor="text1"/>
          <w:szCs w:val="22"/>
        </w:rPr>
      </w:pPr>
      <w:r>
        <w:rPr>
          <w:noProof/>
          <w:color w:val="000000" w:themeColor="text1"/>
          <w:szCs w:val="22"/>
        </w:rPr>
        <w:drawing>
          <wp:inline distT="0" distB="0" distL="0" distR="0" wp14:anchorId="2812C315" wp14:editId="17474693">
            <wp:extent cx="3443876" cy="3534770"/>
            <wp:effectExtent l="0" t="0" r="4445" b="8890"/>
            <wp:docPr id="6" name="图片 6"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 示意图&#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3456029" cy="3547243"/>
                    </a:xfrm>
                    <a:prstGeom prst="rect">
                      <a:avLst/>
                    </a:prstGeom>
                  </pic:spPr>
                </pic:pic>
              </a:graphicData>
            </a:graphic>
          </wp:inline>
        </w:drawing>
      </w:r>
    </w:p>
    <w:p w14:paraId="71456347" w14:textId="77777777" w:rsidR="00926A95" w:rsidRPr="001F0AB8" w:rsidRDefault="00926A95" w:rsidP="00926A95">
      <w:pPr>
        <w:pStyle w:val="a8"/>
        <w:keepNext w:val="0"/>
        <w:widowControl w:val="0"/>
        <w:snapToGrid w:val="0"/>
        <w:spacing w:beforeLines="50" w:before="156"/>
        <w:rPr>
          <w:szCs w:val="22"/>
        </w:rPr>
      </w:pPr>
    </w:p>
    <w:p w14:paraId="0DFE8558" w14:textId="77777777" w:rsidR="00926A95" w:rsidRDefault="00926A95" w:rsidP="00926A95">
      <w:pPr>
        <w:snapToGrid w:val="0"/>
        <w:spacing w:after="0"/>
        <w:rPr>
          <w:szCs w:val="22"/>
          <w:shd w:val="clear" w:color="auto" w:fill="FFFFFF"/>
        </w:rPr>
      </w:pPr>
      <w:r w:rsidRPr="00926A95">
        <w:rPr>
          <w:b/>
          <w:bCs/>
          <w:szCs w:val="22"/>
          <w:shd w:val="clear" w:color="auto" w:fill="FFFFFF"/>
        </w:rPr>
        <w:t>Figure 1:</w:t>
      </w:r>
      <w:r w:rsidRPr="00926A95">
        <w:rPr>
          <w:szCs w:val="22"/>
          <w:shd w:val="clear" w:color="auto" w:fill="FFFFFF"/>
        </w:rPr>
        <w:t> The binding of peptide αI to ERα. (A) Design TAT-αI-CTM and TAT-αI peptides. (B) Production of GST and GST-TAT-αI using an E. coli expression system. Coomassie blue staining after SDS-PAGE assessed their purity. (C) Pull-down of TAT-αI and ERα. HEK 293T cells were transiently transfected with plasmids pEGFP-N2-ERα. 48 h after transfection, cell lysates were subjected to GST pull down, and the pull-down fractions were immunoblotted analyzed. (D) Pull-down of TAT-αI and ERα in ERα-positive breast cancer cell lines, MCF-7 and T47D.</w:t>
      </w:r>
    </w:p>
    <w:p w14:paraId="3A16E7FC" w14:textId="77777777" w:rsidR="006B63EA" w:rsidRPr="00926A95" w:rsidRDefault="006B63EA" w:rsidP="00926A95">
      <w:pPr>
        <w:snapToGrid w:val="0"/>
        <w:spacing w:after="0"/>
        <w:rPr>
          <w:szCs w:val="22"/>
        </w:rPr>
      </w:pPr>
    </w:p>
    <w:p w14:paraId="784E3FD5" w14:textId="03A267D7" w:rsidR="00926A95" w:rsidRPr="00C81371" w:rsidRDefault="006B63EA" w:rsidP="00926A95">
      <w:pPr>
        <w:widowControl w:val="0"/>
        <w:snapToGrid w:val="0"/>
        <w:spacing w:before="240"/>
        <w:rPr>
          <w:b/>
          <w:i/>
          <w:color w:val="000000" w:themeColor="text1"/>
          <w:szCs w:val="22"/>
        </w:rPr>
      </w:pPr>
      <w:r>
        <w:rPr>
          <w:b/>
          <w:i/>
          <w:color w:val="000000" w:themeColor="text1"/>
          <w:szCs w:val="22"/>
        </w:rPr>
        <w:lastRenderedPageBreak/>
        <w:t>3</w:t>
      </w:r>
      <w:r w:rsidR="00926A95" w:rsidRPr="00C81371">
        <w:rPr>
          <w:b/>
          <w:i/>
          <w:color w:val="000000" w:themeColor="text1"/>
          <w:szCs w:val="22"/>
        </w:rPr>
        <w:t>.2 Tables</w:t>
      </w:r>
    </w:p>
    <w:p w14:paraId="5CD0C3E9" w14:textId="1BCE8158" w:rsidR="00926A95" w:rsidRDefault="00926A95" w:rsidP="006B63EA">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4FF8B076" w14:textId="77777777" w:rsidR="00926A95" w:rsidRPr="00C81371" w:rsidRDefault="00926A95" w:rsidP="00926A95">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926A95" w:rsidRPr="00C81371" w14:paraId="7E45B23F" w14:textId="77777777" w:rsidTr="009826DC">
        <w:trPr>
          <w:trHeight w:val="231"/>
          <w:jc w:val="center"/>
        </w:trPr>
        <w:tc>
          <w:tcPr>
            <w:tcW w:w="1801" w:type="dxa"/>
            <w:tcBorders>
              <w:top w:val="single" w:sz="4" w:space="0" w:color="auto"/>
              <w:bottom w:val="single" w:sz="4" w:space="0" w:color="auto"/>
            </w:tcBorders>
            <w:vAlign w:val="center"/>
          </w:tcPr>
          <w:p w14:paraId="12969183" w14:textId="77777777" w:rsidR="00926A95" w:rsidRPr="00C81371" w:rsidRDefault="00926A95" w:rsidP="009826DC">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3558FE9F" w14:textId="77777777" w:rsidR="00926A95" w:rsidRPr="00C81371" w:rsidRDefault="00926A95" w:rsidP="009826DC">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322CDDCC" w14:textId="77777777" w:rsidR="00926A95" w:rsidRPr="00C81371" w:rsidRDefault="00926A95" w:rsidP="009826DC">
            <w:pPr>
              <w:widowControl w:val="0"/>
              <w:snapToGrid w:val="0"/>
              <w:jc w:val="left"/>
              <w:rPr>
                <w:color w:val="000000" w:themeColor="text1"/>
                <w:szCs w:val="22"/>
              </w:rPr>
            </w:pPr>
            <w:r w:rsidRPr="00C81371">
              <w:rPr>
                <w:color w:val="000000" w:themeColor="text1"/>
                <w:szCs w:val="22"/>
              </w:rPr>
              <w:t>3</w:t>
            </w:r>
          </w:p>
        </w:tc>
      </w:tr>
      <w:tr w:rsidR="00926A95" w:rsidRPr="00C81371" w14:paraId="10D95896" w14:textId="77777777" w:rsidTr="009826DC">
        <w:trPr>
          <w:trHeight w:val="137"/>
          <w:jc w:val="center"/>
        </w:trPr>
        <w:tc>
          <w:tcPr>
            <w:tcW w:w="1801" w:type="dxa"/>
            <w:tcBorders>
              <w:top w:val="single" w:sz="4" w:space="0" w:color="auto"/>
            </w:tcBorders>
            <w:vAlign w:val="center"/>
          </w:tcPr>
          <w:p w14:paraId="52D4249B" w14:textId="77777777" w:rsidR="00926A95" w:rsidRPr="00C81371" w:rsidRDefault="00926A95" w:rsidP="009826DC">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F8D22C1" w14:textId="77777777" w:rsidR="00926A95" w:rsidRPr="00C81371" w:rsidRDefault="00926A95" w:rsidP="009826DC">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547B14C9" w14:textId="77777777" w:rsidR="00926A95" w:rsidRPr="00C81371" w:rsidRDefault="00926A95" w:rsidP="009826DC">
            <w:pPr>
              <w:widowControl w:val="0"/>
              <w:snapToGrid w:val="0"/>
              <w:jc w:val="left"/>
              <w:rPr>
                <w:color w:val="000000" w:themeColor="text1"/>
                <w:szCs w:val="22"/>
              </w:rPr>
            </w:pPr>
            <w:r w:rsidRPr="00C81371">
              <w:rPr>
                <w:color w:val="000000" w:themeColor="text1"/>
                <w:szCs w:val="22"/>
              </w:rPr>
              <w:t>13</w:t>
            </w:r>
          </w:p>
        </w:tc>
      </w:tr>
      <w:tr w:rsidR="00926A95" w:rsidRPr="00C81371" w14:paraId="0725A8B6" w14:textId="77777777" w:rsidTr="009826DC">
        <w:trPr>
          <w:trHeight w:val="57"/>
          <w:jc w:val="center"/>
        </w:trPr>
        <w:tc>
          <w:tcPr>
            <w:tcW w:w="1801" w:type="dxa"/>
            <w:vAlign w:val="center"/>
          </w:tcPr>
          <w:p w14:paraId="7D2825BD" w14:textId="77777777" w:rsidR="00926A95" w:rsidRPr="00C81371" w:rsidRDefault="00926A95" w:rsidP="009826DC">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083CCD28" w14:textId="77777777" w:rsidR="00926A95" w:rsidRPr="00C81371" w:rsidRDefault="00926A95" w:rsidP="009826DC">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1F9736FF" w14:textId="77777777" w:rsidR="00926A95" w:rsidRPr="00C81371" w:rsidRDefault="00926A95" w:rsidP="009826DC">
            <w:pPr>
              <w:widowControl w:val="0"/>
              <w:snapToGrid w:val="0"/>
              <w:jc w:val="left"/>
              <w:rPr>
                <w:color w:val="000000" w:themeColor="text1"/>
                <w:szCs w:val="22"/>
              </w:rPr>
            </w:pPr>
            <w:r w:rsidRPr="00C81371">
              <w:rPr>
                <w:color w:val="000000" w:themeColor="text1"/>
                <w:szCs w:val="22"/>
              </w:rPr>
              <w:t>23</w:t>
            </w:r>
          </w:p>
        </w:tc>
      </w:tr>
    </w:tbl>
    <w:p w14:paraId="628AF8D3" w14:textId="62F25262" w:rsidR="004D43B0" w:rsidRDefault="004D43B0" w:rsidP="004D43B0">
      <w:pPr>
        <w:widowControl w:val="0"/>
        <w:snapToGrid w:val="0"/>
        <w:spacing w:before="240"/>
        <w:rPr>
          <w:b/>
          <w:color w:val="000000" w:themeColor="text1"/>
          <w:szCs w:val="22"/>
        </w:rPr>
      </w:pPr>
      <w:r w:rsidRPr="00152F88">
        <w:rPr>
          <w:rFonts w:hint="eastAsia"/>
          <w:b/>
          <w:color w:val="000000" w:themeColor="text1"/>
          <w:szCs w:val="22"/>
        </w:rPr>
        <w:t>4</w:t>
      </w:r>
      <w:r w:rsidRPr="00152F88">
        <w:rPr>
          <w:b/>
          <w:color w:val="000000" w:themeColor="text1"/>
          <w:szCs w:val="22"/>
        </w:rPr>
        <w:t xml:space="preserve"> </w:t>
      </w:r>
      <w:r w:rsidRPr="00152F88">
        <w:rPr>
          <w:rFonts w:hint="eastAsia"/>
          <w:b/>
          <w:color w:val="000000" w:themeColor="text1"/>
          <w:szCs w:val="22"/>
        </w:rPr>
        <w:t>Conclusions</w:t>
      </w:r>
      <w:r w:rsidR="00507E99">
        <w:rPr>
          <w:b/>
          <w:color w:val="000000" w:themeColor="text1"/>
          <w:szCs w:val="22"/>
        </w:rPr>
        <w:t xml:space="preserve"> (optional)</w:t>
      </w:r>
    </w:p>
    <w:p w14:paraId="366DA3C6" w14:textId="14208602" w:rsidR="004D43B0" w:rsidRPr="003C4DF0" w:rsidRDefault="003C4DF0" w:rsidP="009076DE">
      <w:pPr>
        <w:widowControl w:val="0"/>
        <w:snapToGrid w:val="0"/>
        <w:spacing w:before="240"/>
        <w:ind w:firstLine="420"/>
        <w:rPr>
          <w:b/>
          <w:color w:val="000000" w:themeColor="text1"/>
          <w:szCs w:val="22"/>
        </w:rPr>
      </w:pPr>
      <w:r w:rsidRPr="003C4DF0">
        <w:rPr>
          <w:bCs/>
          <w:color w:val="000000" w:themeColor="text1"/>
          <w:szCs w:val="22"/>
        </w:rPr>
        <w:t xml:space="preserve">This section provides a brief overview of the key points discussed in the </w:t>
      </w:r>
      <w:r w:rsidR="00507E99">
        <w:rPr>
          <w:bCs/>
          <w:color w:val="000000" w:themeColor="text1"/>
          <w:szCs w:val="22"/>
        </w:rPr>
        <w:t>review</w:t>
      </w:r>
      <w:r w:rsidRPr="003C4DF0">
        <w:rPr>
          <w:bCs/>
          <w:color w:val="000000" w:themeColor="text1"/>
          <w:szCs w:val="22"/>
        </w:rPr>
        <w:t xml:space="preserve">. </w:t>
      </w:r>
      <w:r>
        <w:rPr>
          <w:bCs/>
          <w:color w:val="000000" w:themeColor="text1"/>
          <w:szCs w:val="22"/>
        </w:rPr>
        <w:t>T</w:t>
      </w:r>
      <w:r w:rsidRPr="003C4DF0">
        <w:rPr>
          <w:bCs/>
          <w:color w:val="000000" w:themeColor="text1"/>
          <w:szCs w:val="22"/>
        </w:rPr>
        <w:t>he author may offer suggestions and recommendations for clinicians, teachers, or researchers. In journals where a separate conclusion section is not required, it can be incorporated as the concluding paragraph within the Discussion section.</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1FB94A50"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w:t>
      </w:r>
      <w:r w:rsidRPr="000308BA">
        <w:rPr>
          <w:rFonts w:hint="eastAsia"/>
          <w:color w:val="000000" w:themeColor="text1"/>
          <w:szCs w:val="22"/>
        </w:rPr>
        <w:lastRenderedPageBreak/>
        <w:t xml:space="preserve">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00D41E23"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 xml:space="preserve">References: </w:t>
      </w:r>
      <w:hyperlink r:id="rId10" w:history="1">
        <w:r w:rsidRPr="00966BC5">
          <w:rPr>
            <w:rStyle w:val="a7"/>
            <w:rFonts w:ascii="Times New Roman" w:hAnsi="Times New Roman" w:cs="Times New Roman"/>
            <w:b/>
            <w:bCs/>
            <w:sz w:val="22"/>
            <w:szCs w:val="22"/>
            <w:shd w:val="clear" w:color="auto" w:fill="FFFFFF"/>
          </w:rPr>
          <w:t>Vancouver Referencing Style</w:t>
        </w:r>
      </w:hyperlink>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Computing of high resolution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5477283C" w14:textId="3B0CB35D" w:rsidR="00DB0A7F" w:rsidRPr="00537794" w:rsidRDefault="000271A4" w:rsidP="0053779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number(issue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In the event that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Hallal AH, Amortegui JD, Jeroukhimov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Kanneganti P, Harris JD, Brophy RH, Carey JL, Lattermann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8. Available from: http://ajs.sagepub.com/content/40/12/2872 doi: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lastRenderedPageBreak/>
        <w:t>Atluri SN. The meshless method (MLPG) for domain &amp; BIE discretizations.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Grechkin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0799B3F1" w14:textId="4AB3183A" w:rsidR="004D43B0" w:rsidRPr="00130950" w:rsidRDefault="00357C86" w:rsidP="00130950">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4D43B0" w:rsidRPr="00130950" w:rsidSect="009753A2">
      <w:headerReference w:type="even" r:id="rId11"/>
      <w:headerReference w:type="default" r:id="rId12"/>
      <w:headerReference w:type="first" r:id="rId13"/>
      <w:footerReference w:type="first" r:id="rId14"/>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9A71" w14:textId="77777777" w:rsidR="009753A2" w:rsidRDefault="009753A2" w:rsidP="004B2475">
      <w:pPr>
        <w:spacing w:after="0"/>
      </w:pPr>
      <w:r>
        <w:separator/>
      </w:r>
    </w:p>
  </w:endnote>
  <w:endnote w:type="continuationSeparator" w:id="0">
    <w:p w14:paraId="006A41E3" w14:textId="77777777" w:rsidR="009753A2" w:rsidRDefault="009753A2"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0C6A" w14:textId="77777777" w:rsidR="009753A2" w:rsidRDefault="009753A2" w:rsidP="004B2475">
      <w:pPr>
        <w:spacing w:after="0"/>
      </w:pPr>
      <w:r>
        <w:separator/>
      </w:r>
    </w:p>
  </w:footnote>
  <w:footnote w:type="continuationSeparator" w:id="0">
    <w:p w14:paraId="18FD6078" w14:textId="77777777" w:rsidR="009753A2" w:rsidRDefault="009753A2"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0408C509"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72341F">
      <w:t xml:space="preserve"> </w:t>
    </w:r>
    <w:r>
      <w:t xml:space="preserve"> </w:t>
    </w:r>
    <w:r w:rsidR="0046137D">
      <w:t xml:space="preserve"> </w:t>
    </w:r>
    <w:r w:rsidR="0046137D">
      <w:rPr>
        <w:sz w:val="20"/>
      </w:rPr>
      <w:t>CHD</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797594EC" w:rsidR="00D02261" w:rsidRPr="00D02261" w:rsidRDefault="0046137D" w:rsidP="00D02261">
    <w:r>
      <w:rPr>
        <w:sz w:val="20"/>
      </w:rPr>
      <w:t>CHD</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sidR="0072341F">
      <w:rPr>
        <w:sz w:val="20"/>
      </w:rPr>
      <w:t xml:space="preserve">  </w:t>
    </w:r>
    <w:r>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3C088C3E"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46137D">
      <w:rPr>
        <w:noProof/>
      </w:rPr>
      <w:drawing>
        <wp:inline distT="0" distB="0" distL="0" distR="0" wp14:anchorId="2EF8F905" wp14:editId="7097E2D1">
          <wp:extent cx="1854712" cy="463893"/>
          <wp:effectExtent l="0" t="0" r="0" b="0"/>
          <wp:docPr id="14672705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70539" name="图片 1467270539"/>
                  <pic:cNvPicPr/>
                </pic:nvPicPr>
                <pic:blipFill>
                  <a:blip r:embed="rId2">
                    <a:extLst>
                      <a:ext uri="{28A0092B-C50C-407E-A947-70E740481C1C}">
                        <a14:useLocalDpi xmlns:a14="http://schemas.microsoft.com/office/drawing/2010/main" val="0"/>
                      </a:ext>
                    </a:extLst>
                  </a:blip>
                  <a:stretch>
                    <a:fillRect/>
                  </a:stretch>
                </pic:blipFill>
                <pic:spPr>
                  <a:xfrm>
                    <a:off x="0" y="0"/>
                    <a:ext cx="1905130" cy="4765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2E8A19D8"/>
    <w:multiLevelType w:val="multilevel"/>
    <w:tmpl w:val="3848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D56B1E"/>
    <w:multiLevelType w:val="hybridMultilevel"/>
    <w:tmpl w:val="DEE0E474"/>
    <w:lvl w:ilvl="0" w:tplc="47E485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755591899">
    <w:abstractNumId w:val="9"/>
  </w:num>
  <w:num w:numId="2" w16cid:durableId="602886446">
    <w:abstractNumId w:val="12"/>
  </w:num>
  <w:num w:numId="3" w16cid:durableId="1418671885">
    <w:abstractNumId w:val="4"/>
  </w:num>
  <w:num w:numId="4" w16cid:durableId="761799554">
    <w:abstractNumId w:val="14"/>
  </w:num>
  <w:num w:numId="5" w16cid:durableId="964896327">
    <w:abstractNumId w:val="2"/>
  </w:num>
  <w:num w:numId="6" w16cid:durableId="560944943">
    <w:abstractNumId w:val="6"/>
  </w:num>
  <w:num w:numId="7" w16cid:durableId="1470585360">
    <w:abstractNumId w:val="10"/>
  </w:num>
  <w:num w:numId="8" w16cid:durableId="924264710">
    <w:abstractNumId w:val="11"/>
  </w:num>
  <w:num w:numId="9" w16cid:durableId="431753771">
    <w:abstractNumId w:val="5"/>
  </w:num>
  <w:num w:numId="10" w16cid:durableId="612976064">
    <w:abstractNumId w:val="1"/>
  </w:num>
  <w:num w:numId="11" w16cid:durableId="243606762">
    <w:abstractNumId w:val="15"/>
  </w:num>
  <w:num w:numId="12" w16cid:durableId="957686845">
    <w:abstractNumId w:val="3"/>
  </w:num>
  <w:num w:numId="13" w16cid:durableId="1052122062">
    <w:abstractNumId w:val="0"/>
  </w:num>
  <w:num w:numId="14" w16cid:durableId="1486507848">
    <w:abstractNumId w:val="8"/>
  </w:num>
  <w:num w:numId="15" w16cid:durableId="2047828265">
    <w:abstractNumId w:val="7"/>
  </w:num>
  <w:num w:numId="16" w16cid:durableId="4543258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71A4"/>
    <w:rsid w:val="00080C95"/>
    <w:rsid w:val="000A6F84"/>
    <w:rsid w:val="000F5A13"/>
    <w:rsid w:val="00130950"/>
    <w:rsid w:val="00136FF0"/>
    <w:rsid w:val="001431D2"/>
    <w:rsid w:val="00143C17"/>
    <w:rsid w:val="00152F88"/>
    <w:rsid w:val="00170474"/>
    <w:rsid w:val="001B199D"/>
    <w:rsid w:val="001B5429"/>
    <w:rsid w:val="001F0AB8"/>
    <w:rsid w:val="00207C6C"/>
    <w:rsid w:val="00274949"/>
    <w:rsid w:val="002B7158"/>
    <w:rsid w:val="002C683C"/>
    <w:rsid w:val="002D51C5"/>
    <w:rsid w:val="00353BA2"/>
    <w:rsid w:val="00357C86"/>
    <w:rsid w:val="00361E43"/>
    <w:rsid w:val="003A29E6"/>
    <w:rsid w:val="003C2578"/>
    <w:rsid w:val="003C4DF0"/>
    <w:rsid w:val="003D3B8F"/>
    <w:rsid w:val="003F4372"/>
    <w:rsid w:val="0046137D"/>
    <w:rsid w:val="0049625B"/>
    <w:rsid w:val="004B2475"/>
    <w:rsid w:val="004B302E"/>
    <w:rsid w:val="004D43B0"/>
    <w:rsid w:val="00507E99"/>
    <w:rsid w:val="00513C8D"/>
    <w:rsid w:val="0053106B"/>
    <w:rsid w:val="00537794"/>
    <w:rsid w:val="00577AE6"/>
    <w:rsid w:val="00633BE3"/>
    <w:rsid w:val="006579B0"/>
    <w:rsid w:val="00690961"/>
    <w:rsid w:val="006B63EA"/>
    <w:rsid w:val="006D3093"/>
    <w:rsid w:val="006D68CD"/>
    <w:rsid w:val="007205F4"/>
    <w:rsid w:val="0072341F"/>
    <w:rsid w:val="00796F3F"/>
    <w:rsid w:val="00866D12"/>
    <w:rsid w:val="00871FA1"/>
    <w:rsid w:val="00884C27"/>
    <w:rsid w:val="008913D3"/>
    <w:rsid w:val="008A143D"/>
    <w:rsid w:val="008A374A"/>
    <w:rsid w:val="008A6225"/>
    <w:rsid w:val="009076DE"/>
    <w:rsid w:val="00926A95"/>
    <w:rsid w:val="00944434"/>
    <w:rsid w:val="00947BAD"/>
    <w:rsid w:val="00966BC5"/>
    <w:rsid w:val="009753A2"/>
    <w:rsid w:val="00982037"/>
    <w:rsid w:val="009E61DA"/>
    <w:rsid w:val="00A23D52"/>
    <w:rsid w:val="00A603DC"/>
    <w:rsid w:val="00A85140"/>
    <w:rsid w:val="00A87ABC"/>
    <w:rsid w:val="00AB64EE"/>
    <w:rsid w:val="00AD7185"/>
    <w:rsid w:val="00B306D6"/>
    <w:rsid w:val="00BE23F3"/>
    <w:rsid w:val="00C11B9B"/>
    <w:rsid w:val="00C13AF6"/>
    <w:rsid w:val="00C159E8"/>
    <w:rsid w:val="00C42296"/>
    <w:rsid w:val="00C81371"/>
    <w:rsid w:val="00C81417"/>
    <w:rsid w:val="00D02261"/>
    <w:rsid w:val="00D27E71"/>
    <w:rsid w:val="00DA4CD6"/>
    <w:rsid w:val="00DB0A7F"/>
    <w:rsid w:val="00DF2F8C"/>
    <w:rsid w:val="00E0031D"/>
    <w:rsid w:val="00E023E1"/>
    <w:rsid w:val="00E21B36"/>
    <w:rsid w:val="00E957A3"/>
    <w:rsid w:val="00EC5E0E"/>
    <w:rsid w:val="00F246B2"/>
    <w:rsid w:val="00F746EE"/>
    <w:rsid w:val="00F853FA"/>
    <w:rsid w:val="00F906AB"/>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 w:type="character" w:styleId="ae">
    <w:name w:val="Unresolved Mention"/>
    <w:basedOn w:val="a0"/>
    <w:uiPriority w:val="99"/>
    <w:semiHidden/>
    <w:unhideWhenUsed/>
    <w:rsid w:val="00966BC5"/>
    <w:rPr>
      <w:color w:val="605E5C"/>
      <w:shd w:val="clear" w:color="auto" w:fill="E1DFDD"/>
    </w:rPr>
  </w:style>
  <w:style w:type="character" w:styleId="af">
    <w:name w:val="Strong"/>
    <w:basedOn w:val="a0"/>
    <w:uiPriority w:val="22"/>
    <w:qFormat/>
    <w:rsid w:val="0015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497">
      <w:bodyDiv w:val="1"/>
      <w:marLeft w:val="0"/>
      <w:marRight w:val="0"/>
      <w:marTop w:val="0"/>
      <w:marBottom w:val="0"/>
      <w:divBdr>
        <w:top w:val="none" w:sz="0" w:space="0" w:color="auto"/>
        <w:left w:val="none" w:sz="0" w:space="0" w:color="auto"/>
        <w:bottom w:val="none" w:sz="0" w:space="0" w:color="auto"/>
        <w:right w:val="none" w:sz="0" w:space="0" w:color="auto"/>
      </w:divBdr>
    </w:div>
    <w:div w:id="281032688">
      <w:bodyDiv w:val="1"/>
      <w:marLeft w:val="0"/>
      <w:marRight w:val="0"/>
      <w:marTop w:val="0"/>
      <w:marBottom w:val="0"/>
      <w:divBdr>
        <w:top w:val="none" w:sz="0" w:space="0" w:color="auto"/>
        <w:left w:val="none" w:sz="0" w:space="0" w:color="auto"/>
        <w:bottom w:val="none" w:sz="0" w:space="0" w:color="auto"/>
        <w:right w:val="none" w:sz="0" w:space="0" w:color="auto"/>
      </w:divBdr>
      <w:divsChild>
        <w:div w:id="2120488444">
          <w:marLeft w:val="0"/>
          <w:marRight w:val="0"/>
          <w:marTop w:val="0"/>
          <w:marBottom w:val="0"/>
          <w:divBdr>
            <w:top w:val="none" w:sz="0" w:space="0" w:color="auto"/>
            <w:left w:val="none" w:sz="0" w:space="0" w:color="auto"/>
            <w:bottom w:val="none" w:sz="0" w:space="0" w:color="auto"/>
            <w:right w:val="none" w:sz="0" w:space="0" w:color="auto"/>
          </w:divBdr>
        </w:div>
        <w:div w:id="2096779520">
          <w:marLeft w:val="0"/>
          <w:marRight w:val="0"/>
          <w:marTop w:val="0"/>
          <w:marBottom w:val="0"/>
          <w:divBdr>
            <w:top w:val="none" w:sz="0" w:space="0" w:color="auto"/>
            <w:left w:val="none" w:sz="0" w:space="0" w:color="auto"/>
            <w:bottom w:val="none" w:sz="0" w:space="0" w:color="auto"/>
            <w:right w:val="none" w:sz="0" w:space="0" w:color="auto"/>
          </w:divBdr>
        </w:div>
        <w:div w:id="106388668">
          <w:marLeft w:val="0"/>
          <w:marRight w:val="0"/>
          <w:marTop w:val="0"/>
          <w:marBottom w:val="0"/>
          <w:divBdr>
            <w:top w:val="none" w:sz="0" w:space="0" w:color="auto"/>
            <w:left w:val="none" w:sz="0" w:space="0" w:color="auto"/>
            <w:bottom w:val="none" w:sz="0" w:space="0" w:color="auto"/>
            <w:right w:val="none" w:sz="0" w:space="0" w:color="auto"/>
          </w:divBdr>
        </w:div>
        <w:div w:id="955020298">
          <w:marLeft w:val="0"/>
          <w:marRight w:val="0"/>
          <w:marTop w:val="0"/>
          <w:marBottom w:val="0"/>
          <w:divBdr>
            <w:top w:val="none" w:sz="0" w:space="0" w:color="auto"/>
            <w:left w:val="none" w:sz="0" w:space="0" w:color="auto"/>
            <w:bottom w:val="none" w:sz="0" w:space="0" w:color="auto"/>
            <w:right w:val="none" w:sz="0" w:space="0" w:color="auto"/>
          </w:divBdr>
        </w:div>
        <w:div w:id="1554466938">
          <w:marLeft w:val="0"/>
          <w:marRight w:val="0"/>
          <w:marTop w:val="0"/>
          <w:marBottom w:val="0"/>
          <w:divBdr>
            <w:top w:val="none" w:sz="0" w:space="0" w:color="auto"/>
            <w:left w:val="none" w:sz="0" w:space="0" w:color="auto"/>
            <w:bottom w:val="none" w:sz="0" w:space="0" w:color="auto"/>
            <w:right w:val="none" w:sz="0" w:space="0" w:color="auto"/>
          </w:divBdr>
        </w:div>
        <w:div w:id="2102337719">
          <w:marLeft w:val="0"/>
          <w:marRight w:val="0"/>
          <w:marTop w:val="0"/>
          <w:marBottom w:val="0"/>
          <w:divBdr>
            <w:top w:val="none" w:sz="0" w:space="0" w:color="auto"/>
            <w:left w:val="none" w:sz="0" w:space="0" w:color="auto"/>
            <w:bottom w:val="none" w:sz="0" w:space="0" w:color="auto"/>
            <w:right w:val="none" w:sz="0" w:space="0" w:color="auto"/>
          </w:divBdr>
        </w:div>
        <w:div w:id="452942761">
          <w:marLeft w:val="0"/>
          <w:marRight w:val="0"/>
          <w:marTop w:val="0"/>
          <w:marBottom w:val="0"/>
          <w:divBdr>
            <w:top w:val="none" w:sz="0" w:space="0" w:color="auto"/>
            <w:left w:val="none" w:sz="0" w:space="0" w:color="auto"/>
            <w:bottom w:val="none" w:sz="0" w:space="0" w:color="auto"/>
            <w:right w:val="none" w:sz="0" w:space="0" w:color="auto"/>
          </w:divBdr>
        </w:div>
      </w:divsChild>
    </w:div>
    <w:div w:id="359936179">
      <w:bodyDiv w:val="1"/>
      <w:marLeft w:val="0"/>
      <w:marRight w:val="0"/>
      <w:marTop w:val="0"/>
      <w:marBottom w:val="0"/>
      <w:divBdr>
        <w:top w:val="none" w:sz="0" w:space="0" w:color="auto"/>
        <w:left w:val="none" w:sz="0" w:space="0" w:color="auto"/>
        <w:bottom w:val="none" w:sz="0" w:space="0" w:color="auto"/>
        <w:right w:val="none" w:sz="0" w:space="0" w:color="auto"/>
      </w:divBdr>
    </w:div>
    <w:div w:id="18410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Users/alibaba/Documents/TSP/Vancouver.e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7</cp:revision>
  <cp:lastPrinted>2022-01-07T06:24:00Z</cp:lastPrinted>
  <dcterms:created xsi:type="dcterms:W3CDTF">2024-01-22T04:30:00Z</dcterms:created>
  <dcterms:modified xsi:type="dcterms:W3CDTF">2024-01-29T08:34:00Z</dcterms:modified>
</cp:coreProperties>
</file>