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417FF0B"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46137D">
        <w:rPr>
          <w:rFonts w:ascii="Minion Pro" w:hAnsi="Minion Pro"/>
          <w:color w:val="000000" w:themeColor="text1"/>
          <w:sz w:val="14"/>
          <w:szCs w:val="14"/>
        </w:rPr>
        <w:t>chd</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6137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2080868"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2080869"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5E3126F8"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 xml:space="preserve">References: </w:t>
      </w:r>
      <w:hyperlink r:id="rId13" w:history="1">
        <w:r w:rsidRPr="00966BC5">
          <w:rPr>
            <w:rStyle w:val="a7"/>
            <w:rFonts w:ascii="Times New Roman" w:hAnsi="Times New Roman" w:cs="Times New Roman"/>
            <w:b/>
            <w:bCs/>
            <w:sz w:val="22"/>
            <w:szCs w:val="22"/>
            <w:shd w:val="clear" w:color="auto" w:fill="FFFFFF"/>
          </w:rPr>
          <w:t>Vancouver Referencing Style</w:t>
        </w:r>
      </w:hyperlink>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0F19" w14:textId="77777777" w:rsidR="00E0031D" w:rsidRDefault="00E0031D" w:rsidP="004B2475">
      <w:pPr>
        <w:spacing w:after="0"/>
      </w:pPr>
      <w:r>
        <w:separator/>
      </w:r>
    </w:p>
  </w:endnote>
  <w:endnote w:type="continuationSeparator" w:id="0">
    <w:p w14:paraId="44D2BD99" w14:textId="77777777" w:rsidR="00E0031D" w:rsidRDefault="00E0031D"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50B7" w14:textId="77777777" w:rsidR="00E0031D" w:rsidRDefault="00E0031D" w:rsidP="004B2475">
      <w:pPr>
        <w:spacing w:after="0"/>
      </w:pPr>
      <w:r>
        <w:separator/>
      </w:r>
    </w:p>
  </w:footnote>
  <w:footnote w:type="continuationSeparator" w:id="0">
    <w:p w14:paraId="16FAA01D" w14:textId="77777777" w:rsidR="00E0031D" w:rsidRDefault="00E0031D"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408C5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46137D">
      <w:t xml:space="preserve"> </w:t>
    </w:r>
    <w:r w:rsidR="0046137D">
      <w:rPr>
        <w:sz w:val="20"/>
      </w:rPr>
      <w:t>CHD</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797594EC" w:rsidR="00D02261" w:rsidRPr="00D02261" w:rsidRDefault="0046137D" w:rsidP="00D02261">
    <w:r>
      <w:rPr>
        <w:sz w:val="20"/>
      </w:rPr>
      <w:t>CHD</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C088C3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6137D">
      <w:rPr>
        <w:noProof/>
      </w:rPr>
      <w:drawing>
        <wp:inline distT="0" distB="0" distL="0" distR="0" wp14:anchorId="2EF8F905" wp14:editId="7097E2D1">
          <wp:extent cx="1854712" cy="463893"/>
          <wp:effectExtent l="0" t="0" r="0" b="0"/>
          <wp:docPr id="1467270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70539" name="图片 1467270539"/>
                  <pic:cNvPicPr/>
                </pic:nvPicPr>
                <pic:blipFill>
                  <a:blip r:embed="rId2">
                    <a:extLst>
                      <a:ext uri="{28A0092B-C50C-407E-A947-70E740481C1C}">
                        <a14:useLocalDpi xmlns:a14="http://schemas.microsoft.com/office/drawing/2010/main" val="0"/>
                      </a:ext>
                    </a:extLst>
                  </a:blip>
                  <a:stretch>
                    <a:fillRect/>
                  </a:stretch>
                </pic:blipFill>
                <pic:spPr>
                  <a:xfrm>
                    <a:off x="0" y="0"/>
                    <a:ext cx="1905130" cy="476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A6F84"/>
    <w:rsid w:val="000F5A13"/>
    <w:rsid w:val="00136FF0"/>
    <w:rsid w:val="001431D2"/>
    <w:rsid w:val="00143C17"/>
    <w:rsid w:val="00170474"/>
    <w:rsid w:val="001B199D"/>
    <w:rsid w:val="001B5429"/>
    <w:rsid w:val="00207C6C"/>
    <w:rsid w:val="00274949"/>
    <w:rsid w:val="002B7158"/>
    <w:rsid w:val="002C683C"/>
    <w:rsid w:val="002D51C5"/>
    <w:rsid w:val="00353BA2"/>
    <w:rsid w:val="00357C86"/>
    <w:rsid w:val="00361E43"/>
    <w:rsid w:val="003A29E6"/>
    <w:rsid w:val="003C2578"/>
    <w:rsid w:val="003D3B8F"/>
    <w:rsid w:val="003F4372"/>
    <w:rsid w:val="0046137D"/>
    <w:rsid w:val="004B2475"/>
    <w:rsid w:val="004B302E"/>
    <w:rsid w:val="00513C8D"/>
    <w:rsid w:val="0053106B"/>
    <w:rsid w:val="00577AE6"/>
    <w:rsid w:val="00633BE3"/>
    <w:rsid w:val="006579B0"/>
    <w:rsid w:val="00690961"/>
    <w:rsid w:val="006D68CD"/>
    <w:rsid w:val="007205F4"/>
    <w:rsid w:val="0072341F"/>
    <w:rsid w:val="00796F3F"/>
    <w:rsid w:val="00871FA1"/>
    <w:rsid w:val="00884C27"/>
    <w:rsid w:val="008913D3"/>
    <w:rsid w:val="008A143D"/>
    <w:rsid w:val="008A374A"/>
    <w:rsid w:val="008A6225"/>
    <w:rsid w:val="00944434"/>
    <w:rsid w:val="00947BAD"/>
    <w:rsid w:val="00966BC5"/>
    <w:rsid w:val="00982037"/>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B0A7F"/>
    <w:rsid w:val="00DF2F8C"/>
    <w:rsid w:val="00E0031D"/>
    <w:rsid w:val="00E023E1"/>
    <w:rsid w:val="00E21B36"/>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styleId="ae">
    <w:name w:val="Unresolved Mention"/>
    <w:basedOn w:val="a0"/>
    <w:uiPriority w:val="99"/>
    <w:semiHidden/>
    <w:unhideWhenUsed/>
    <w:rsid w:val="0096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Vancouver.e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47</cp:revision>
  <cp:lastPrinted>2022-01-07T06:24:00Z</cp:lastPrinted>
  <dcterms:created xsi:type="dcterms:W3CDTF">2022-01-07T03:05:00Z</dcterms:created>
  <dcterms:modified xsi:type="dcterms:W3CDTF">2023-11-21T06:08:00Z</dcterms:modified>
</cp:coreProperties>
</file>