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20305" w14:textId="24367829" w:rsidR="005B4F1C" w:rsidRPr="001C7C70" w:rsidRDefault="001C7C70" w:rsidP="004C0BD3">
      <w:pPr>
        <w:rPr>
          <w:b/>
          <w:bCs/>
          <w:lang w:val="en-US"/>
        </w:rPr>
      </w:pPr>
      <w:r w:rsidRPr="001C7C70">
        <w:rPr>
          <w:b/>
          <w:bCs/>
          <w:lang w:val="en-US"/>
        </w:rPr>
        <w:t>Prompts LLM: DeepSeek</w:t>
      </w:r>
      <w:r w:rsidRPr="001C7C70">
        <w:rPr>
          <w:rFonts w:ascii="Cambria Math" w:hAnsi="Cambria Math" w:cs="Cambria Math"/>
          <w:b/>
          <w:bCs/>
          <w:lang w:val="en-US"/>
        </w:rPr>
        <w:t>‑</w:t>
      </w:r>
      <w:r w:rsidRPr="001C7C70">
        <w:rPr>
          <w:b/>
          <w:bCs/>
          <w:lang w:val="en-US"/>
        </w:rPr>
        <w:t>R1 (</w:t>
      </w:r>
      <w:r w:rsidRPr="001C7C70">
        <w:rPr>
          <w:rFonts w:cs="Calibri"/>
          <w:b/>
          <w:bCs/>
          <w:lang w:val="pt-BR"/>
        </w:rPr>
        <w:t>релиз</w:t>
      </w:r>
      <w:r w:rsidRPr="001C7C70">
        <w:rPr>
          <w:b/>
          <w:bCs/>
          <w:lang w:val="en-US"/>
        </w:rPr>
        <w:t xml:space="preserve"> 20.01.2025)</w:t>
      </w:r>
    </w:p>
    <w:p w14:paraId="4539F383" w14:textId="5F5AC41A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Stage 1 (Initial prediction based on the Hume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Rothery rules)</w:t>
      </w:r>
    </w:p>
    <w:p w14:paraId="5B3FB457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────────────────────────────────────────────────────────────</w:t>
      </w:r>
    </w:p>
    <w:p w14:paraId="35F65FF2" w14:textId="5FB3EDF4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You are an assistant to an inorganic chemist. Your task is to use the classical Hume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Rothery rules (size factor and electronegativity difference) to predict which rare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earth elements R can form EuRAgSe</w:t>
      </w:r>
      <w:r w:rsidR="00BC4C9B" w:rsidRPr="00BC4C9B">
        <w:rPr>
          <w:vertAlign w:val="subscript"/>
          <w:lang w:val="en-US"/>
        </w:rPr>
        <w:t>3</w:t>
      </w:r>
      <w:r w:rsidRPr="004C0BD3">
        <w:rPr>
          <w:lang w:val="en-US"/>
        </w:rPr>
        <w:t xml:space="preserve"> compounds with a cubic crystal structure (space group Fm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3m, derivative of NaCl). The chalcogen X (S, Se, Te) does not affect the geometric criteria, so the result is independent of X.</w:t>
      </w:r>
    </w:p>
    <w:p w14:paraId="47CBA7CC" w14:textId="77777777" w:rsidR="004C0BD3" w:rsidRPr="004C0BD3" w:rsidRDefault="004C0BD3" w:rsidP="004C0BD3">
      <w:pPr>
        <w:rPr>
          <w:lang w:val="en-US"/>
        </w:rPr>
      </w:pPr>
    </w:p>
    <w:p w14:paraId="6AF111A0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Formation mechanism: in three formula units of EuX, two Eu²⁺ cations are replaced by a pair of M⁺ + R³⁺ with charge conservation.</w:t>
      </w:r>
    </w:p>
    <w:p w14:paraId="3D3E2322" w14:textId="77777777" w:rsidR="004C0BD3" w:rsidRPr="004C0BD3" w:rsidRDefault="004C0BD3" w:rsidP="004C0BD3">
      <w:pPr>
        <w:rPr>
          <w:lang w:val="en-US"/>
        </w:rPr>
      </w:pPr>
    </w:p>
    <w:p w14:paraId="13D69A82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 xml:space="preserve">Input data (ionic radii for CN = 6 according to Shannon, in Å, and electronegativities </w:t>
      </w:r>
      <w:r>
        <w:t>χ</w:t>
      </w:r>
      <w:r w:rsidRPr="004C0BD3">
        <w:rPr>
          <w:lang w:val="en-US"/>
        </w:rPr>
        <w:t>):</w:t>
      </w:r>
    </w:p>
    <w:p w14:paraId="2AF227D2" w14:textId="77777777" w:rsidR="004C0BD3" w:rsidRPr="004C0BD3" w:rsidRDefault="004C0BD3" w:rsidP="004C0BD3">
      <w:pPr>
        <w:rPr>
          <w:lang w:val="en-US"/>
        </w:rPr>
      </w:pPr>
    </w:p>
    <w:p w14:paraId="26EE7EC7" w14:textId="237EC558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 xml:space="preserve">Ion      </w:t>
      </w:r>
      <w:r w:rsidR="00AD1E77">
        <w:rPr>
          <w:lang w:val="en-US"/>
        </w:rPr>
        <w:t xml:space="preserve">  </w:t>
      </w:r>
      <w:r w:rsidRPr="004C0BD3">
        <w:rPr>
          <w:lang w:val="en-US"/>
        </w:rPr>
        <w:t xml:space="preserve">  r (Å)   </w:t>
      </w:r>
      <w:r w:rsidR="00AD1E77">
        <w:rPr>
          <w:lang w:val="en-US"/>
        </w:rPr>
        <w:t xml:space="preserve">     </w:t>
      </w:r>
      <w:r w:rsidRPr="004C0BD3">
        <w:rPr>
          <w:lang w:val="en-US"/>
        </w:rPr>
        <w:t xml:space="preserve"> </w:t>
      </w:r>
      <w:r>
        <w:t>χ</w:t>
      </w:r>
    </w:p>
    <w:p w14:paraId="268269D1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───────────────────────────</w:t>
      </w:r>
    </w:p>
    <w:p w14:paraId="74224260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Eu²⁺       1.17    1.20</w:t>
      </w:r>
    </w:p>
    <w:p w14:paraId="615959B4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Ag⁺        1.15    1.93</w:t>
      </w:r>
    </w:p>
    <w:p w14:paraId="3BD33FE8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Sc³⁺       0.745   1.36</w:t>
      </w:r>
    </w:p>
    <w:p w14:paraId="3247883D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Y³⁺        0.900   1.22</w:t>
      </w:r>
    </w:p>
    <w:p w14:paraId="7D4267A5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La³⁺       1.032   1.10</w:t>
      </w:r>
    </w:p>
    <w:p w14:paraId="778F1CD3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Ce³⁺       1.01    1.12</w:t>
      </w:r>
    </w:p>
    <w:p w14:paraId="4851BC78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Pr³⁺       0.99    1.13</w:t>
      </w:r>
    </w:p>
    <w:p w14:paraId="02B81E24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Nd³⁺       0.983   1.14</w:t>
      </w:r>
    </w:p>
    <w:p w14:paraId="6C68F6AF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Sm³⁺       0.958   1.17</w:t>
      </w:r>
    </w:p>
    <w:p w14:paraId="11CC8CD8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Eu³⁺       0.947   1.20</w:t>
      </w:r>
    </w:p>
    <w:p w14:paraId="6F43E8D9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Gd³⁺       0.938   1.20</w:t>
      </w:r>
    </w:p>
    <w:p w14:paraId="1B48B762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Tb³⁺       0.923   1.22</w:t>
      </w:r>
    </w:p>
    <w:p w14:paraId="4FAFE977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Dy³⁺       0.912   1.23</w:t>
      </w:r>
    </w:p>
    <w:p w14:paraId="2A9C6348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Ho³⁺       0.901   1.24</w:t>
      </w:r>
    </w:p>
    <w:p w14:paraId="4C998DF5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Er³⁺       0.890   1.25</w:t>
      </w:r>
    </w:p>
    <w:p w14:paraId="39E7D0D0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Tm³⁺       0.880   1.26</w:t>
      </w:r>
    </w:p>
    <w:p w14:paraId="0D42891E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Yb³⁺       0.868   1.27</w:t>
      </w:r>
    </w:p>
    <w:p w14:paraId="4C92F74C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Lu³⁺       0.861   1.28</w:t>
      </w:r>
    </w:p>
    <w:p w14:paraId="3D260FAD" w14:textId="77777777" w:rsidR="004C0BD3" w:rsidRPr="004C0BD3" w:rsidRDefault="004C0BD3" w:rsidP="004C0BD3">
      <w:pPr>
        <w:rPr>
          <w:lang w:val="en-US"/>
        </w:rPr>
      </w:pPr>
    </w:p>
    <w:p w14:paraId="78343D5B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lastRenderedPageBreak/>
        <w:t>Criteria:</w:t>
      </w:r>
    </w:p>
    <w:p w14:paraId="0722C047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1. Size factor (Hume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Rothery rule):</w:t>
      </w:r>
    </w:p>
    <w:p w14:paraId="5B370CC7" w14:textId="77777777" w:rsidR="004C0BD3" w:rsidRPr="004C0BD3" w:rsidRDefault="004C0BD3" w:rsidP="004C0BD3">
      <w:pPr>
        <w:rPr>
          <w:lang w:val="pt-BR"/>
        </w:rPr>
      </w:pPr>
      <w:r w:rsidRPr="004C0BD3">
        <w:rPr>
          <w:lang w:val="en-US"/>
        </w:rPr>
        <w:t xml:space="preserve">   </w:t>
      </w:r>
      <w:r w:rsidRPr="004C0BD3">
        <w:rPr>
          <w:lang w:val="pt-BR"/>
        </w:rPr>
        <w:t>r_pair = (r_Ag + r_R) / 2</w:t>
      </w:r>
    </w:p>
    <w:p w14:paraId="69F215D7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pt-BR"/>
        </w:rPr>
        <w:t xml:space="preserve">   </w:t>
      </w:r>
      <w:r>
        <w:t>Δ</w:t>
      </w:r>
      <w:r w:rsidRPr="004C0BD3">
        <w:rPr>
          <w:lang w:val="en-US"/>
        </w:rPr>
        <w:t>r = |r_pair – 1.17| / 1.17 × 100%</w:t>
      </w:r>
    </w:p>
    <w:p w14:paraId="073CDA5C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 xml:space="preserve">   Condition: </w:t>
      </w:r>
      <w:r>
        <w:t>Δ</w:t>
      </w:r>
      <w:r w:rsidRPr="004C0BD3">
        <w:rPr>
          <w:lang w:val="en-US"/>
        </w:rPr>
        <w:t xml:space="preserve">r ≤ 15%. If </w:t>
      </w:r>
      <w:r>
        <w:t>Δ</w:t>
      </w:r>
      <w:r w:rsidRPr="004C0BD3">
        <w:rPr>
          <w:lang w:val="en-US"/>
        </w:rPr>
        <w:t>r &gt; 15%, compound formation is unlikely.</w:t>
      </w:r>
    </w:p>
    <w:p w14:paraId="4491BB8F" w14:textId="77777777" w:rsidR="004C0BD3" w:rsidRPr="004C0BD3" w:rsidRDefault="004C0BD3" w:rsidP="004C0BD3">
      <w:pPr>
        <w:rPr>
          <w:lang w:val="en-US"/>
        </w:rPr>
      </w:pPr>
    </w:p>
    <w:p w14:paraId="25D5495F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2. Electronegativity difference (Hume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Rothery rule for continuous solid solutions):</w:t>
      </w:r>
    </w:p>
    <w:p w14:paraId="026C94FC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 xml:space="preserve">   </w:t>
      </w:r>
      <w:r>
        <w:t>χ</w:t>
      </w:r>
      <w:r w:rsidRPr="004C0BD3">
        <w:rPr>
          <w:lang w:val="en-US"/>
        </w:rPr>
        <w:t>_avg = (</w:t>
      </w:r>
      <w:r>
        <w:t>χ</w:t>
      </w:r>
      <w:r w:rsidRPr="004C0BD3">
        <w:rPr>
          <w:lang w:val="en-US"/>
        </w:rPr>
        <w:t xml:space="preserve">_Ag + </w:t>
      </w:r>
      <w:r>
        <w:t>χ</w:t>
      </w:r>
      <w:r w:rsidRPr="004C0BD3">
        <w:rPr>
          <w:lang w:val="en-US"/>
        </w:rPr>
        <w:t>_R) / 2</w:t>
      </w:r>
    </w:p>
    <w:p w14:paraId="1A9C485D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 xml:space="preserve">   </w:t>
      </w:r>
      <w:r>
        <w:t>Δχ</w:t>
      </w:r>
      <w:r w:rsidRPr="004C0BD3">
        <w:rPr>
          <w:lang w:val="en-US"/>
        </w:rPr>
        <w:t xml:space="preserve"> = |</w:t>
      </w:r>
      <w:r>
        <w:t>χ</w:t>
      </w:r>
      <w:r w:rsidRPr="004C0BD3">
        <w:rPr>
          <w:lang w:val="en-US"/>
        </w:rPr>
        <w:t xml:space="preserve">_avg – </w:t>
      </w:r>
      <w:r>
        <w:t>χ</w:t>
      </w:r>
      <w:r w:rsidRPr="004C0BD3">
        <w:rPr>
          <w:lang w:val="en-US"/>
        </w:rPr>
        <w:t xml:space="preserve">_Eu|, where </w:t>
      </w:r>
      <w:r>
        <w:t>χ</w:t>
      </w:r>
      <w:r w:rsidRPr="004C0BD3">
        <w:rPr>
          <w:lang w:val="en-US"/>
        </w:rPr>
        <w:t>_Eu = 1.20.</w:t>
      </w:r>
    </w:p>
    <w:p w14:paraId="7890CFD5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 xml:space="preserve">   Critical condition: </w:t>
      </w:r>
      <w:r>
        <w:t>Δχ</w:t>
      </w:r>
      <w:r w:rsidRPr="004C0BD3">
        <w:rPr>
          <w:lang w:val="en-US"/>
        </w:rPr>
        <w:t xml:space="preserve"> ≤ 0.5. If </w:t>
      </w:r>
      <w:r>
        <w:t>Δχ</w:t>
      </w:r>
      <w:r w:rsidRPr="004C0BD3">
        <w:rPr>
          <w:lang w:val="en-US"/>
        </w:rPr>
        <w:t xml:space="preserve"> &gt; 0.5, compound formation is unlikely.</w:t>
      </w:r>
    </w:p>
    <w:p w14:paraId="66820A20" w14:textId="77777777" w:rsidR="004C0BD3" w:rsidRPr="004C0BD3" w:rsidRDefault="004C0BD3" w:rsidP="004C0BD3">
      <w:pPr>
        <w:rPr>
          <w:lang w:val="en-US"/>
        </w:rPr>
      </w:pPr>
    </w:p>
    <w:p w14:paraId="25CB4F42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Task:</w:t>
      </w:r>
    </w:p>
    <w:p w14:paraId="03AC6475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 xml:space="preserve">For each R, calculate r_pair, </w:t>
      </w:r>
      <w:r>
        <w:t>Δ</w:t>
      </w:r>
      <w:r w:rsidRPr="004C0BD3">
        <w:rPr>
          <w:lang w:val="en-US"/>
        </w:rPr>
        <w:t xml:space="preserve">r, </w:t>
      </w:r>
      <w:r>
        <w:t>χ</w:t>
      </w:r>
      <w:r w:rsidRPr="004C0BD3">
        <w:rPr>
          <w:lang w:val="en-US"/>
        </w:rPr>
        <w:t xml:space="preserve">_avg, </w:t>
      </w:r>
      <w:r>
        <w:t>Δχ</w:t>
      </w:r>
      <w:r w:rsidRPr="004C0BD3">
        <w:rPr>
          <w:lang w:val="en-US"/>
        </w:rPr>
        <w:t>.</w:t>
      </w:r>
    </w:p>
    <w:p w14:paraId="079688F1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 xml:space="preserve">A compound is probable if both </w:t>
      </w:r>
      <w:r>
        <w:t>Δ</w:t>
      </w:r>
      <w:r w:rsidRPr="004C0BD3">
        <w:rPr>
          <w:lang w:val="en-US"/>
        </w:rPr>
        <w:t xml:space="preserve">r ≤ 15% and </w:t>
      </w:r>
      <w:r>
        <w:t>Δχ</w:t>
      </w:r>
      <w:r w:rsidRPr="004C0BD3">
        <w:rPr>
          <w:lang w:val="en-US"/>
        </w:rPr>
        <w:t xml:space="preserve"> ≤ 0.5.</w:t>
      </w:r>
    </w:p>
    <w:p w14:paraId="35102E03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 xml:space="preserve">Present the results in a table: R, r_pair (Å), </w:t>
      </w:r>
      <w:r>
        <w:t>Δ</w:t>
      </w:r>
      <w:r w:rsidRPr="004C0BD3">
        <w:rPr>
          <w:lang w:val="en-US"/>
        </w:rPr>
        <w:t xml:space="preserve">r (%), </w:t>
      </w:r>
      <w:r>
        <w:t>χ</w:t>
      </w:r>
      <w:r w:rsidRPr="004C0BD3">
        <w:rPr>
          <w:lang w:val="en-US"/>
        </w:rPr>
        <w:t xml:space="preserve">_avg, </w:t>
      </w:r>
      <w:r>
        <w:t>Δχ</w:t>
      </w:r>
      <w:r w:rsidRPr="004C0BD3">
        <w:rPr>
          <w:lang w:val="en-US"/>
        </w:rPr>
        <w:t>, “</w:t>
      </w:r>
      <w:r>
        <w:t>Δ</w:t>
      </w:r>
      <w:r w:rsidRPr="004C0BD3">
        <w:rPr>
          <w:lang w:val="en-US"/>
        </w:rPr>
        <w:t>r ≤ 15%?”, “</w:t>
      </w:r>
      <w:r>
        <w:t>Δχ</w:t>
      </w:r>
      <w:r w:rsidRPr="004C0BD3">
        <w:rPr>
          <w:lang w:val="en-US"/>
        </w:rPr>
        <w:t xml:space="preserve"> ≤ 0.5?”, “Probable?”.</w:t>
      </w:r>
    </w:p>
    <w:p w14:paraId="48C2063A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After the table, give a ranked list of R with positive prediction (most to least probable).</w:t>
      </w:r>
    </w:p>
    <w:p w14:paraId="5675B071" w14:textId="77777777" w:rsidR="004C0BD3" w:rsidRPr="004C0BD3" w:rsidRDefault="004C0BD3" w:rsidP="004C0BD3">
      <w:pPr>
        <w:rPr>
          <w:lang w:val="en-US"/>
        </w:rPr>
      </w:pPr>
    </w:p>
    <w:p w14:paraId="7BFEC2ED" w14:textId="77777777" w:rsidR="004C0BD3" w:rsidRDefault="004C0BD3" w:rsidP="004C0BD3">
      <w:pPr>
        <w:rPr>
          <w:lang w:val="en-US"/>
        </w:rPr>
      </w:pPr>
    </w:p>
    <w:p w14:paraId="4A55ED92" w14:textId="77777777" w:rsidR="001C7C70" w:rsidRDefault="001C7C70" w:rsidP="004C0BD3">
      <w:pPr>
        <w:rPr>
          <w:lang w:val="en-US"/>
        </w:rPr>
      </w:pPr>
    </w:p>
    <w:p w14:paraId="41FFEC12" w14:textId="77777777" w:rsidR="001C7C70" w:rsidRPr="004C0BD3" w:rsidRDefault="001C7C70" w:rsidP="004C0BD3">
      <w:pPr>
        <w:rPr>
          <w:lang w:val="en-US"/>
        </w:rPr>
      </w:pPr>
    </w:p>
    <w:p w14:paraId="7789032B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Stage 2 (Continuation, analysis of experimental and literature data)</w:t>
      </w:r>
    </w:p>
    <w:p w14:paraId="5E4B793D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────────────────────────────────────────────────────────────────────</w:t>
      </w:r>
    </w:p>
    <w:p w14:paraId="1076F34D" w14:textId="58C5B133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Now analyse the experimental results and the literature below to refine the prediction and propose a criterion for the formation (or absence) of cubic EuLnMSe</w:t>
      </w:r>
      <w:r w:rsidR="00BC4C9B">
        <w:rPr>
          <w:lang w:val="en-US"/>
        </w:rPr>
        <w:t>3</w:t>
      </w:r>
      <w:r w:rsidRPr="004C0BD3">
        <w:rPr>
          <w:lang w:val="en-US"/>
        </w:rPr>
        <w:t xml:space="preserve"> phases (M = Ag, Cu).</w:t>
      </w:r>
    </w:p>
    <w:p w14:paraId="3E609828" w14:textId="77777777" w:rsidR="004C0BD3" w:rsidRPr="004C0BD3" w:rsidRDefault="004C0BD3" w:rsidP="004C0BD3">
      <w:pPr>
        <w:rPr>
          <w:lang w:val="en-US"/>
        </w:rPr>
      </w:pPr>
    </w:p>
    <w:p w14:paraId="1AB9FF70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Our experimental data:</w:t>
      </w:r>
    </w:p>
    <w:p w14:paraId="6C893B69" w14:textId="64E0D045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- EuLnAgSe</w:t>
      </w:r>
      <w:r w:rsidR="00BC4C9B" w:rsidRPr="00BC4C9B">
        <w:rPr>
          <w:vertAlign w:val="subscript"/>
          <w:lang w:val="en-US"/>
        </w:rPr>
        <w:t>3</w:t>
      </w:r>
      <w:r w:rsidRPr="004C0BD3">
        <w:rPr>
          <w:lang w:val="en-US"/>
        </w:rPr>
        <w:t xml:space="preserve"> (Ln = La, Nd, Sm, Gd, Er): cubic phase (Fm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3m, AgBiS</w:t>
      </w:r>
      <w:r w:rsidR="00BC4C9B" w:rsidRPr="00BC4C9B">
        <w:rPr>
          <w:rFonts w:cs="Calibri"/>
          <w:vertAlign w:val="subscript"/>
          <w:lang w:val="en-US"/>
        </w:rPr>
        <w:t>2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type) only for Gd and Er; for La, Nd, Sm no cubic phase (multiphase).</w:t>
      </w:r>
    </w:p>
    <w:p w14:paraId="67B90F2C" w14:textId="34BDE9FA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- EuLnCuSe</w:t>
      </w:r>
      <w:r w:rsidR="00BC4C9B" w:rsidRPr="00BC4C9B">
        <w:rPr>
          <w:vertAlign w:val="subscript"/>
          <w:lang w:val="en-US"/>
        </w:rPr>
        <w:t>3</w:t>
      </w:r>
      <w:r w:rsidRPr="004C0BD3">
        <w:rPr>
          <w:lang w:val="en-US"/>
        </w:rPr>
        <w:t>: no cubic phase observed for any Ln.</w:t>
      </w:r>
    </w:p>
    <w:p w14:paraId="4187F7B5" w14:textId="77777777" w:rsidR="004C0BD3" w:rsidRPr="004C0BD3" w:rsidRDefault="004C0BD3" w:rsidP="004C0BD3">
      <w:pPr>
        <w:rPr>
          <w:lang w:val="en-US"/>
        </w:rPr>
      </w:pPr>
    </w:p>
    <w:p w14:paraId="1836A3BD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Ionic radii (Shannon, CN=6, Å): Ag⁺ 1.15, Cu⁺ 0.77, Eu²⁺ 1.17. Ln³⁺ radii as in Stage 1.</w:t>
      </w:r>
    </w:p>
    <w:p w14:paraId="033439FE" w14:textId="77777777" w:rsidR="004C0BD3" w:rsidRPr="004C0BD3" w:rsidRDefault="004C0BD3" w:rsidP="004C0BD3">
      <w:pPr>
        <w:rPr>
          <w:lang w:val="en-US"/>
        </w:rPr>
      </w:pPr>
    </w:p>
    <w:p w14:paraId="05A17ED2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Key literature (use these to identify the crystal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chemical factor):</w:t>
      </w:r>
    </w:p>
    <w:p w14:paraId="1F8B04F3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lastRenderedPageBreak/>
        <w:t>[1] M. Julien-Pouzol, M. Guittard, Ann. Chim. (Paris) 1973, 8(2), 139–145.</w:t>
      </w:r>
    </w:p>
    <w:p w14:paraId="3349B3C3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[2] V.V. Atuchin et al., 2010 IEEE MNST, Novosibirsk, 2010, pp. 3–6, doi:10.1109/MNST.2010.5687124.</w:t>
      </w:r>
    </w:p>
    <w:p w14:paraId="2D821419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[3] V.P. Sachanyuk et al., Mater. Res. Bull. 2007, 42, 1091–1098.</w:t>
      </w:r>
    </w:p>
    <w:p w14:paraId="7249D384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[4] J. Flahaut, in Handbook on the Physics and Chemistry of Rare Earths, 1979, pp. 1–88, doi:10.1016/S0168-1273(79)04004-6.</w:t>
      </w:r>
    </w:p>
    <w:p w14:paraId="15445BA4" w14:textId="77777777" w:rsidR="004C0BD3" w:rsidRPr="004C0BD3" w:rsidRDefault="004C0BD3" w:rsidP="004C0BD3">
      <w:pPr>
        <w:rPr>
          <w:lang w:val="en-US"/>
        </w:rPr>
      </w:pPr>
    </w:p>
    <w:p w14:paraId="7A7C5500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Based on these sources and the experimental facts, propose a criterion that simultaneously explains:</w:t>
      </w:r>
    </w:p>
    <w:p w14:paraId="0ED5EA92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- why the cubic structure is stable for Ag only with heavy Ln,</w:t>
      </w:r>
    </w:p>
    <w:p w14:paraId="3F94A966" w14:textId="45F2D246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- why no cubic EuLnCuSe</w:t>
      </w:r>
      <w:r w:rsidR="00BC4C9B" w:rsidRPr="00BC4C9B">
        <w:rPr>
          <w:vertAlign w:val="subscript"/>
          <w:lang w:val="en-US"/>
        </w:rPr>
        <w:t>3</w:t>
      </w:r>
      <w:r w:rsidRPr="004C0BD3">
        <w:rPr>
          <w:lang w:val="en-US"/>
        </w:rPr>
        <w:t xml:space="preserve"> phase forms for any Ln.</w:t>
      </w:r>
    </w:p>
    <w:p w14:paraId="45337709" w14:textId="77777777" w:rsidR="004C0BD3" w:rsidRPr="004C0BD3" w:rsidRDefault="004C0BD3" w:rsidP="004C0BD3">
      <w:pPr>
        <w:rPr>
          <w:lang w:val="en-US"/>
        </w:rPr>
      </w:pPr>
    </w:p>
    <w:p w14:paraId="626A6AF6" w14:textId="63A3EC8A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Use the criterion to predict which Ln (complete series, including Y, Sc) can form cubic EuLnAgSe</w:t>
      </w:r>
      <w:r w:rsidR="00BC4C9B" w:rsidRPr="00BC4C9B">
        <w:rPr>
          <w:vertAlign w:val="subscript"/>
          <w:lang w:val="en-US"/>
        </w:rPr>
        <w:t>3</w:t>
      </w:r>
      <w:r w:rsidRPr="004C0BD3">
        <w:rPr>
          <w:lang w:val="en-US"/>
        </w:rPr>
        <w:t>, and verify that all EuLnCuSe</w:t>
      </w:r>
      <w:r w:rsidR="00BC4C9B" w:rsidRPr="00BC4C9B">
        <w:rPr>
          <w:vertAlign w:val="subscript"/>
          <w:lang w:val="en-US"/>
        </w:rPr>
        <w:t>3</w:t>
      </w:r>
      <w:r w:rsidRPr="004C0BD3">
        <w:rPr>
          <w:lang w:val="en-US"/>
        </w:rPr>
        <w:t xml:space="preserve"> are correctly excluded.</w:t>
      </w:r>
    </w:p>
    <w:p w14:paraId="27963F47" w14:textId="77777777" w:rsidR="004C0BD3" w:rsidRPr="004C0BD3" w:rsidRDefault="004C0BD3" w:rsidP="004C0BD3">
      <w:pPr>
        <w:rPr>
          <w:lang w:val="en-US"/>
        </w:rPr>
      </w:pPr>
    </w:p>
    <w:p w14:paraId="4A064D73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Present:</w:t>
      </w:r>
    </w:p>
    <w:p w14:paraId="6ED619A1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- A brief justification of the criterion, with reference to the literature.</w:t>
      </w:r>
    </w:p>
    <w:p w14:paraId="26A22210" w14:textId="77777777" w:rsidR="004C0BD3" w:rsidRPr="004C0BD3" w:rsidRDefault="004C0BD3" w:rsidP="004C0BD3">
      <w:pPr>
        <w:rPr>
          <w:lang w:val="en-US"/>
        </w:rPr>
      </w:pPr>
      <w:r w:rsidRPr="004C0BD3">
        <w:rPr>
          <w:lang w:val="en-US"/>
        </w:rPr>
        <w:t>- A table for Ag: Ln, r(Ln³⁺), criterion value, “Satisfies?”, “Phase observed?”.</w:t>
      </w:r>
    </w:p>
    <w:p w14:paraId="751C9E36" w14:textId="232BC7E5" w:rsidR="004A3207" w:rsidRPr="004C0BD3" w:rsidRDefault="004C0BD3" w:rsidP="004C0BD3">
      <w:pPr>
        <w:rPr>
          <w:lang w:val="en-US"/>
        </w:rPr>
      </w:pPr>
      <w:r w:rsidRPr="004C0BD3">
        <w:rPr>
          <w:lang w:val="en-US"/>
        </w:rPr>
        <w:t>- Final conclusion: which Ln give cubic EuLnAgSe</w:t>
      </w:r>
      <w:r w:rsidR="00BC4C9B" w:rsidRPr="00BC4C9B">
        <w:rPr>
          <w:vertAlign w:val="subscript"/>
          <w:lang w:val="en-US"/>
        </w:rPr>
        <w:t>3</w:t>
      </w:r>
      <w:r w:rsidRPr="004C0BD3">
        <w:rPr>
          <w:lang w:val="en-US"/>
        </w:rPr>
        <w:t>, and why EuLnCuSe₃ are always non</w:t>
      </w:r>
      <w:r w:rsidRPr="004C0BD3">
        <w:rPr>
          <w:rFonts w:ascii="Cambria Math" w:hAnsi="Cambria Math" w:cs="Cambria Math"/>
          <w:lang w:val="en-US"/>
        </w:rPr>
        <w:t>‑</w:t>
      </w:r>
      <w:r w:rsidRPr="004C0BD3">
        <w:rPr>
          <w:lang w:val="en-US"/>
        </w:rPr>
        <w:t>cubic.</w:t>
      </w:r>
    </w:p>
    <w:sectPr w:rsidR="004A3207" w:rsidRPr="004C0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BD3"/>
    <w:rsid w:val="00010B6F"/>
    <w:rsid w:val="00134C05"/>
    <w:rsid w:val="00172ACB"/>
    <w:rsid w:val="001C7C70"/>
    <w:rsid w:val="004A3207"/>
    <w:rsid w:val="004A4AA9"/>
    <w:rsid w:val="004C0BD3"/>
    <w:rsid w:val="005B4F1C"/>
    <w:rsid w:val="006665B7"/>
    <w:rsid w:val="007F1AC3"/>
    <w:rsid w:val="008A22B0"/>
    <w:rsid w:val="009A3A34"/>
    <w:rsid w:val="00A004FE"/>
    <w:rsid w:val="00AD1E77"/>
    <w:rsid w:val="00BC4C9B"/>
    <w:rsid w:val="00DB5DFD"/>
    <w:rsid w:val="00D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B3DB9"/>
  <w15:chartTrackingRefBased/>
  <w15:docId w15:val="{A6A2C7D8-2B06-41A1-9B29-2C13064D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BD3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0BD3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0BD3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0BD3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0BD3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0BD3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0BD3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BD3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BD3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BD3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4C0BD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4C0BD3"/>
    <w:rPr>
      <w:rFonts w:eastAsia="Times New Roman" w:cs="Times New Roman"/>
      <w:color w:val="2F5496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4C0BD3"/>
    <w:rPr>
      <w:rFonts w:eastAsia="Times New Roman" w:cs="Times New Roman"/>
      <w:i/>
      <w:iCs/>
      <w:color w:val="2F5496"/>
    </w:rPr>
  </w:style>
  <w:style w:type="character" w:customStyle="1" w:styleId="Heading5Char">
    <w:name w:val="Heading 5 Char"/>
    <w:link w:val="Heading5"/>
    <w:uiPriority w:val="9"/>
    <w:semiHidden/>
    <w:rsid w:val="004C0BD3"/>
    <w:rPr>
      <w:rFonts w:eastAsia="Times New Roman" w:cs="Times New Roman"/>
      <w:color w:val="2F5496"/>
    </w:rPr>
  </w:style>
  <w:style w:type="character" w:customStyle="1" w:styleId="Heading6Char">
    <w:name w:val="Heading 6 Char"/>
    <w:link w:val="Heading6"/>
    <w:uiPriority w:val="9"/>
    <w:semiHidden/>
    <w:rsid w:val="004C0BD3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4C0BD3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4C0BD3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4C0BD3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4C0BD3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4C0BD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0BD3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4C0BD3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0BD3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C0BD3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4C0BD3"/>
    <w:pPr>
      <w:ind w:left="720"/>
      <w:contextualSpacing/>
    </w:pPr>
  </w:style>
  <w:style w:type="character" w:styleId="IntenseEmphasis">
    <w:name w:val="Intense Emphasis"/>
    <w:uiPriority w:val="21"/>
    <w:qFormat/>
    <w:rsid w:val="004C0BD3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BD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link w:val="IntenseQuote"/>
    <w:uiPriority w:val="30"/>
    <w:rsid w:val="004C0BD3"/>
    <w:rPr>
      <w:i/>
      <w:iCs/>
      <w:color w:val="2F5496"/>
    </w:rPr>
  </w:style>
  <w:style w:type="character" w:styleId="IntenseReference">
    <w:name w:val="Intense Reference"/>
    <w:uiPriority w:val="32"/>
    <w:qFormat/>
    <w:rsid w:val="004C0BD3"/>
    <w:rPr>
      <w:b/>
      <w:bCs/>
      <w:smallCaps/>
      <w:color w:val="2F5496"/>
      <w:spacing w:val="5"/>
    </w:rPr>
  </w:style>
  <w:style w:type="paragraph" w:customStyle="1" w:styleId="TSP13authornames">
    <w:name w:val="TSP_1.3_authornames"/>
    <w:next w:val="Normal"/>
    <w:qFormat/>
    <w:rsid w:val="005B4F1C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olor w:val="000000"/>
      <w:sz w:val="22"/>
      <w:szCs w:val="22"/>
      <w:lang w:val="en-US" w:eastAsia="de-DE" w:bidi="en-US"/>
    </w:rPr>
  </w:style>
  <w:style w:type="paragraph" w:customStyle="1" w:styleId="TSP14history">
    <w:name w:val="TSP_1.4_history"/>
    <w:basedOn w:val="Normal"/>
    <w:next w:val="Normal"/>
    <w:autoRedefine/>
    <w:qFormat/>
    <w:rsid w:val="005B4F1C"/>
    <w:pPr>
      <w:adjustRightInd w:val="0"/>
      <w:snapToGrid w:val="0"/>
      <w:spacing w:before="60" w:after="240" w:line="240" w:lineRule="atLeast"/>
    </w:pPr>
    <w:rPr>
      <w:rFonts w:ascii="Minion Pro" w:eastAsia="Times New Roman" w:hAnsi="Minion Pro"/>
      <w:color w:val="000000"/>
      <w:sz w:val="18"/>
      <w:szCs w:val="20"/>
      <w:lang w:val="en-US" w:eastAsia="de-DE" w:bidi="en-US"/>
    </w:rPr>
  </w:style>
  <w:style w:type="paragraph" w:customStyle="1" w:styleId="TSP16affiliation">
    <w:name w:val="TSP_1.6_affiliation"/>
    <w:qFormat/>
    <w:rsid w:val="005B4F1C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18"/>
      <w:szCs w:val="18"/>
      <w:lang w:val="en-US" w:eastAsia="de-DE" w:bidi="en-US"/>
    </w:rPr>
  </w:style>
  <w:style w:type="character" w:styleId="Hyperlink">
    <w:name w:val="Hyperlink"/>
    <w:uiPriority w:val="99"/>
    <w:rsid w:val="005B4F1C"/>
    <w:rPr>
      <w:color w:val="2F5496" w:themeColor="accent1" w:themeShade="B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Navruzbek Habibullayev</dc:creator>
  <cp:keywords/>
  <dc:description/>
  <cp:lastModifiedBy>Production Team</cp:lastModifiedBy>
  <cp:revision>3</cp:revision>
  <dcterms:created xsi:type="dcterms:W3CDTF">2026-08-11T03:10:00Z</dcterms:created>
  <dcterms:modified xsi:type="dcterms:W3CDTF">2026-08-11T03:10:00Z</dcterms:modified>
</cp:coreProperties>
</file>